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color w:val="000000"/>
          <w:sz w:val="36"/>
          <w:szCs w:val="36"/>
        </w:rPr>
      </w:pPr>
      <w:bookmarkStart w:id="6" w:name="_GoBack"/>
      <w:bookmarkEnd w:id="6"/>
    </w:p>
    <w:p>
      <w:pPr>
        <w:rPr>
          <w:rFonts w:eastAsia="仿宋_GB2312"/>
          <w:color w:val="000000"/>
          <w:sz w:val="36"/>
          <w:szCs w:val="36"/>
        </w:rPr>
      </w:pPr>
    </w:p>
    <w:p>
      <w:pPr>
        <w:rPr>
          <w:rFonts w:eastAsia="仿宋_GB2312"/>
          <w:color w:val="000000"/>
          <w:sz w:val="36"/>
          <w:szCs w:val="36"/>
        </w:rPr>
      </w:pPr>
    </w:p>
    <w:p>
      <w:pPr>
        <w:rPr>
          <w:rFonts w:eastAsia="仿宋_GB2312"/>
          <w:color w:val="000000"/>
          <w:sz w:val="36"/>
          <w:szCs w:val="36"/>
        </w:rPr>
      </w:pPr>
    </w:p>
    <w:p>
      <w:pPr>
        <w:adjustRightInd w:val="0"/>
        <w:snapToGrid w:val="0"/>
        <w:jc w:val="center"/>
        <w:outlineLvl w:val="0"/>
        <w:rPr>
          <w:rFonts w:eastAsia="方正小标宋_GBK"/>
          <w:bCs/>
          <w:color w:val="000000"/>
          <w:sz w:val="72"/>
          <w:szCs w:val="72"/>
        </w:rPr>
      </w:pPr>
      <w:r>
        <w:rPr>
          <w:rFonts w:eastAsia="方正小标宋_GBK"/>
          <w:bCs/>
          <w:color w:val="000000"/>
          <w:sz w:val="72"/>
          <w:szCs w:val="72"/>
        </w:rPr>
        <w:t>建设项目环境影响报告表</w:t>
      </w:r>
    </w:p>
    <w:p>
      <w:pPr>
        <w:adjustRightInd w:val="0"/>
        <w:snapToGrid w:val="0"/>
        <w:spacing w:before="192" w:beforeLines="80"/>
        <w:jc w:val="center"/>
        <w:rPr>
          <w:rFonts w:eastAsia="楷体_GB2312"/>
          <w:bCs/>
          <w:color w:val="000000"/>
          <w:sz w:val="48"/>
          <w:szCs w:val="48"/>
        </w:rPr>
      </w:pPr>
      <w:r>
        <w:rPr>
          <w:rFonts w:eastAsia="楷体_GB2312"/>
          <w:bCs/>
          <w:color w:val="000000"/>
          <w:sz w:val="48"/>
          <w:szCs w:val="48"/>
        </w:rPr>
        <w:t>（污染影响类）</w:t>
      </w:r>
    </w:p>
    <w:p>
      <w:pPr>
        <w:adjustRightInd w:val="0"/>
        <w:snapToGrid w:val="0"/>
        <w:spacing w:line="288" w:lineRule="auto"/>
        <w:jc w:val="center"/>
        <w:rPr>
          <w:rFonts w:eastAsia="华文仿宋"/>
          <w:color w:val="000000"/>
          <w:kern w:val="44"/>
          <w:sz w:val="44"/>
          <w:szCs w:val="44"/>
        </w:rPr>
      </w:pPr>
    </w:p>
    <w:p>
      <w:pPr>
        <w:jc w:val="center"/>
        <w:rPr>
          <w:rFonts w:eastAsia="仿宋"/>
          <w:color w:val="000000"/>
          <w:sz w:val="52"/>
          <w:szCs w:val="52"/>
        </w:rPr>
      </w:pPr>
    </w:p>
    <w:p>
      <w:pPr>
        <w:ind w:firstLine="1040"/>
        <w:rPr>
          <w:rFonts w:eastAsia="仿宋"/>
          <w:color w:val="000000"/>
          <w:sz w:val="44"/>
          <w:szCs w:val="44"/>
        </w:rPr>
      </w:pPr>
    </w:p>
    <w:p>
      <w:pPr>
        <w:ind w:firstLine="1040"/>
        <w:rPr>
          <w:rFonts w:eastAsia="仿宋"/>
          <w:color w:val="000000"/>
          <w:sz w:val="44"/>
          <w:szCs w:val="44"/>
        </w:rPr>
      </w:pPr>
    </w:p>
    <w:p>
      <w:pPr>
        <w:ind w:firstLine="1040"/>
        <w:rPr>
          <w:rFonts w:eastAsia="仿宋"/>
          <w:color w:val="000000"/>
          <w:sz w:val="44"/>
          <w:szCs w:val="44"/>
        </w:rPr>
      </w:pPr>
    </w:p>
    <w:p>
      <w:pPr>
        <w:ind w:firstLine="1040"/>
        <w:rPr>
          <w:rFonts w:eastAsia="仿宋"/>
          <w:color w:val="000000"/>
          <w:sz w:val="44"/>
          <w:szCs w:val="44"/>
        </w:rPr>
      </w:pPr>
    </w:p>
    <w:p>
      <w:pPr>
        <w:adjustRightInd w:val="0"/>
        <w:snapToGrid w:val="0"/>
        <w:spacing w:line="288" w:lineRule="auto"/>
        <w:ind w:firstLine="1040"/>
        <w:rPr>
          <w:rFonts w:eastAsia="仿宋_GB2312"/>
          <w:color w:val="000000"/>
          <w:sz w:val="36"/>
          <w:szCs w:val="36"/>
          <w:u w:val="single"/>
        </w:rPr>
      </w:pPr>
      <w:r>
        <w:rPr>
          <w:rFonts w:eastAsia="仿宋_GB2312"/>
          <w:color w:val="000000"/>
          <w:sz w:val="36"/>
          <w:szCs w:val="36"/>
        </w:rPr>
        <w:t>项目名称：</w:t>
      </w:r>
      <w:r>
        <w:rPr>
          <w:rFonts w:hint="eastAsia" w:eastAsia="仿宋_GB2312"/>
          <w:color w:val="000000"/>
          <w:sz w:val="36"/>
          <w:szCs w:val="36"/>
          <w:u w:val="single"/>
        </w:rPr>
        <w:t xml:space="preserve"> 安徽熵卡科技有限公司氢能与储能的  </w:t>
      </w:r>
    </w:p>
    <w:p>
      <w:pPr>
        <w:adjustRightInd w:val="0"/>
        <w:snapToGrid w:val="0"/>
        <w:spacing w:line="288" w:lineRule="auto"/>
        <w:ind w:firstLine="2858" w:firstLineChars="794"/>
        <w:rPr>
          <w:rFonts w:eastAsia="仿宋"/>
          <w:color w:val="000000"/>
          <w:u w:val="single"/>
        </w:rPr>
      </w:pPr>
      <w:r>
        <w:rPr>
          <w:rFonts w:hint="eastAsia" w:eastAsia="仿宋_GB2312"/>
          <w:color w:val="000000"/>
          <w:sz w:val="36"/>
          <w:szCs w:val="36"/>
          <w:u w:val="single"/>
        </w:rPr>
        <w:t xml:space="preserve">关键材料、装备的自主研发及生产项目 </w:t>
      </w:r>
    </w:p>
    <w:p>
      <w:pPr>
        <w:adjustRightInd w:val="0"/>
        <w:snapToGrid w:val="0"/>
        <w:spacing w:line="288" w:lineRule="auto"/>
        <w:ind w:firstLine="1040"/>
        <w:rPr>
          <w:rFonts w:eastAsia="仿宋_GB2312"/>
          <w:color w:val="000000"/>
          <w:sz w:val="36"/>
          <w:szCs w:val="36"/>
          <w:u w:val="single"/>
        </w:rPr>
      </w:pPr>
      <w:r>
        <w:rPr>
          <w:rFonts w:eastAsia="仿宋_GB2312"/>
          <w:color w:val="000000"/>
          <w:sz w:val="36"/>
          <w:szCs w:val="36"/>
        </w:rPr>
        <w:t>建设单位：</w:t>
      </w:r>
      <w:r>
        <w:rPr>
          <w:rFonts w:eastAsia="仿宋_GB2312"/>
          <w:color w:val="000000"/>
          <w:sz w:val="36"/>
          <w:szCs w:val="36"/>
          <w:u w:val="single"/>
        </w:rPr>
        <w:t xml:space="preserve">  </w:t>
      </w:r>
      <w:r>
        <w:rPr>
          <w:rFonts w:hint="eastAsia" w:eastAsia="仿宋_GB2312"/>
          <w:color w:val="000000"/>
          <w:sz w:val="36"/>
          <w:szCs w:val="36"/>
          <w:u w:val="single"/>
        </w:rPr>
        <w:t xml:space="preserve"> </w:t>
      </w:r>
      <w:r>
        <w:rPr>
          <w:rFonts w:eastAsia="仿宋_GB2312"/>
          <w:color w:val="000000"/>
          <w:sz w:val="36"/>
          <w:szCs w:val="36"/>
          <w:u w:val="single"/>
        </w:rPr>
        <w:t xml:space="preserve"> </w:t>
      </w:r>
      <w:r>
        <w:rPr>
          <w:rFonts w:hint="eastAsia" w:eastAsia="仿宋_GB2312"/>
          <w:color w:val="000000"/>
          <w:sz w:val="36"/>
          <w:szCs w:val="36"/>
          <w:u w:val="single"/>
        </w:rPr>
        <w:t xml:space="preserve">  </w:t>
      </w:r>
      <w:r>
        <w:rPr>
          <w:rFonts w:eastAsia="仿宋_GB2312"/>
          <w:color w:val="000000"/>
          <w:sz w:val="36"/>
          <w:szCs w:val="36"/>
          <w:u w:val="single"/>
        </w:rPr>
        <w:t xml:space="preserve"> </w:t>
      </w:r>
      <w:r>
        <w:rPr>
          <w:rFonts w:hint="eastAsia" w:eastAsia="仿宋_GB2312"/>
          <w:color w:val="000000"/>
          <w:sz w:val="36"/>
          <w:szCs w:val="36"/>
          <w:u w:val="single"/>
        </w:rPr>
        <w:t xml:space="preserve">安徽熵卡科技有限公司   </w:t>
      </w:r>
      <w:r>
        <w:rPr>
          <w:rFonts w:eastAsia="仿宋_GB2312"/>
          <w:color w:val="000000"/>
          <w:sz w:val="36"/>
          <w:szCs w:val="36"/>
          <w:u w:val="single"/>
        </w:rPr>
        <w:t xml:space="preserve"> </w:t>
      </w:r>
      <w:r>
        <w:rPr>
          <w:rFonts w:hint="eastAsia" w:eastAsia="仿宋_GB2312"/>
          <w:color w:val="000000"/>
          <w:sz w:val="36"/>
          <w:szCs w:val="36"/>
          <w:u w:val="single"/>
        </w:rPr>
        <w:t xml:space="preserve">    </w:t>
      </w:r>
    </w:p>
    <w:p>
      <w:pPr>
        <w:adjustRightInd w:val="0"/>
        <w:snapToGrid w:val="0"/>
        <w:spacing w:line="288" w:lineRule="auto"/>
        <w:ind w:firstLine="1040"/>
        <w:rPr>
          <w:rFonts w:eastAsia="仿宋_GB2312"/>
          <w:color w:val="000000"/>
          <w:sz w:val="36"/>
          <w:szCs w:val="36"/>
          <w:u w:val="single"/>
        </w:rPr>
      </w:pPr>
      <w:r>
        <w:rPr>
          <w:rFonts w:eastAsia="仿宋_GB2312"/>
          <w:color w:val="000000"/>
          <w:sz w:val="36"/>
          <w:szCs w:val="36"/>
        </w:rPr>
        <w:t>编制日期：</w:t>
      </w:r>
      <w:r>
        <w:rPr>
          <w:rFonts w:eastAsia="仿宋_GB2312"/>
          <w:color w:val="000000"/>
          <w:sz w:val="36"/>
          <w:szCs w:val="36"/>
          <w:u w:val="single"/>
        </w:rPr>
        <w:t xml:space="preserve">         </w:t>
      </w:r>
      <w:r>
        <w:rPr>
          <w:rFonts w:hint="eastAsia" w:eastAsia="仿宋_GB2312"/>
          <w:color w:val="000000"/>
          <w:sz w:val="36"/>
          <w:szCs w:val="36"/>
          <w:u w:val="single"/>
        </w:rPr>
        <w:t xml:space="preserve"> </w:t>
      </w:r>
      <w:r>
        <w:rPr>
          <w:rFonts w:eastAsia="仿宋_GB2312"/>
          <w:color w:val="000000"/>
          <w:sz w:val="36"/>
          <w:szCs w:val="36"/>
          <w:u w:val="single"/>
        </w:rPr>
        <w:t xml:space="preserve"> 202</w:t>
      </w:r>
      <w:r>
        <w:rPr>
          <w:rFonts w:hint="eastAsia" w:eastAsia="仿宋_GB2312"/>
          <w:color w:val="000000"/>
          <w:sz w:val="36"/>
          <w:szCs w:val="36"/>
          <w:u w:val="single"/>
        </w:rPr>
        <w:t>3</w:t>
      </w:r>
      <w:r>
        <w:rPr>
          <w:rFonts w:eastAsia="仿宋_GB2312"/>
          <w:color w:val="000000"/>
          <w:sz w:val="36"/>
          <w:szCs w:val="36"/>
          <w:u w:val="single"/>
        </w:rPr>
        <w:t>年</w:t>
      </w:r>
      <w:r>
        <w:rPr>
          <w:rFonts w:hint="eastAsia" w:eastAsia="仿宋_GB2312"/>
          <w:color w:val="000000"/>
          <w:sz w:val="36"/>
          <w:szCs w:val="36"/>
          <w:u w:val="single"/>
        </w:rPr>
        <w:t>12</w:t>
      </w:r>
      <w:r>
        <w:rPr>
          <w:rFonts w:eastAsia="仿宋_GB2312"/>
          <w:color w:val="000000"/>
          <w:sz w:val="36"/>
          <w:szCs w:val="36"/>
          <w:u w:val="single"/>
        </w:rPr>
        <w:t xml:space="preserve">月             </w:t>
      </w:r>
    </w:p>
    <w:p>
      <w:pPr>
        <w:adjustRightInd w:val="0"/>
        <w:snapToGrid w:val="0"/>
        <w:spacing w:line="288" w:lineRule="auto"/>
        <w:ind w:firstLine="1040"/>
        <w:rPr>
          <w:rFonts w:eastAsia="仿宋_GB2312"/>
          <w:color w:val="000000"/>
          <w:sz w:val="36"/>
          <w:szCs w:val="36"/>
          <w:u w:val="single"/>
        </w:rPr>
      </w:pPr>
      <w:bookmarkStart w:id="0" w:name="_Hlk57884087"/>
    </w:p>
    <w:p>
      <w:pPr>
        <w:adjustRightInd w:val="0"/>
        <w:snapToGrid w:val="0"/>
        <w:spacing w:line="288" w:lineRule="auto"/>
        <w:ind w:firstLine="1040"/>
        <w:rPr>
          <w:rFonts w:eastAsia="仿宋_GB2312"/>
          <w:color w:val="000000"/>
          <w:sz w:val="36"/>
          <w:szCs w:val="36"/>
        </w:rPr>
      </w:pPr>
    </w:p>
    <w:p>
      <w:pPr>
        <w:adjustRightInd w:val="0"/>
        <w:snapToGrid w:val="0"/>
        <w:spacing w:line="288" w:lineRule="auto"/>
        <w:ind w:firstLine="1040"/>
        <w:rPr>
          <w:rFonts w:eastAsia="仿宋_GB2312"/>
          <w:color w:val="000000"/>
          <w:sz w:val="36"/>
          <w:szCs w:val="36"/>
        </w:rPr>
      </w:pPr>
    </w:p>
    <w:p>
      <w:pPr>
        <w:adjustRightInd w:val="0"/>
        <w:snapToGrid w:val="0"/>
        <w:spacing w:line="288" w:lineRule="auto"/>
        <w:ind w:firstLine="1040"/>
        <w:rPr>
          <w:rFonts w:eastAsia="仿宋_GB2312"/>
          <w:color w:val="000000"/>
          <w:sz w:val="36"/>
          <w:szCs w:val="36"/>
        </w:rPr>
      </w:pPr>
    </w:p>
    <w:p>
      <w:pPr>
        <w:adjustRightInd w:val="0"/>
        <w:snapToGrid w:val="0"/>
        <w:spacing w:line="288" w:lineRule="auto"/>
        <w:ind w:firstLine="1040"/>
        <w:rPr>
          <w:rFonts w:eastAsia="仿宋_GB2312"/>
          <w:color w:val="000000"/>
          <w:sz w:val="36"/>
          <w:szCs w:val="36"/>
        </w:rPr>
      </w:pPr>
    </w:p>
    <w:bookmarkEnd w:id="0"/>
    <w:p>
      <w:pPr>
        <w:adjustRightInd w:val="0"/>
        <w:snapToGrid w:val="0"/>
        <w:spacing w:line="288" w:lineRule="auto"/>
        <w:jc w:val="center"/>
        <w:rPr>
          <w:rFonts w:eastAsia="楷体_GB2312"/>
          <w:color w:val="000000"/>
          <w:sz w:val="36"/>
          <w:szCs w:val="36"/>
        </w:rPr>
      </w:pPr>
      <w:r>
        <w:rPr>
          <w:rFonts w:eastAsia="楷体_GB2312"/>
          <w:color w:val="000000"/>
          <w:sz w:val="36"/>
          <w:szCs w:val="36"/>
        </w:rPr>
        <w:t>中华人民共和国生态环境部制</w:t>
      </w:r>
    </w:p>
    <w:p>
      <w:pPr>
        <w:tabs>
          <w:tab w:val="left" w:pos="7955"/>
        </w:tabs>
        <w:adjustRightInd w:val="0"/>
        <w:snapToGrid w:val="0"/>
        <w:spacing w:line="288" w:lineRule="auto"/>
        <w:ind w:firstLine="1040"/>
        <w:rPr>
          <w:rFonts w:eastAsia="仿宋_GB2312"/>
          <w:color w:val="000000"/>
          <w:sz w:val="36"/>
          <w:szCs w:val="36"/>
        </w:rPr>
        <w:sectPr>
          <w:headerReference r:id="rId3" w:type="default"/>
          <w:footerReference r:id="rId4" w:type="default"/>
          <w:footerReference r:id="rId5" w:type="even"/>
          <w:pgSz w:w="11906" w:h="16838"/>
          <w:pgMar w:top="1418" w:right="1418" w:bottom="1418" w:left="1418" w:header="851" w:footer="1077" w:gutter="0"/>
          <w:pgNumType w:start="3"/>
          <w:cols w:space="720" w:num="1"/>
          <w:docGrid w:linePitch="312" w:charSpace="0"/>
        </w:sectPr>
      </w:pPr>
      <w:r>
        <w:rPr>
          <w:rFonts w:eastAsia="仿宋_GB2312"/>
          <w:color w:val="000000"/>
          <w:sz w:val="36"/>
          <w:szCs w:val="36"/>
        </w:rPr>
        <w:tab/>
      </w:r>
    </w:p>
    <w:p>
      <w:pPr>
        <w:pStyle w:val="20"/>
        <w:jc w:val="center"/>
        <w:outlineLvl w:val="0"/>
        <w:rPr>
          <w:rFonts w:ascii="Times New Roman" w:hAnsi="Times New Roman" w:eastAsia="黑体"/>
          <w:snapToGrid w:val="0"/>
          <w:color w:val="000000"/>
          <w:sz w:val="30"/>
          <w:szCs w:val="30"/>
        </w:rPr>
      </w:pPr>
      <w:r>
        <w:rPr>
          <w:rFonts w:ascii="Times New Roman" w:hAnsi="Times New Roman" w:eastAsia="黑体"/>
          <w:snapToGrid w:val="0"/>
          <w:color w:val="000000"/>
          <w:sz w:val="30"/>
          <w:szCs w:val="30"/>
        </w:rPr>
        <w:t>一、建设项目基本情况</w:t>
      </w: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681"/>
        <w:gridCol w:w="1300"/>
        <w:gridCol w:w="2038"/>
        <w:gridCol w:w="2212"/>
        <w:gridCol w:w="30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建设项目名称</w:t>
            </w:r>
          </w:p>
        </w:tc>
        <w:tc>
          <w:tcPr>
            <w:tcW w:w="7284" w:type="dxa"/>
            <w:gridSpan w:val="3"/>
            <w:vAlign w:val="center"/>
          </w:tcPr>
          <w:p>
            <w:pPr>
              <w:adjustRightInd w:val="0"/>
              <w:snapToGrid w:val="0"/>
              <w:jc w:val="center"/>
              <w:rPr>
                <w:szCs w:val="21"/>
              </w:rPr>
            </w:pPr>
            <w:r>
              <w:rPr>
                <w:rFonts w:hint="eastAsia"/>
                <w:szCs w:val="21"/>
              </w:rPr>
              <w:t>安徽熵卡科技有限公司氢能与储能的关键材料、装备的自主研发及生产项目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项目代码</w:t>
            </w:r>
          </w:p>
        </w:tc>
        <w:tc>
          <w:tcPr>
            <w:tcW w:w="7284" w:type="dxa"/>
            <w:gridSpan w:val="3"/>
            <w:vAlign w:val="center"/>
          </w:tcPr>
          <w:p>
            <w:pPr>
              <w:adjustRightInd w:val="0"/>
              <w:snapToGrid w:val="0"/>
              <w:jc w:val="center"/>
              <w:rPr>
                <w:szCs w:val="21"/>
              </w:rPr>
            </w:pPr>
            <w:r>
              <w:rPr>
                <w:rFonts w:hint="eastAsia"/>
                <w:szCs w:val="21"/>
              </w:rPr>
              <w:t>2312-340161-04-01-964949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建设单位联系人</w:t>
            </w:r>
          </w:p>
        </w:tc>
        <w:tc>
          <w:tcPr>
            <w:tcW w:w="2038" w:type="dxa"/>
            <w:vAlign w:val="center"/>
          </w:tcPr>
          <w:p>
            <w:pPr>
              <w:adjustRightInd w:val="0"/>
              <w:snapToGrid w:val="0"/>
              <w:jc w:val="center"/>
              <w:rPr>
                <w:szCs w:val="21"/>
              </w:rPr>
            </w:pPr>
            <w:r>
              <w:rPr>
                <w:rFonts w:hint="eastAsia"/>
                <w:szCs w:val="21"/>
              </w:rPr>
              <w:t>周方耀</w:t>
            </w:r>
          </w:p>
        </w:tc>
        <w:tc>
          <w:tcPr>
            <w:tcW w:w="2212" w:type="dxa"/>
            <w:vAlign w:val="center"/>
          </w:tcPr>
          <w:p>
            <w:pPr>
              <w:adjustRightInd w:val="0"/>
              <w:snapToGrid w:val="0"/>
              <w:jc w:val="center"/>
              <w:rPr>
                <w:b/>
                <w:szCs w:val="21"/>
              </w:rPr>
            </w:pPr>
            <w:r>
              <w:rPr>
                <w:b/>
                <w:szCs w:val="21"/>
              </w:rPr>
              <w:t>联系方式</w:t>
            </w:r>
          </w:p>
        </w:tc>
        <w:tc>
          <w:tcPr>
            <w:tcW w:w="3034" w:type="dxa"/>
            <w:vAlign w:val="center"/>
          </w:tcPr>
          <w:p>
            <w:pPr>
              <w:adjustRightInd w:val="0"/>
              <w:snapToGrid w:val="0"/>
              <w:jc w:val="center"/>
              <w:rPr>
                <w:szCs w:val="21"/>
              </w:rPr>
            </w:pPr>
            <w:r>
              <w:rPr>
                <w:rFonts w:hint="eastAsia"/>
                <w:szCs w:val="21"/>
              </w:rPr>
              <w:t>15255132830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建设地点</w:t>
            </w:r>
          </w:p>
        </w:tc>
        <w:tc>
          <w:tcPr>
            <w:tcW w:w="7284" w:type="dxa"/>
            <w:gridSpan w:val="3"/>
            <w:vAlign w:val="center"/>
          </w:tcPr>
          <w:p>
            <w:pPr>
              <w:adjustRightInd w:val="0"/>
              <w:snapToGrid w:val="0"/>
              <w:jc w:val="center"/>
              <w:rPr>
                <w:szCs w:val="21"/>
              </w:rPr>
            </w:pPr>
            <w:r>
              <w:rPr>
                <w:rFonts w:hint="eastAsia"/>
                <w:szCs w:val="21"/>
              </w:rPr>
              <w:t>安徽省合肥市高新技术产业开发区明珠产业园2C-3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地理坐标</w:t>
            </w:r>
          </w:p>
        </w:tc>
        <w:tc>
          <w:tcPr>
            <w:tcW w:w="7284" w:type="dxa"/>
            <w:gridSpan w:val="3"/>
            <w:vAlign w:val="center"/>
          </w:tcPr>
          <w:p>
            <w:pPr>
              <w:jc w:val="center"/>
              <w:rPr>
                <w:szCs w:val="21"/>
              </w:rPr>
            </w:pPr>
            <w:r>
              <w:rPr>
                <w:rFonts w:hint="eastAsia"/>
                <w:szCs w:val="21"/>
              </w:rPr>
              <w:t>经度：</w:t>
            </w:r>
            <w:r>
              <w:rPr>
                <w:szCs w:val="21"/>
              </w:rPr>
              <w:t>117度0</w:t>
            </w:r>
            <w:r>
              <w:rPr>
                <w:rFonts w:hint="eastAsia"/>
                <w:szCs w:val="21"/>
              </w:rPr>
              <w:t>7</w:t>
            </w:r>
            <w:r>
              <w:rPr>
                <w:szCs w:val="21"/>
              </w:rPr>
              <w:t>分</w:t>
            </w:r>
            <w:r>
              <w:rPr>
                <w:rFonts w:hint="eastAsia"/>
                <w:szCs w:val="21"/>
              </w:rPr>
              <w:t>42.950</w:t>
            </w:r>
            <w:r>
              <w:rPr>
                <w:szCs w:val="21"/>
              </w:rPr>
              <w:t>秒，</w:t>
            </w:r>
            <w:r>
              <w:rPr>
                <w:rFonts w:hint="eastAsia"/>
                <w:szCs w:val="21"/>
              </w:rPr>
              <w:t>纬度：</w:t>
            </w:r>
            <w:r>
              <w:rPr>
                <w:szCs w:val="21"/>
              </w:rPr>
              <w:t>31度</w:t>
            </w:r>
            <w:r>
              <w:rPr>
                <w:rFonts w:hint="eastAsia"/>
                <w:szCs w:val="21"/>
              </w:rPr>
              <w:t>48</w:t>
            </w:r>
            <w:r>
              <w:rPr>
                <w:szCs w:val="21"/>
              </w:rPr>
              <w:t>分</w:t>
            </w:r>
            <w:r>
              <w:rPr>
                <w:rFonts w:hint="eastAsia"/>
                <w:szCs w:val="21"/>
              </w:rPr>
              <w:t>11.148</w:t>
            </w:r>
            <w:r>
              <w:rPr>
                <w:szCs w:val="21"/>
              </w:rPr>
              <w:t>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国民经济</w:t>
            </w:r>
          </w:p>
          <w:p>
            <w:pPr>
              <w:adjustRightInd w:val="0"/>
              <w:snapToGrid w:val="0"/>
              <w:jc w:val="center"/>
              <w:rPr>
                <w:b/>
                <w:szCs w:val="21"/>
              </w:rPr>
            </w:pPr>
            <w:r>
              <w:rPr>
                <w:b/>
                <w:szCs w:val="21"/>
              </w:rPr>
              <w:t>行业类别</w:t>
            </w:r>
          </w:p>
        </w:tc>
        <w:tc>
          <w:tcPr>
            <w:tcW w:w="2038" w:type="dxa"/>
            <w:vAlign w:val="center"/>
          </w:tcPr>
          <w:p>
            <w:pPr>
              <w:widowControl/>
              <w:jc w:val="center"/>
              <w:rPr>
                <w:szCs w:val="21"/>
              </w:rPr>
            </w:pPr>
            <w:r>
              <w:rPr>
                <w:rFonts w:hint="eastAsia"/>
                <w:szCs w:val="21"/>
              </w:rPr>
              <w:t>电子专用材料制造 C3985</w:t>
            </w:r>
            <w:r>
              <w:rPr>
                <w:rFonts w:hint="eastAsia"/>
              </w:rPr>
              <w:t>、</w:t>
            </w:r>
            <w:r>
              <w:rPr>
                <w:rStyle w:val="31"/>
                <w:rFonts w:hint="eastAsia"/>
                <w:kern w:val="0"/>
                <w:szCs w:val="20"/>
              </w:rPr>
              <w:t>工程和技术研究和试验发展 M7320</w:t>
            </w:r>
          </w:p>
        </w:tc>
        <w:tc>
          <w:tcPr>
            <w:tcW w:w="2212" w:type="dxa"/>
            <w:vAlign w:val="center"/>
          </w:tcPr>
          <w:p>
            <w:pPr>
              <w:adjustRightInd w:val="0"/>
              <w:snapToGrid w:val="0"/>
              <w:jc w:val="center"/>
              <w:rPr>
                <w:b/>
                <w:bCs/>
                <w:szCs w:val="21"/>
              </w:rPr>
            </w:pPr>
            <w:bookmarkStart w:id="1" w:name="_Hlk49843745"/>
            <w:r>
              <w:rPr>
                <w:b/>
                <w:bCs/>
                <w:szCs w:val="21"/>
              </w:rPr>
              <w:t>建设项目</w:t>
            </w:r>
          </w:p>
          <w:p>
            <w:pPr>
              <w:adjustRightInd w:val="0"/>
              <w:snapToGrid w:val="0"/>
              <w:jc w:val="center"/>
              <w:rPr>
                <w:szCs w:val="21"/>
              </w:rPr>
            </w:pPr>
            <w:r>
              <w:rPr>
                <w:b/>
                <w:bCs/>
                <w:szCs w:val="21"/>
              </w:rPr>
              <w:t>行业类别</w:t>
            </w:r>
            <w:bookmarkEnd w:id="1"/>
          </w:p>
        </w:tc>
        <w:tc>
          <w:tcPr>
            <w:tcW w:w="3034" w:type="dxa"/>
            <w:vAlign w:val="center"/>
          </w:tcPr>
          <w:p>
            <w:pPr>
              <w:widowControl/>
              <w:ind w:left="42" w:leftChars="20"/>
              <w:rPr>
                <w:szCs w:val="21"/>
              </w:rPr>
            </w:pPr>
            <w:r>
              <w:rPr>
                <w:szCs w:val="21"/>
              </w:rPr>
              <w:t>“三十六</w:t>
            </w:r>
            <w:r>
              <w:rPr>
                <w:rFonts w:hint="eastAsia"/>
                <w:szCs w:val="21"/>
              </w:rPr>
              <w:t>、计算机、通信和其他电子设备制造业 39</w:t>
            </w:r>
            <w:r>
              <w:rPr>
                <w:szCs w:val="21"/>
              </w:rPr>
              <w:t>-</w:t>
            </w:r>
            <w:r>
              <w:rPr>
                <w:rFonts w:hint="eastAsia"/>
                <w:szCs w:val="21"/>
              </w:rPr>
              <w:t>81</w:t>
            </w:r>
            <w:r>
              <w:rPr>
                <w:szCs w:val="21"/>
              </w:rPr>
              <w:t>、</w:t>
            </w:r>
            <w:r>
              <w:rPr>
                <w:rFonts w:hint="eastAsia"/>
                <w:szCs w:val="21"/>
              </w:rPr>
              <w:t>电子元件及电子专用材料制造398</w:t>
            </w:r>
            <w:r>
              <w:rPr>
                <w:szCs w:val="21"/>
              </w:rPr>
              <w:t>”“四十五、研究和试验发展-98、专业实验室、研发（试验）基地”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建设性质</w:t>
            </w:r>
          </w:p>
        </w:tc>
        <w:tc>
          <w:tcPr>
            <w:tcW w:w="2038" w:type="dxa"/>
            <w:vAlign w:val="center"/>
          </w:tcPr>
          <w:p>
            <w:pPr>
              <w:jc w:val="left"/>
              <w:rPr>
                <w:szCs w:val="21"/>
              </w:rPr>
            </w:pPr>
            <w:r>
              <w:rPr>
                <w:szCs w:val="21"/>
              </w:rPr>
              <w:sym w:font="Wingdings 2" w:char="0052"/>
            </w:r>
            <w:r>
              <w:rPr>
                <w:szCs w:val="21"/>
              </w:rPr>
              <w:t>新建（迁建）</w:t>
            </w:r>
          </w:p>
          <w:p>
            <w:pPr>
              <w:jc w:val="left"/>
              <w:rPr>
                <w:szCs w:val="21"/>
              </w:rPr>
            </w:pPr>
            <w:r>
              <w:rPr>
                <w:szCs w:val="21"/>
              </w:rPr>
              <w:sym w:font="Wingdings 2" w:char="00A3"/>
            </w:r>
            <w:r>
              <w:rPr>
                <w:szCs w:val="21"/>
              </w:rPr>
              <w:t>改建</w:t>
            </w:r>
          </w:p>
          <w:p>
            <w:pPr>
              <w:jc w:val="left"/>
              <w:rPr>
                <w:szCs w:val="21"/>
              </w:rPr>
            </w:pPr>
            <w:r>
              <w:rPr>
                <w:szCs w:val="21"/>
              </w:rPr>
              <w:sym w:font="Wingdings 2" w:char="00A3"/>
            </w:r>
            <w:r>
              <w:rPr>
                <w:szCs w:val="21"/>
              </w:rPr>
              <w:t>扩建</w:t>
            </w:r>
          </w:p>
          <w:p>
            <w:pPr>
              <w:jc w:val="left"/>
              <w:rPr>
                <w:szCs w:val="21"/>
              </w:rPr>
            </w:pPr>
            <w:r>
              <w:rPr>
                <w:szCs w:val="21"/>
              </w:rPr>
              <w:sym w:font="Wingdings 2" w:char="00A3"/>
            </w:r>
            <w:r>
              <w:rPr>
                <w:szCs w:val="21"/>
              </w:rPr>
              <w:t>技术改造</w:t>
            </w:r>
          </w:p>
        </w:tc>
        <w:tc>
          <w:tcPr>
            <w:tcW w:w="2212" w:type="dxa"/>
            <w:vAlign w:val="center"/>
          </w:tcPr>
          <w:p>
            <w:pPr>
              <w:adjustRightInd w:val="0"/>
              <w:snapToGrid w:val="0"/>
              <w:jc w:val="center"/>
              <w:rPr>
                <w:b/>
                <w:szCs w:val="21"/>
              </w:rPr>
            </w:pPr>
            <w:r>
              <w:rPr>
                <w:b/>
                <w:szCs w:val="21"/>
              </w:rPr>
              <w:t>建设项目</w:t>
            </w:r>
          </w:p>
          <w:p>
            <w:pPr>
              <w:adjustRightInd w:val="0"/>
              <w:snapToGrid w:val="0"/>
              <w:jc w:val="center"/>
              <w:rPr>
                <w:szCs w:val="21"/>
              </w:rPr>
            </w:pPr>
            <w:r>
              <w:rPr>
                <w:b/>
                <w:szCs w:val="21"/>
              </w:rPr>
              <w:t>申报情形</w:t>
            </w:r>
          </w:p>
        </w:tc>
        <w:tc>
          <w:tcPr>
            <w:tcW w:w="3034" w:type="dxa"/>
            <w:vAlign w:val="center"/>
          </w:tcPr>
          <w:p>
            <w:pPr>
              <w:ind w:left="21" w:leftChars="10"/>
              <w:jc w:val="left"/>
              <w:rPr>
                <w:szCs w:val="21"/>
              </w:rPr>
            </w:pPr>
            <w:r>
              <w:rPr>
                <w:szCs w:val="21"/>
              </w:rPr>
              <w:sym w:font="Wingdings 2" w:char="0052"/>
            </w:r>
            <w:r>
              <w:rPr>
                <w:szCs w:val="21"/>
              </w:rPr>
              <w:t xml:space="preserve">首次申报项目             </w:t>
            </w:r>
          </w:p>
          <w:p>
            <w:pPr>
              <w:ind w:left="21" w:leftChars="10"/>
              <w:jc w:val="left"/>
              <w:rPr>
                <w:szCs w:val="21"/>
              </w:rPr>
            </w:pPr>
            <w:r>
              <w:rPr>
                <w:szCs w:val="21"/>
              </w:rPr>
              <w:sym w:font="Wingdings 2" w:char="00A3"/>
            </w:r>
            <w:r>
              <w:rPr>
                <w:szCs w:val="21"/>
              </w:rPr>
              <w:t>不予批准后再次申报项目</w:t>
            </w:r>
          </w:p>
          <w:p>
            <w:pPr>
              <w:ind w:left="21" w:leftChars="10"/>
              <w:jc w:val="left"/>
              <w:rPr>
                <w:szCs w:val="21"/>
              </w:rPr>
            </w:pPr>
            <w:r>
              <w:rPr>
                <w:szCs w:val="21"/>
              </w:rPr>
              <w:sym w:font="Wingdings 2" w:char="00A3"/>
            </w:r>
            <w:r>
              <w:rPr>
                <w:szCs w:val="21"/>
              </w:rPr>
              <w:t xml:space="preserve">超五年重新审核项目     </w:t>
            </w:r>
          </w:p>
          <w:p>
            <w:pPr>
              <w:ind w:left="21" w:leftChars="10"/>
              <w:jc w:val="left"/>
              <w:rPr>
                <w:szCs w:val="21"/>
              </w:rPr>
            </w:pPr>
            <w:r>
              <w:rPr>
                <w:szCs w:val="21"/>
              </w:rPr>
              <w:sym w:font="Wingdings 2" w:char="00A3"/>
            </w:r>
            <w:r>
              <w:rPr>
                <w:szCs w:val="21"/>
              </w:rPr>
              <w:t>重大变动重新报批项目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57"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项目审批（核准/</w:t>
            </w:r>
          </w:p>
          <w:p>
            <w:pPr>
              <w:adjustRightInd w:val="0"/>
              <w:snapToGrid w:val="0"/>
              <w:jc w:val="center"/>
              <w:rPr>
                <w:b/>
                <w:szCs w:val="21"/>
              </w:rPr>
            </w:pPr>
            <w:r>
              <w:rPr>
                <w:b/>
                <w:szCs w:val="21"/>
              </w:rPr>
              <w:t>备案）部门（选填）</w:t>
            </w:r>
          </w:p>
        </w:tc>
        <w:tc>
          <w:tcPr>
            <w:tcW w:w="2038" w:type="dxa"/>
            <w:vAlign w:val="center"/>
          </w:tcPr>
          <w:p>
            <w:pPr>
              <w:adjustRightInd w:val="0"/>
              <w:snapToGrid w:val="0"/>
              <w:jc w:val="center"/>
              <w:rPr>
                <w:szCs w:val="21"/>
              </w:rPr>
            </w:pPr>
            <w:r>
              <w:rPr>
                <w:szCs w:val="21"/>
              </w:rPr>
              <w:t>合肥高新技术产业开发区经济</w:t>
            </w:r>
            <w:r>
              <w:rPr>
                <w:rFonts w:hint="eastAsia"/>
                <w:szCs w:val="21"/>
              </w:rPr>
              <w:t>发展</w:t>
            </w:r>
            <w:r>
              <w:rPr>
                <w:szCs w:val="21"/>
              </w:rPr>
              <w:t>局</w:t>
            </w:r>
          </w:p>
        </w:tc>
        <w:tc>
          <w:tcPr>
            <w:tcW w:w="2212" w:type="dxa"/>
            <w:vAlign w:val="center"/>
          </w:tcPr>
          <w:p>
            <w:pPr>
              <w:adjustRightInd w:val="0"/>
              <w:snapToGrid w:val="0"/>
              <w:jc w:val="center"/>
              <w:rPr>
                <w:b/>
                <w:szCs w:val="21"/>
              </w:rPr>
            </w:pPr>
            <w:r>
              <w:rPr>
                <w:b/>
                <w:szCs w:val="21"/>
              </w:rPr>
              <w:t>项目审批（核准/</w:t>
            </w:r>
          </w:p>
          <w:p>
            <w:pPr>
              <w:adjustRightInd w:val="0"/>
              <w:snapToGrid w:val="0"/>
              <w:jc w:val="center"/>
              <w:rPr>
                <w:szCs w:val="21"/>
              </w:rPr>
            </w:pPr>
            <w:r>
              <w:rPr>
                <w:b/>
                <w:szCs w:val="21"/>
              </w:rPr>
              <w:t>备案）文号（选填）</w:t>
            </w:r>
          </w:p>
        </w:tc>
        <w:tc>
          <w:tcPr>
            <w:tcW w:w="3034" w:type="dxa"/>
            <w:vAlign w:val="center"/>
          </w:tcPr>
          <w:p>
            <w:pPr>
              <w:adjustRightInd w:val="0"/>
              <w:snapToGrid w:val="0"/>
              <w:jc w:val="center"/>
              <w:rPr>
                <w:szCs w:val="21"/>
              </w:rPr>
            </w:pPr>
            <w:r>
              <w:rPr>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总投资（万元）</w:t>
            </w:r>
          </w:p>
        </w:tc>
        <w:tc>
          <w:tcPr>
            <w:tcW w:w="2038" w:type="dxa"/>
            <w:vAlign w:val="center"/>
          </w:tcPr>
          <w:p>
            <w:pPr>
              <w:adjustRightInd w:val="0"/>
              <w:snapToGrid w:val="0"/>
              <w:jc w:val="center"/>
              <w:rPr>
                <w:szCs w:val="21"/>
              </w:rPr>
            </w:pPr>
            <w:r>
              <w:rPr>
                <w:rFonts w:hint="eastAsia"/>
                <w:szCs w:val="21"/>
              </w:rPr>
              <w:t>10000</w:t>
            </w:r>
          </w:p>
        </w:tc>
        <w:tc>
          <w:tcPr>
            <w:tcW w:w="2212" w:type="dxa"/>
            <w:tcMar>
              <w:top w:w="16" w:type="dxa"/>
              <w:left w:w="16" w:type="dxa"/>
              <w:right w:w="16" w:type="dxa"/>
            </w:tcMar>
            <w:vAlign w:val="center"/>
          </w:tcPr>
          <w:p>
            <w:pPr>
              <w:adjustRightInd w:val="0"/>
              <w:snapToGrid w:val="0"/>
              <w:jc w:val="center"/>
              <w:rPr>
                <w:b/>
                <w:szCs w:val="21"/>
              </w:rPr>
            </w:pPr>
            <w:r>
              <w:rPr>
                <w:b/>
                <w:szCs w:val="21"/>
              </w:rPr>
              <w:t>环保投资（万元）</w:t>
            </w:r>
          </w:p>
        </w:tc>
        <w:tc>
          <w:tcPr>
            <w:tcW w:w="3034" w:type="dxa"/>
            <w:vAlign w:val="center"/>
          </w:tcPr>
          <w:p>
            <w:pPr>
              <w:adjustRightInd w:val="0"/>
              <w:snapToGrid w:val="0"/>
              <w:jc w:val="center"/>
              <w:rPr>
                <w:szCs w:val="21"/>
              </w:rPr>
            </w:pPr>
            <w:r>
              <w:rPr>
                <w:rFonts w:hint="eastAsia"/>
                <w:szCs w:val="21"/>
              </w:rPr>
              <w:t>185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环保投资占比（%）</w:t>
            </w:r>
          </w:p>
        </w:tc>
        <w:tc>
          <w:tcPr>
            <w:tcW w:w="2038" w:type="dxa"/>
            <w:vAlign w:val="center"/>
          </w:tcPr>
          <w:p>
            <w:pPr>
              <w:adjustRightInd w:val="0"/>
              <w:snapToGrid w:val="0"/>
              <w:jc w:val="center"/>
              <w:rPr>
                <w:szCs w:val="21"/>
              </w:rPr>
            </w:pPr>
            <w:r>
              <w:rPr>
                <w:rFonts w:hint="eastAsia"/>
                <w:szCs w:val="21"/>
              </w:rPr>
              <w:t>1.85</w:t>
            </w:r>
            <w:r>
              <w:rPr>
                <w:szCs w:val="21"/>
              </w:rPr>
              <w:t>%</w:t>
            </w:r>
          </w:p>
        </w:tc>
        <w:tc>
          <w:tcPr>
            <w:tcW w:w="2212" w:type="dxa"/>
            <w:tcMar>
              <w:top w:w="16" w:type="dxa"/>
              <w:left w:w="16" w:type="dxa"/>
              <w:right w:w="16" w:type="dxa"/>
            </w:tcMar>
            <w:vAlign w:val="center"/>
          </w:tcPr>
          <w:p>
            <w:pPr>
              <w:adjustRightInd w:val="0"/>
              <w:snapToGrid w:val="0"/>
              <w:jc w:val="center"/>
              <w:rPr>
                <w:b/>
                <w:szCs w:val="21"/>
              </w:rPr>
            </w:pPr>
            <w:r>
              <w:rPr>
                <w:b/>
                <w:szCs w:val="21"/>
              </w:rPr>
              <w:t>施工工期</w:t>
            </w:r>
          </w:p>
        </w:tc>
        <w:tc>
          <w:tcPr>
            <w:tcW w:w="3034" w:type="dxa"/>
            <w:vAlign w:val="center"/>
          </w:tcPr>
          <w:p>
            <w:pPr>
              <w:adjustRightInd w:val="0"/>
              <w:snapToGrid w:val="0"/>
              <w:jc w:val="center"/>
              <w:rPr>
                <w:szCs w:val="21"/>
              </w:rPr>
            </w:pPr>
            <w:r>
              <w:rPr>
                <w:rFonts w:hint="eastAsia"/>
                <w:szCs w:val="21"/>
              </w:rPr>
              <w:t>6</w:t>
            </w:r>
            <w:r>
              <w:rPr>
                <w:szCs w:val="21"/>
              </w:rPr>
              <w:t>个月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b/>
                <w:szCs w:val="21"/>
              </w:rPr>
            </w:pPr>
            <w:r>
              <w:rPr>
                <w:b/>
                <w:szCs w:val="21"/>
              </w:rPr>
              <w:t>是否开工建设</w:t>
            </w:r>
          </w:p>
        </w:tc>
        <w:tc>
          <w:tcPr>
            <w:tcW w:w="2038" w:type="dxa"/>
            <w:vAlign w:val="center"/>
          </w:tcPr>
          <w:p>
            <w:pPr>
              <w:adjustRightInd w:val="0"/>
              <w:snapToGrid w:val="0"/>
              <w:rPr>
                <w:szCs w:val="21"/>
              </w:rPr>
            </w:pPr>
            <w:r>
              <w:rPr>
                <w:szCs w:val="21"/>
              </w:rPr>
              <w:sym w:font="Wingdings 2" w:char="0052"/>
            </w:r>
            <w:r>
              <w:rPr>
                <w:szCs w:val="21"/>
              </w:rPr>
              <w:t>否</w:t>
            </w:r>
          </w:p>
          <w:p>
            <w:pPr>
              <w:adjustRightInd w:val="0"/>
              <w:snapToGrid w:val="0"/>
              <w:rPr>
                <w:szCs w:val="21"/>
              </w:rPr>
            </w:pPr>
            <w:r>
              <w:rPr>
                <w:szCs w:val="21"/>
              </w:rPr>
              <w:sym w:font="Wingdings 2" w:char="00A3"/>
            </w:r>
            <w:r>
              <w:rPr>
                <w:szCs w:val="21"/>
              </w:rPr>
              <w:t>是：</w:t>
            </w:r>
            <w:r>
              <w:rPr>
                <w:szCs w:val="21"/>
                <w:u w:val="single"/>
              </w:rPr>
              <w:t xml:space="preserve">             </w:t>
            </w:r>
          </w:p>
        </w:tc>
        <w:tc>
          <w:tcPr>
            <w:tcW w:w="2212" w:type="dxa"/>
            <w:tcMar>
              <w:top w:w="16" w:type="dxa"/>
              <w:left w:w="16" w:type="dxa"/>
              <w:right w:w="16" w:type="dxa"/>
            </w:tcMar>
            <w:vAlign w:val="center"/>
          </w:tcPr>
          <w:p>
            <w:pPr>
              <w:adjustRightInd w:val="0"/>
              <w:snapToGrid w:val="0"/>
              <w:jc w:val="center"/>
              <w:rPr>
                <w:szCs w:val="21"/>
              </w:rPr>
            </w:pPr>
            <w:r>
              <w:rPr>
                <w:b/>
                <w:spacing w:val="-6"/>
                <w:szCs w:val="21"/>
              </w:rPr>
              <w:t>用地面积（m</w:t>
            </w:r>
            <w:r>
              <w:rPr>
                <w:b/>
                <w:spacing w:val="-6"/>
                <w:szCs w:val="21"/>
                <w:vertAlign w:val="superscript"/>
              </w:rPr>
              <w:t>2</w:t>
            </w:r>
            <w:r>
              <w:rPr>
                <w:b/>
                <w:spacing w:val="-6"/>
                <w:szCs w:val="21"/>
              </w:rPr>
              <w:t>）</w:t>
            </w:r>
          </w:p>
        </w:tc>
        <w:tc>
          <w:tcPr>
            <w:tcW w:w="3034" w:type="dxa"/>
            <w:vAlign w:val="center"/>
          </w:tcPr>
          <w:p>
            <w:pPr>
              <w:adjustRightInd w:val="0"/>
              <w:snapToGrid w:val="0"/>
              <w:jc w:val="center"/>
              <w:rPr>
                <w:szCs w:val="21"/>
              </w:rPr>
            </w:pPr>
            <w:r>
              <w:rPr>
                <w:rFonts w:hint="eastAsia"/>
                <w:szCs w:val="21"/>
              </w:rPr>
              <w:t>2127.61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81" w:type="dxa"/>
            <w:gridSpan w:val="2"/>
            <w:vAlign w:val="center"/>
          </w:tcPr>
          <w:p>
            <w:pPr>
              <w:autoSpaceDE w:val="0"/>
              <w:autoSpaceDN w:val="0"/>
              <w:adjustRightInd w:val="0"/>
              <w:snapToGrid w:val="0"/>
              <w:jc w:val="center"/>
              <w:rPr>
                <w:b/>
                <w:kern w:val="0"/>
                <w:szCs w:val="21"/>
              </w:rPr>
            </w:pPr>
            <w:r>
              <w:rPr>
                <w:b/>
                <w:kern w:val="0"/>
                <w:szCs w:val="21"/>
              </w:rPr>
              <w:t>专项评价设置情况</w:t>
            </w:r>
          </w:p>
        </w:tc>
        <w:tc>
          <w:tcPr>
            <w:tcW w:w="7284" w:type="dxa"/>
            <w:gridSpan w:val="3"/>
            <w:vAlign w:val="center"/>
          </w:tcPr>
          <w:p>
            <w:pPr>
              <w:autoSpaceDE w:val="0"/>
              <w:autoSpaceDN w:val="0"/>
              <w:adjustRightInd w:val="0"/>
              <w:snapToGrid w:val="0"/>
              <w:jc w:val="center"/>
              <w:rPr>
                <w:kern w:val="0"/>
                <w:sz w:val="24"/>
              </w:rPr>
            </w:pPr>
            <w:r>
              <w:rPr>
                <w:kern w:val="0"/>
                <w:sz w:val="24"/>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681" w:type="dxa"/>
            <w:vAlign w:val="center"/>
          </w:tcPr>
          <w:p>
            <w:pPr>
              <w:autoSpaceDE w:val="0"/>
              <w:autoSpaceDN w:val="0"/>
              <w:adjustRightInd w:val="0"/>
              <w:snapToGrid w:val="0"/>
              <w:jc w:val="center"/>
              <w:rPr>
                <w:b/>
                <w:kern w:val="0"/>
                <w:szCs w:val="21"/>
              </w:rPr>
            </w:pPr>
            <w:r>
              <w:rPr>
                <w:b/>
                <w:szCs w:val="21"/>
              </w:rPr>
              <w:t>规划情况</w:t>
            </w:r>
          </w:p>
        </w:tc>
        <w:tc>
          <w:tcPr>
            <w:tcW w:w="8584" w:type="dxa"/>
            <w:gridSpan w:val="4"/>
            <w:vAlign w:val="center"/>
          </w:tcPr>
          <w:p>
            <w:pPr>
              <w:autoSpaceDE w:val="0"/>
              <w:autoSpaceDN w:val="0"/>
              <w:adjustRightInd w:val="0"/>
              <w:snapToGrid w:val="0"/>
              <w:spacing w:line="360" w:lineRule="auto"/>
              <w:jc w:val="left"/>
              <w:rPr>
                <w:bCs/>
                <w:sz w:val="24"/>
              </w:rPr>
            </w:pPr>
            <w:r>
              <w:rPr>
                <w:b/>
                <w:sz w:val="24"/>
              </w:rPr>
              <w:t>规划名称：</w:t>
            </w:r>
            <w:r>
              <w:rPr>
                <w:bCs/>
                <w:sz w:val="24"/>
              </w:rPr>
              <w:t>《合肥市城市近期建设规划（2016-2020年）》；</w:t>
            </w:r>
          </w:p>
          <w:p>
            <w:pPr>
              <w:autoSpaceDE w:val="0"/>
              <w:autoSpaceDN w:val="0"/>
              <w:adjustRightInd w:val="0"/>
              <w:snapToGrid w:val="0"/>
              <w:spacing w:line="360" w:lineRule="auto"/>
              <w:jc w:val="left"/>
              <w:rPr>
                <w:bCs/>
                <w:sz w:val="24"/>
              </w:rPr>
            </w:pPr>
            <w:r>
              <w:rPr>
                <w:b/>
                <w:sz w:val="24"/>
              </w:rPr>
              <w:t>审批机关：</w:t>
            </w:r>
            <w:r>
              <w:rPr>
                <w:bCs/>
                <w:sz w:val="24"/>
              </w:rPr>
              <w:t>合肥市人民政府；</w:t>
            </w:r>
          </w:p>
          <w:p>
            <w:pPr>
              <w:autoSpaceDE w:val="0"/>
              <w:autoSpaceDN w:val="0"/>
              <w:adjustRightInd w:val="0"/>
              <w:snapToGrid w:val="0"/>
              <w:spacing w:line="360" w:lineRule="auto"/>
              <w:rPr>
                <w:kern w:val="0"/>
                <w:sz w:val="24"/>
              </w:rPr>
            </w:pPr>
            <w:r>
              <w:rPr>
                <w:b/>
                <w:sz w:val="24"/>
              </w:rPr>
              <w:t>审批文件名称及文号：</w:t>
            </w:r>
            <w:r>
              <w:rPr>
                <w:bCs/>
                <w:sz w:val="24"/>
              </w:rPr>
              <w:t>《合肥市人民政府关于《合肥市城市近期建设规划（2016-2020年）》的批复》，合政秘〔2017〕5号。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681" w:type="dxa"/>
            <w:vAlign w:val="center"/>
          </w:tcPr>
          <w:p>
            <w:pPr>
              <w:adjustRightInd w:val="0"/>
              <w:snapToGrid w:val="0"/>
              <w:jc w:val="center"/>
              <w:rPr>
                <w:b/>
                <w:szCs w:val="21"/>
              </w:rPr>
            </w:pPr>
            <w:r>
              <w:rPr>
                <w:b/>
                <w:szCs w:val="21"/>
              </w:rPr>
              <w:t>规划环境影响</w:t>
            </w:r>
          </w:p>
          <w:p>
            <w:pPr>
              <w:adjustRightInd w:val="0"/>
              <w:snapToGrid w:val="0"/>
              <w:jc w:val="center"/>
              <w:rPr>
                <w:b/>
                <w:kern w:val="0"/>
                <w:szCs w:val="21"/>
              </w:rPr>
            </w:pPr>
            <w:r>
              <w:rPr>
                <w:b/>
                <w:szCs w:val="21"/>
              </w:rPr>
              <w:t>评价情况</w:t>
            </w:r>
          </w:p>
        </w:tc>
        <w:tc>
          <w:tcPr>
            <w:tcW w:w="8584" w:type="dxa"/>
            <w:gridSpan w:val="4"/>
            <w:vAlign w:val="center"/>
          </w:tcPr>
          <w:p>
            <w:pPr>
              <w:spacing w:line="360" w:lineRule="auto"/>
              <w:rPr>
                <w:rFonts w:ascii="宋体" w:hAnsi="宋体" w:cs="宋体"/>
                <w:kern w:val="0"/>
                <w:sz w:val="24"/>
              </w:rPr>
            </w:pPr>
            <w:r>
              <w:rPr>
                <w:rFonts w:hint="eastAsia"/>
                <w:b/>
                <w:bCs/>
                <w:kern w:val="0"/>
                <w:sz w:val="24"/>
              </w:rPr>
              <w:t>1、规划环境影响评价文件名称：</w:t>
            </w:r>
            <w:r>
              <w:rPr>
                <w:rFonts w:ascii="宋体" w:hAnsi="宋体" w:cs="宋体"/>
                <w:kern w:val="0"/>
                <w:sz w:val="24"/>
              </w:rPr>
              <w:t>《合肥高新技术产业开发区规划环境影响报告书》</w:t>
            </w:r>
            <w:r>
              <w:rPr>
                <w:rFonts w:hint="eastAsia" w:ascii="宋体" w:hAnsi="宋体" w:cs="宋体"/>
                <w:kern w:val="0"/>
                <w:sz w:val="24"/>
              </w:rPr>
              <w:t>；</w:t>
            </w:r>
          </w:p>
          <w:p>
            <w:pPr>
              <w:spacing w:line="360" w:lineRule="auto"/>
              <w:rPr>
                <w:rFonts w:ascii="宋体" w:hAnsi="宋体" w:cs="宋体"/>
                <w:kern w:val="0"/>
                <w:sz w:val="24"/>
              </w:rPr>
            </w:pPr>
            <w:r>
              <w:rPr>
                <w:rFonts w:hint="eastAsia"/>
                <w:b/>
                <w:bCs/>
                <w:kern w:val="0"/>
                <w:sz w:val="24"/>
              </w:rPr>
              <w:t>审查机关：</w:t>
            </w:r>
            <w:r>
              <w:rPr>
                <w:kern w:val="0"/>
                <w:sz w:val="24"/>
              </w:rPr>
              <w:t>原中华人民共和国环境保护部</w:t>
            </w:r>
            <w:r>
              <w:rPr>
                <w:rFonts w:hint="eastAsia" w:ascii="宋体" w:hAnsi="宋体" w:cs="宋体"/>
                <w:kern w:val="0"/>
                <w:sz w:val="24"/>
              </w:rPr>
              <w:t>；</w:t>
            </w:r>
          </w:p>
          <w:p>
            <w:pPr>
              <w:spacing w:line="360" w:lineRule="auto"/>
              <w:rPr>
                <w:rFonts w:ascii="宋体" w:hAnsi="宋体" w:cs="宋体"/>
                <w:kern w:val="0"/>
                <w:sz w:val="24"/>
              </w:rPr>
            </w:pPr>
            <w:r>
              <w:rPr>
                <w:b/>
                <w:bCs/>
                <w:kern w:val="0"/>
                <w:sz w:val="24"/>
              </w:rPr>
              <w:t>审查文件：</w:t>
            </w:r>
            <w:r>
              <w:rPr>
                <w:kern w:val="0"/>
                <w:sz w:val="24"/>
              </w:rPr>
              <w:t>《</w:t>
            </w:r>
            <w:r>
              <w:rPr>
                <w:rFonts w:ascii="宋体" w:hAnsi="宋体" w:cs="宋体"/>
                <w:kern w:val="0"/>
                <w:sz w:val="24"/>
              </w:rPr>
              <w:t>关于合肥高新技术产业开发区规划环境影响报告书的审查意见》</w:t>
            </w:r>
          </w:p>
          <w:p>
            <w:pPr>
              <w:spacing w:line="360" w:lineRule="auto"/>
              <w:rPr>
                <w:rFonts w:ascii="宋体" w:hAnsi="宋体" w:cs="宋体"/>
                <w:kern w:val="0"/>
                <w:sz w:val="24"/>
              </w:rPr>
            </w:pPr>
            <w:r>
              <w:rPr>
                <w:rFonts w:ascii="宋体" w:hAnsi="宋体" w:cs="宋体"/>
                <w:b/>
                <w:bCs/>
                <w:kern w:val="0"/>
                <w:sz w:val="24"/>
              </w:rPr>
              <w:t>审查文号</w:t>
            </w:r>
            <w:r>
              <w:rPr>
                <w:rFonts w:ascii="宋体" w:hAnsi="宋体" w:cs="宋体"/>
                <w:kern w:val="0"/>
                <w:sz w:val="24"/>
              </w:rPr>
              <w:t>：</w:t>
            </w:r>
            <w:r>
              <w:rPr>
                <w:kern w:val="0"/>
                <w:sz w:val="24"/>
              </w:rPr>
              <w:t>环审﹝2008﹞143号</w:t>
            </w:r>
          </w:p>
          <w:p>
            <w:pPr>
              <w:autoSpaceDE w:val="0"/>
              <w:autoSpaceDN w:val="0"/>
              <w:adjustRightInd w:val="0"/>
              <w:snapToGrid w:val="0"/>
              <w:spacing w:line="360" w:lineRule="auto"/>
              <w:rPr>
                <w:kern w:val="0"/>
                <w:sz w:val="24"/>
              </w:rPr>
            </w:pPr>
            <w:r>
              <w:rPr>
                <w:rFonts w:hint="eastAsia"/>
                <w:b/>
                <w:bCs/>
                <w:kern w:val="0"/>
                <w:sz w:val="24"/>
              </w:rPr>
              <w:t>2、</w:t>
            </w:r>
            <w:r>
              <w:rPr>
                <w:b/>
                <w:bCs/>
                <w:kern w:val="0"/>
                <w:sz w:val="24"/>
              </w:rPr>
              <w:t>规划环境影响跟踪评价文件名称：</w:t>
            </w:r>
            <w:r>
              <w:rPr>
                <w:kern w:val="0"/>
                <w:sz w:val="24"/>
              </w:rPr>
              <w:t>《合肥高新技术产业开发区规划环境影响跟踪评价</w:t>
            </w:r>
            <w:r>
              <w:rPr>
                <w:rFonts w:hint="eastAsia"/>
                <w:kern w:val="0"/>
                <w:sz w:val="24"/>
                <w:lang w:eastAsia="zh-CN"/>
              </w:rPr>
              <w:t>报告</w:t>
            </w:r>
            <w:r>
              <w:rPr>
                <w:kern w:val="0"/>
                <w:sz w:val="24"/>
              </w:rPr>
              <w:t>》</w:t>
            </w:r>
            <w:r>
              <w:rPr>
                <w:rFonts w:hint="eastAsia"/>
                <w:kern w:val="0"/>
                <w:sz w:val="24"/>
              </w:rPr>
              <w:t>；</w:t>
            </w:r>
          </w:p>
          <w:p>
            <w:pPr>
              <w:autoSpaceDE w:val="0"/>
              <w:autoSpaceDN w:val="0"/>
              <w:adjustRightInd w:val="0"/>
              <w:snapToGrid w:val="0"/>
              <w:spacing w:line="360" w:lineRule="auto"/>
              <w:rPr>
                <w:kern w:val="0"/>
                <w:sz w:val="24"/>
              </w:rPr>
            </w:pPr>
            <w:r>
              <w:rPr>
                <w:b/>
                <w:bCs/>
                <w:kern w:val="0"/>
                <w:sz w:val="24"/>
              </w:rPr>
              <w:t>审查机关：</w:t>
            </w:r>
            <w:r>
              <w:rPr>
                <w:kern w:val="0"/>
                <w:sz w:val="24"/>
              </w:rPr>
              <w:t>中华人民共和国生态环境部</w:t>
            </w:r>
            <w:r>
              <w:rPr>
                <w:rFonts w:hint="eastAsia"/>
                <w:kern w:val="0"/>
                <w:sz w:val="24"/>
              </w:rPr>
              <w:t>；</w:t>
            </w:r>
          </w:p>
          <w:p>
            <w:pPr>
              <w:autoSpaceDE w:val="0"/>
              <w:autoSpaceDN w:val="0"/>
              <w:adjustRightInd w:val="0"/>
              <w:snapToGrid w:val="0"/>
              <w:spacing w:line="360" w:lineRule="auto"/>
              <w:rPr>
                <w:kern w:val="0"/>
                <w:sz w:val="24"/>
              </w:rPr>
            </w:pPr>
            <w:r>
              <w:rPr>
                <w:b/>
                <w:bCs/>
                <w:kern w:val="0"/>
                <w:sz w:val="24"/>
              </w:rPr>
              <w:t>审查文件名称及文号：</w:t>
            </w:r>
            <w:r>
              <w:rPr>
                <w:kern w:val="0"/>
                <w:sz w:val="24"/>
              </w:rPr>
              <w:t>《关于合肥高新技术产业开发区规划环境影响跟踪评价工作有关意见的函》（环办环评函﹝2020﹞436号），2020年8月19日</w:t>
            </w:r>
            <w:r>
              <w:rPr>
                <w:rFonts w:hint="eastAsia"/>
                <w:kern w:val="0"/>
                <w:sz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681" w:type="dxa"/>
            <w:vAlign w:val="center"/>
          </w:tcPr>
          <w:p>
            <w:pPr>
              <w:autoSpaceDE w:val="0"/>
              <w:autoSpaceDN w:val="0"/>
              <w:adjustRightInd w:val="0"/>
              <w:snapToGrid w:val="0"/>
              <w:rPr>
                <w:b/>
                <w:kern w:val="0"/>
                <w:szCs w:val="21"/>
              </w:rPr>
            </w:pPr>
            <w:r>
              <w:rPr>
                <w:b/>
                <w:kern w:val="0"/>
                <w:szCs w:val="21"/>
              </w:rPr>
              <w:t>规划及规划环境影响评价符合性分析</w:t>
            </w:r>
          </w:p>
        </w:tc>
        <w:tc>
          <w:tcPr>
            <w:tcW w:w="8584" w:type="dxa"/>
            <w:gridSpan w:val="4"/>
            <w:vAlign w:val="center"/>
          </w:tcPr>
          <w:p>
            <w:pPr>
              <w:autoSpaceDE w:val="0"/>
              <w:autoSpaceDN w:val="0"/>
              <w:adjustRightInd w:val="0"/>
              <w:snapToGrid w:val="0"/>
              <w:spacing w:line="360" w:lineRule="auto"/>
              <w:rPr>
                <w:b/>
                <w:bCs/>
                <w:kern w:val="0"/>
                <w:sz w:val="24"/>
              </w:rPr>
            </w:pPr>
            <w:r>
              <w:rPr>
                <w:b/>
                <w:bCs/>
                <w:sz w:val="24"/>
              </w:rPr>
              <w:t>1、规划符合性分析</w:t>
            </w:r>
          </w:p>
          <w:p>
            <w:pPr>
              <w:pStyle w:val="8"/>
              <w:spacing w:before="0" w:after="0" w:line="360" w:lineRule="auto"/>
              <w:ind w:right="0" w:firstLine="480" w:firstLineChars="200"/>
              <w:rPr>
                <w:sz w:val="24"/>
                <w:szCs w:val="24"/>
              </w:rPr>
            </w:pPr>
            <w:r>
              <w:rPr>
                <w:sz w:val="24"/>
                <w:szCs w:val="24"/>
              </w:rPr>
              <w:t>根据</w:t>
            </w:r>
            <w:r>
              <w:rPr>
                <w:bCs/>
                <w:sz w:val="24"/>
              </w:rPr>
              <w:t>《合肥市城市近期建设规划（2016-2020年）》</w:t>
            </w:r>
            <w:r>
              <w:rPr>
                <w:sz w:val="24"/>
                <w:szCs w:val="24"/>
              </w:rPr>
              <w:t>可知，合肥高新技术产业开发区位于合肥市主城区西部，规划面积为68.02km</w:t>
            </w:r>
            <w:r>
              <w:rPr>
                <w:sz w:val="24"/>
                <w:szCs w:val="24"/>
                <w:vertAlign w:val="superscript"/>
              </w:rPr>
              <w:t>2</w:t>
            </w:r>
            <w:r>
              <w:rPr>
                <w:sz w:val="24"/>
                <w:szCs w:val="24"/>
              </w:rPr>
              <w:t>。高新技术产业开发区重点发展高科技产业及相关产业，主要是电子信息、生物医药、新材料、光机电一体化及国家鼓励类有关产业和符合“中国高新技术产业目录”的高新技术产业。规划划分了三个片区和一个绿心，即高新区（建成区）、科技创新示范区、柏堰科技园三个片区、大蜀山森林公园一个绿心。高新区（建成区）为高新技术产业研发、教育、居住等综合片区；示范区为研发、创新、高新技术产业、商务、教育、居住等综合片区；柏堰科技园为家电产业为主的特色产业园；大蜀山森林公园为文化、生态及休闲旅游的生态旅游片区。</w:t>
            </w:r>
          </w:p>
          <w:p>
            <w:pPr>
              <w:pStyle w:val="8"/>
              <w:spacing w:before="0" w:after="0" w:line="360" w:lineRule="auto"/>
              <w:ind w:right="0" w:firstLine="480" w:firstLineChars="200"/>
              <w:rPr>
                <w:sz w:val="24"/>
                <w:szCs w:val="24"/>
              </w:rPr>
            </w:pPr>
            <w:r>
              <w:rPr>
                <w:sz w:val="24"/>
                <w:szCs w:val="24"/>
              </w:rPr>
              <w:t>本项目位于</w:t>
            </w:r>
            <w:r>
              <w:rPr>
                <w:rFonts w:hint="eastAsia"/>
                <w:sz w:val="24"/>
                <w:szCs w:val="24"/>
              </w:rPr>
              <w:t>合肥市高新技术产业开发区明珠产业园2C-3</w:t>
            </w:r>
            <w:r>
              <w:rPr>
                <w:sz w:val="24"/>
                <w:szCs w:val="24"/>
              </w:rPr>
              <w:t>。项目所在地块属于二类工业用地，主要</w:t>
            </w:r>
            <w:r>
              <w:rPr>
                <w:rFonts w:hint="eastAsia"/>
                <w:sz w:val="24"/>
                <w:szCs w:val="24"/>
              </w:rPr>
              <w:t>进行电子专用材料制造</w:t>
            </w:r>
            <w:r>
              <w:rPr>
                <w:rFonts w:hint="eastAsia"/>
                <w:sz w:val="24"/>
                <w:szCs w:val="24"/>
                <w:lang w:eastAsia="zh-CN"/>
              </w:rPr>
              <w:t>和工程和技术研究和试验发展</w:t>
            </w:r>
            <w:r>
              <w:rPr>
                <w:sz w:val="24"/>
              </w:rPr>
              <w:t>，</w:t>
            </w:r>
            <w:r>
              <w:rPr>
                <w:rFonts w:hint="eastAsia"/>
                <w:sz w:val="24"/>
              </w:rPr>
              <w:t>属于电子信息行业，为园区主导产业，</w:t>
            </w:r>
            <w:r>
              <w:rPr>
                <w:sz w:val="24"/>
              </w:rPr>
              <w:t>因此，本项目建设符合</w:t>
            </w:r>
            <w:r>
              <w:rPr>
                <w:sz w:val="24"/>
                <w:szCs w:val="24"/>
              </w:rPr>
              <w:t>高新技术产业开发区</w:t>
            </w:r>
            <w:r>
              <w:rPr>
                <w:sz w:val="24"/>
              </w:rPr>
              <w:t>规划要求</w:t>
            </w:r>
            <w:r>
              <w:rPr>
                <w:sz w:val="24"/>
                <w:szCs w:val="24"/>
              </w:rPr>
              <w:t>。</w:t>
            </w:r>
          </w:p>
          <w:p>
            <w:pPr>
              <w:pStyle w:val="8"/>
              <w:spacing w:before="0" w:after="0" w:line="360" w:lineRule="auto"/>
              <w:ind w:right="0"/>
              <w:rPr>
                <w:b/>
                <w:bCs/>
                <w:sz w:val="24"/>
                <w:szCs w:val="24"/>
              </w:rPr>
            </w:pPr>
            <w:r>
              <w:rPr>
                <w:b/>
                <w:bCs/>
                <w:sz w:val="24"/>
                <w:szCs w:val="24"/>
              </w:rPr>
              <w:t>2、规划环境影响评价符合性分析</w:t>
            </w:r>
          </w:p>
          <w:p>
            <w:pPr>
              <w:adjustRightInd w:val="0"/>
              <w:snapToGrid w:val="0"/>
              <w:spacing w:line="360" w:lineRule="auto"/>
              <w:ind w:firstLine="480" w:firstLineChars="200"/>
              <w:rPr>
                <w:sz w:val="24"/>
              </w:rPr>
            </w:pPr>
            <w:r>
              <w:rPr>
                <w:sz w:val="24"/>
              </w:rPr>
              <w:t>（1）与《合肥高新技术产业开发区规划环境影响报告书》及其审查意见的符合性分析</w:t>
            </w:r>
          </w:p>
          <w:p>
            <w:pPr>
              <w:widowControl/>
              <w:numPr>
                <w:ilvl w:val="0"/>
                <w:numId w:val="1"/>
              </w:numPr>
              <w:jc w:val="center"/>
              <w:rPr>
                <w:b/>
                <w:kern w:val="0"/>
                <w:szCs w:val="21"/>
              </w:rPr>
            </w:pPr>
            <w:r>
              <w:rPr>
                <w:b/>
                <w:kern w:val="0"/>
                <w:szCs w:val="21"/>
              </w:rPr>
              <w:t xml:space="preserve">  项目与规划环境影响报告书及审查意见符合性分析</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4841"/>
              <w:gridCol w:w="2253"/>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Mar>
                    <w:left w:w="57" w:type="dxa"/>
                    <w:right w:w="57" w:type="dxa"/>
                  </w:tcMar>
                  <w:vAlign w:val="center"/>
                </w:tcPr>
                <w:p>
                  <w:pPr>
                    <w:jc w:val="center"/>
                    <w:rPr>
                      <w:b/>
                      <w:bCs/>
                      <w:szCs w:val="21"/>
                    </w:rPr>
                  </w:pPr>
                  <w:r>
                    <w:rPr>
                      <w:b/>
                      <w:bCs/>
                      <w:szCs w:val="21"/>
                    </w:rPr>
                    <w:t>序号</w:t>
                  </w:r>
                </w:p>
              </w:tc>
              <w:tc>
                <w:tcPr>
                  <w:tcW w:w="4841" w:type="dxa"/>
                  <w:tcMar>
                    <w:left w:w="57" w:type="dxa"/>
                    <w:right w:w="57" w:type="dxa"/>
                  </w:tcMar>
                  <w:vAlign w:val="center"/>
                </w:tcPr>
                <w:p>
                  <w:pPr>
                    <w:jc w:val="center"/>
                    <w:rPr>
                      <w:b/>
                      <w:bCs/>
                      <w:szCs w:val="21"/>
                    </w:rPr>
                  </w:pPr>
                  <w:r>
                    <w:rPr>
                      <w:b/>
                      <w:bCs/>
                      <w:szCs w:val="21"/>
                    </w:rPr>
                    <w:t>报告书及审查意见要求</w:t>
                  </w:r>
                </w:p>
              </w:tc>
              <w:tc>
                <w:tcPr>
                  <w:tcW w:w="2253" w:type="dxa"/>
                  <w:tcMar>
                    <w:left w:w="57" w:type="dxa"/>
                    <w:right w:w="57" w:type="dxa"/>
                  </w:tcMar>
                  <w:vAlign w:val="center"/>
                </w:tcPr>
                <w:p>
                  <w:pPr>
                    <w:jc w:val="center"/>
                    <w:rPr>
                      <w:b/>
                      <w:bCs/>
                      <w:szCs w:val="21"/>
                    </w:rPr>
                  </w:pPr>
                  <w:r>
                    <w:rPr>
                      <w:b/>
                      <w:bCs/>
                      <w:szCs w:val="21"/>
                    </w:rPr>
                    <w:t>本项目情况</w:t>
                  </w:r>
                </w:p>
              </w:tc>
              <w:tc>
                <w:tcPr>
                  <w:tcW w:w="649" w:type="dxa"/>
                  <w:tcMar>
                    <w:left w:w="57" w:type="dxa"/>
                    <w:right w:w="57" w:type="dxa"/>
                  </w:tcMar>
                  <w:vAlign w:val="center"/>
                </w:tcPr>
                <w:p>
                  <w:pPr>
                    <w:adjustRightInd w:val="0"/>
                    <w:snapToGrid w:val="0"/>
                    <w:jc w:val="center"/>
                    <w:rPr>
                      <w:b/>
                      <w:bCs/>
                      <w:szCs w:val="21"/>
                    </w:rPr>
                  </w:pPr>
                  <w:r>
                    <w:rPr>
                      <w:b/>
                      <w:bCs/>
                      <w:szCs w:val="21"/>
                    </w:rPr>
                    <w:t>符合</w:t>
                  </w:r>
                </w:p>
                <w:p>
                  <w:pPr>
                    <w:adjustRightInd w:val="0"/>
                    <w:snapToGrid w:val="0"/>
                    <w:jc w:val="center"/>
                    <w:rPr>
                      <w:b/>
                      <w:bCs/>
                      <w:szCs w:val="21"/>
                    </w:rPr>
                  </w:pPr>
                  <w:r>
                    <w:rPr>
                      <w:b/>
                      <w:bCs/>
                      <w:szCs w:val="21"/>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12" w:type="dxa"/>
                  <w:tcMar>
                    <w:left w:w="57" w:type="dxa"/>
                    <w:right w:w="57" w:type="dxa"/>
                  </w:tcMar>
                  <w:vAlign w:val="center"/>
                </w:tcPr>
                <w:p>
                  <w:pPr>
                    <w:jc w:val="center"/>
                  </w:pPr>
                  <w:r>
                    <w:t>1</w:t>
                  </w:r>
                </w:p>
              </w:tc>
              <w:tc>
                <w:tcPr>
                  <w:tcW w:w="4841" w:type="dxa"/>
                  <w:tcMar>
                    <w:left w:w="57" w:type="dxa"/>
                    <w:right w:w="57" w:type="dxa"/>
                  </w:tcMar>
                  <w:vAlign w:val="center"/>
                </w:tcPr>
                <w:p>
                  <w:r>
                    <w:rPr>
                      <w:color w:val="auto"/>
                    </w:rPr>
                    <w:t>进一步优化高新区布局。优化园区内工业区与居住区的布局，确保居住区和学校等达到环境功能区划要求；柏堰科技园应降低工业用地比重，适当增加科研、教育、生态功能用地；科技创新示范区应减少二类立业用地，将规划的长江路以南、312高速公路以西、科一路以东，学二路以北的二类工业用地调整为居往或公共设施用地，控制昌河厂地块的工业用地规模</w:t>
                  </w:r>
                </w:p>
              </w:tc>
              <w:tc>
                <w:tcPr>
                  <w:tcW w:w="2253" w:type="dxa"/>
                  <w:tcMar>
                    <w:left w:w="57" w:type="dxa"/>
                    <w:right w:w="57" w:type="dxa"/>
                  </w:tcMar>
                  <w:vAlign w:val="center"/>
                </w:tcPr>
                <w:p>
                  <w:r>
                    <w:t>本项目位于</w:t>
                  </w:r>
                  <w:r>
                    <w:rPr>
                      <w:rFonts w:hint="eastAsia"/>
                    </w:rPr>
                    <w:t>合肥市高新技术产业开发区明珠产业园2C-3</w:t>
                  </w:r>
                  <w:r>
                    <w:t>，所在地块属于二类工业用地</w:t>
                  </w:r>
                </w:p>
              </w:tc>
              <w:tc>
                <w:tcPr>
                  <w:tcW w:w="649" w:type="dxa"/>
                  <w:tcMar>
                    <w:left w:w="57" w:type="dxa"/>
                    <w:right w:w="57" w:type="dxa"/>
                  </w:tcMar>
                  <w:vAlign w:val="center"/>
                </w:tcPr>
                <w:p>
                  <w:pPr>
                    <w:adjustRightInd w:val="0"/>
                    <w:snapToGrid w:val="0"/>
                    <w:jc w:val="center"/>
                    <w:rPr>
                      <w:szCs w:val="21"/>
                    </w:rPr>
                  </w:pPr>
                  <w:r>
                    <w:rPr>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12" w:type="dxa"/>
                  <w:tcMar>
                    <w:left w:w="57" w:type="dxa"/>
                    <w:right w:w="57" w:type="dxa"/>
                  </w:tcMar>
                  <w:vAlign w:val="center"/>
                </w:tcPr>
                <w:p>
                  <w:pPr>
                    <w:jc w:val="center"/>
                  </w:pPr>
                  <w:r>
                    <w:t>2</w:t>
                  </w:r>
                </w:p>
              </w:tc>
              <w:tc>
                <w:tcPr>
                  <w:tcW w:w="4841" w:type="dxa"/>
                  <w:tcMar>
                    <w:left w:w="57" w:type="dxa"/>
                    <w:right w:w="57" w:type="dxa"/>
                  </w:tcMar>
                  <w:vAlign w:val="center"/>
                </w:tcPr>
                <w:p>
                  <w:pPr>
                    <w:rPr>
                      <w:bCs/>
                      <w:szCs w:val="21"/>
                    </w:rPr>
                  </w:pPr>
                  <w:r>
                    <w:t>优化和调整高新区产业结构，严格入区项目的环境准入。对不符合</w:t>
                  </w:r>
                  <w:r>
                    <w:rPr>
                      <w:rFonts w:hint="eastAsia"/>
                      <w:lang w:eastAsia="zh-CN"/>
                    </w:rPr>
                    <w:t>园区</w:t>
                  </w:r>
                  <w:r>
                    <w:t>发展目标和产业导向要求的传统产业以及现有污染严重的企业进行清理整顿，严禁违反国家产业政策和不符合高新区产业定位的建设项目入区，对于符合国家产业政策和高新区产业定位，但水耗、能耗高、废水排放量大的项目也严禁进入</w:t>
                  </w:r>
                  <w:r>
                    <w:rPr>
                      <w:rFonts w:hint="eastAsia"/>
                      <w:lang w:eastAsia="zh-CN"/>
                    </w:rPr>
                    <w:t>园区</w:t>
                  </w:r>
                </w:p>
              </w:tc>
              <w:tc>
                <w:tcPr>
                  <w:tcW w:w="2253" w:type="dxa"/>
                  <w:tcMar>
                    <w:left w:w="57" w:type="dxa"/>
                    <w:right w:w="57" w:type="dxa"/>
                  </w:tcMar>
                  <w:vAlign w:val="center"/>
                </w:tcPr>
                <w:p>
                  <w:pPr>
                    <w:rPr>
                      <w:bCs/>
                      <w:szCs w:val="21"/>
                    </w:rPr>
                  </w:pPr>
                  <w:r>
                    <w:t>本项目产品为</w:t>
                  </w:r>
                  <w:r>
                    <w:rPr>
                      <w:rFonts w:hint="eastAsia"/>
                    </w:rPr>
                    <w:t>电极片、除氧模块、储能功能催化材料</w:t>
                  </w:r>
                  <w:r>
                    <w:t>，属于</w:t>
                  </w:r>
                  <w:r>
                    <w:rPr>
                      <w:rFonts w:hint="eastAsia"/>
                    </w:rPr>
                    <w:t>电子信息行业</w:t>
                  </w:r>
                  <w:r>
                    <w:t>，为</w:t>
                  </w:r>
                  <w:r>
                    <w:rPr>
                      <w:rFonts w:hint="eastAsia"/>
                    </w:rPr>
                    <w:t>高新区</w:t>
                  </w:r>
                  <w:r>
                    <w:t>重点发展产业，符合高新区产业定位；</w:t>
                  </w:r>
                  <w:r>
                    <w:rPr>
                      <w:bCs/>
                      <w:szCs w:val="21"/>
                    </w:rPr>
                    <w:t>且本项目不属于</w:t>
                  </w:r>
                  <w:r>
                    <w:t>水耗、能耗高、废水排放量大的项目</w:t>
                  </w:r>
                </w:p>
              </w:tc>
              <w:tc>
                <w:tcPr>
                  <w:tcW w:w="649" w:type="dxa"/>
                  <w:tcMar>
                    <w:left w:w="57" w:type="dxa"/>
                    <w:right w:w="57" w:type="dxa"/>
                  </w:tcMar>
                  <w:vAlign w:val="center"/>
                </w:tcPr>
                <w:p>
                  <w:pPr>
                    <w:snapToGrid w:val="0"/>
                    <w:jc w:val="center"/>
                    <w:rPr>
                      <w:bCs/>
                      <w:szCs w:val="21"/>
                    </w:rPr>
                  </w:pPr>
                  <w:r>
                    <w:rPr>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612" w:type="dxa"/>
                  <w:tcMar>
                    <w:left w:w="57" w:type="dxa"/>
                    <w:right w:w="57" w:type="dxa"/>
                  </w:tcMar>
                  <w:vAlign w:val="center"/>
                </w:tcPr>
                <w:p>
                  <w:pPr>
                    <w:jc w:val="center"/>
                  </w:pPr>
                  <w:r>
                    <w:t>3</w:t>
                  </w:r>
                </w:p>
              </w:tc>
              <w:tc>
                <w:tcPr>
                  <w:tcW w:w="4841" w:type="dxa"/>
                  <w:tcMar>
                    <w:left w:w="57" w:type="dxa"/>
                    <w:right w:w="57" w:type="dxa"/>
                  </w:tcMar>
                  <w:vAlign w:val="center"/>
                </w:tcPr>
                <w:p>
                  <w:r>
                    <w:t>切实落实报告书提出的生态环境保护和建设措施。对于大蜀山森林公园及其周围生态保护地带布置蔬菜园林、苗圃基地、风景林区等生态绿地予以保护，对于南山</w:t>
                  </w:r>
                  <w:r>
                    <w:rPr>
                      <w:rFonts w:hint="eastAsia"/>
                      <w:lang w:eastAsia="zh-CN"/>
                    </w:rPr>
                    <w:t>湖</w:t>
                  </w:r>
                  <w:r>
                    <w:t>、西山湖沿湖建设防护林予以保护</w:t>
                  </w:r>
                </w:p>
              </w:tc>
              <w:tc>
                <w:tcPr>
                  <w:tcW w:w="2253" w:type="dxa"/>
                  <w:tcMar>
                    <w:left w:w="57" w:type="dxa"/>
                    <w:right w:w="57" w:type="dxa"/>
                  </w:tcMar>
                  <w:vAlign w:val="center"/>
                </w:tcPr>
                <w:p>
                  <w:r>
                    <w:t>本项目不在大蜀山森林公园及其周围生态保护地带等</w:t>
                  </w:r>
                  <w:r>
                    <w:rPr>
                      <w:rFonts w:hint="eastAsia"/>
                    </w:rPr>
                    <w:t>范围内</w:t>
                  </w:r>
                </w:p>
              </w:tc>
              <w:tc>
                <w:tcPr>
                  <w:tcW w:w="649" w:type="dxa"/>
                  <w:tcMar>
                    <w:left w:w="57" w:type="dxa"/>
                    <w:right w:w="57" w:type="dxa"/>
                  </w:tcMar>
                  <w:vAlign w:val="center"/>
                </w:tcPr>
                <w:p>
                  <w:pPr>
                    <w:snapToGrid w:val="0"/>
                    <w:jc w:val="center"/>
                    <w:rPr>
                      <w:szCs w:val="21"/>
                    </w:rPr>
                  </w:pPr>
                  <w:r>
                    <w:rPr>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612" w:type="dxa"/>
                  <w:tcMar>
                    <w:left w:w="57" w:type="dxa"/>
                    <w:right w:w="57" w:type="dxa"/>
                  </w:tcMar>
                  <w:vAlign w:val="center"/>
                </w:tcPr>
                <w:p>
                  <w:pPr>
                    <w:jc w:val="center"/>
                  </w:pPr>
                  <w:r>
                    <w:rPr>
                      <w:rFonts w:hint="eastAsia"/>
                    </w:rPr>
                    <w:t>4</w:t>
                  </w:r>
                </w:p>
              </w:tc>
              <w:tc>
                <w:tcPr>
                  <w:tcW w:w="4841" w:type="dxa"/>
                  <w:tcMar>
                    <w:left w:w="57" w:type="dxa"/>
                    <w:right w:w="57" w:type="dxa"/>
                  </w:tcMar>
                  <w:vAlign w:val="center"/>
                </w:tcPr>
                <w:p>
                  <w:r>
                    <w:t>加快高新区环保基础设施的建设。尽快建成高新区配套污水处理厂，采取中水回用等有效措施减少废水排放</w:t>
                  </w:r>
                </w:p>
              </w:tc>
              <w:tc>
                <w:tcPr>
                  <w:tcW w:w="2253" w:type="dxa"/>
                  <w:tcMar>
                    <w:left w:w="57" w:type="dxa"/>
                    <w:right w:w="57" w:type="dxa"/>
                  </w:tcMar>
                  <w:vAlign w:val="center"/>
                </w:tcPr>
                <w:p>
                  <w:r>
                    <w:rPr>
                      <w:rFonts w:hint="eastAsia"/>
                    </w:rPr>
                    <w:t>本项目</w:t>
                  </w:r>
                  <w:r>
                    <w:rPr>
                      <w:rFonts w:hint="eastAsia"/>
                      <w:lang w:eastAsia="zh-CN"/>
                    </w:rPr>
                    <w:t>办公</w:t>
                  </w:r>
                  <w:r>
                    <w:rPr>
                      <w:szCs w:val="21"/>
                    </w:rPr>
                    <w:t>生活污水、</w:t>
                  </w:r>
                  <w:r>
                    <w:rPr>
                      <w:rFonts w:hint="eastAsia"/>
                      <w:szCs w:val="21"/>
                    </w:rPr>
                    <w:t>车间保洁废水</w:t>
                  </w:r>
                  <w:r>
                    <w:rPr>
                      <w:rFonts w:hint="eastAsia"/>
                    </w:rPr>
                    <w:t>依托明珠产业园现有预处理设施处理后</w:t>
                  </w:r>
                  <w:r>
                    <w:rPr>
                      <w:szCs w:val="21"/>
                    </w:rPr>
                    <w:t>满足</w:t>
                  </w:r>
                  <w:r>
                    <w:rPr>
                      <w:rFonts w:hint="eastAsia"/>
                      <w:szCs w:val="21"/>
                    </w:rPr>
                    <w:t>《电子工业水污染物排放标准》（GB39731 -2020）和</w:t>
                  </w:r>
                  <w:r>
                    <w:rPr>
                      <w:szCs w:val="21"/>
                    </w:rPr>
                    <w:t>西部组团污水处理厂接管标准经市政污水管网进入西部组团污水处理厂深度处理后最终排入派河</w:t>
                  </w:r>
                </w:p>
              </w:tc>
              <w:tc>
                <w:tcPr>
                  <w:tcW w:w="649" w:type="dxa"/>
                  <w:tcMar>
                    <w:left w:w="57" w:type="dxa"/>
                    <w:right w:w="57" w:type="dxa"/>
                  </w:tcMar>
                  <w:vAlign w:val="center"/>
                </w:tcPr>
                <w:p>
                  <w:pPr>
                    <w:snapToGrid w:val="0"/>
                    <w:jc w:val="center"/>
                    <w:rPr>
                      <w:szCs w:val="21"/>
                    </w:rPr>
                  </w:pPr>
                  <w:r>
                    <w:rPr>
                      <w:szCs w:val="21"/>
                    </w:rPr>
                    <w:t>符合</w:t>
                  </w:r>
                </w:p>
              </w:tc>
            </w:tr>
          </w:tbl>
          <w:p>
            <w:pPr>
              <w:adjustRightInd w:val="0"/>
              <w:snapToGrid w:val="0"/>
              <w:spacing w:line="360" w:lineRule="auto"/>
              <w:ind w:firstLine="480" w:firstLineChars="200"/>
              <w:rPr>
                <w:sz w:val="24"/>
              </w:rPr>
            </w:pPr>
            <w:r>
              <w:rPr>
                <w:sz w:val="24"/>
              </w:rPr>
              <w:t>（2）与《合肥高新技术产业开发区规划环境影响跟踪评价报告》及其审查意见符合性分析</w:t>
            </w:r>
          </w:p>
          <w:p>
            <w:pPr>
              <w:widowControl/>
              <w:numPr>
                <w:ilvl w:val="0"/>
                <w:numId w:val="1"/>
              </w:numPr>
              <w:jc w:val="center"/>
              <w:rPr>
                <w:b/>
                <w:kern w:val="0"/>
                <w:szCs w:val="21"/>
              </w:rPr>
            </w:pPr>
            <w:r>
              <w:rPr>
                <w:b/>
                <w:kern w:val="0"/>
                <w:szCs w:val="21"/>
              </w:rPr>
              <w:t xml:space="preserve">  项目与区域规划环境影响跟踪评价报告书及审查意见符合性分析</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4148"/>
              <w:gridCol w:w="2772"/>
              <w:gridCol w:w="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74" w:type="dxa"/>
                  <w:vAlign w:val="center"/>
                </w:tcPr>
                <w:p>
                  <w:pPr>
                    <w:adjustRightInd w:val="0"/>
                    <w:snapToGrid w:val="0"/>
                    <w:jc w:val="center"/>
                    <w:rPr>
                      <w:b/>
                      <w:bCs/>
                      <w:kern w:val="0"/>
                      <w:szCs w:val="21"/>
                    </w:rPr>
                  </w:pPr>
                  <w:r>
                    <w:rPr>
                      <w:b/>
                      <w:bCs/>
                      <w:szCs w:val="21"/>
                    </w:rPr>
                    <w:t>序号</w:t>
                  </w:r>
                </w:p>
              </w:tc>
              <w:tc>
                <w:tcPr>
                  <w:tcW w:w="4148" w:type="dxa"/>
                  <w:vAlign w:val="center"/>
                </w:tcPr>
                <w:p>
                  <w:pPr>
                    <w:adjustRightInd w:val="0"/>
                    <w:snapToGrid w:val="0"/>
                    <w:jc w:val="center"/>
                    <w:rPr>
                      <w:b/>
                      <w:bCs/>
                      <w:kern w:val="0"/>
                      <w:szCs w:val="21"/>
                    </w:rPr>
                  </w:pPr>
                  <w:r>
                    <w:rPr>
                      <w:rFonts w:hint="eastAsia"/>
                      <w:b/>
                      <w:bCs/>
                      <w:szCs w:val="21"/>
                    </w:rPr>
                    <w:t>报告书及审查意见要求</w:t>
                  </w:r>
                </w:p>
              </w:tc>
              <w:tc>
                <w:tcPr>
                  <w:tcW w:w="2772" w:type="dxa"/>
                  <w:vAlign w:val="center"/>
                </w:tcPr>
                <w:p>
                  <w:pPr>
                    <w:adjustRightInd w:val="0"/>
                    <w:snapToGrid w:val="0"/>
                    <w:jc w:val="center"/>
                    <w:rPr>
                      <w:b/>
                      <w:bCs/>
                      <w:kern w:val="0"/>
                      <w:szCs w:val="21"/>
                    </w:rPr>
                  </w:pPr>
                  <w:r>
                    <w:rPr>
                      <w:rFonts w:hint="eastAsia"/>
                      <w:b/>
                      <w:bCs/>
                      <w:szCs w:val="21"/>
                    </w:rPr>
                    <w:t>本项目</w:t>
                  </w:r>
                  <w:r>
                    <w:rPr>
                      <w:b/>
                      <w:bCs/>
                      <w:szCs w:val="21"/>
                    </w:rPr>
                    <w:t>情况</w:t>
                  </w:r>
                </w:p>
              </w:tc>
              <w:tc>
                <w:tcPr>
                  <w:tcW w:w="761" w:type="dxa"/>
                  <w:vAlign w:val="center"/>
                </w:tcPr>
                <w:p>
                  <w:pPr>
                    <w:adjustRightInd w:val="0"/>
                    <w:snapToGrid w:val="0"/>
                    <w:jc w:val="center"/>
                    <w:rPr>
                      <w:b/>
                      <w:bCs/>
                      <w:szCs w:val="21"/>
                    </w:rPr>
                  </w:pPr>
                  <w:r>
                    <w:rPr>
                      <w:b/>
                      <w:bCs/>
                      <w:szCs w:val="21"/>
                    </w:rPr>
                    <w:t>符合</w:t>
                  </w:r>
                </w:p>
                <w:p>
                  <w:pPr>
                    <w:adjustRightInd w:val="0"/>
                    <w:snapToGrid w:val="0"/>
                    <w:jc w:val="center"/>
                    <w:rPr>
                      <w:b/>
                      <w:bCs/>
                      <w:kern w:val="0"/>
                      <w:szCs w:val="21"/>
                    </w:rPr>
                  </w:pPr>
                  <w:r>
                    <w:rPr>
                      <w:rFonts w:hint="eastAsia"/>
                      <w:b/>
                      <w:bCs/>
                      <w:szCs w:val="21"/>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kern w:val="0"/>
                      <w:szCs w:val="21"/>
                    </w:rPr>
                  </w:pPr>
                  <w:r>
                    <w:rPr>
                      <w:kern w:val="0"/>
                      <w:szCs w:val="21"/>
                    </w:rPr>
                    <w:t>1</w:t>
                  </w:r>
                </w:p>
              </w:tc>
              <w:tc>
                <w:tcPr>
                  <w:tcW w:w="4148" w:type="dxa"/>
                  <w:vAlign w:val="center"/>
                </w:tcPr>
                <w:p>
                  <w:pPr>
                    <w:autoSpaceDE w:val="0"/>
                    <w:autoSpaceDN w:val="0"/>
                    <w:adjustRightInd w:val="0"/>
                    <w:snapToGrid w:val="0"/>
                    <w:rPr>
                      <w:kern w:val="0"/>
                      <w:szCs w:val="21"/>
                    </w:rPr>
                  </w:pPr>
                  <w:r>
                    <w:rPr>
                      <w:kern w:val="0"/>
                      <w:szCs w:val="21"/>
                    </w:rPr>
                    <w:t>落实长江经济带“共抓大保护，不搞大开发”的总体要求及《巢湖流域水污染防治条例（2020年3月1日实施）》等环境管理要求，坚持高质量发展、协调发展。做好与安徽省“三线一单”（生态保护红线、环境质量底线、资源利用上线、生态环境准入清单）、合肥市国土空间总体规划等成果的衔接，确保产业发展与区域生态环境保护、人居环境质量保障相协调</w:t>
                  </w:r>
                </w:p>
              </w:tc>
              <w:tc>
                <w:tcPr>
                  <w:tcW w:w="2772" w:type="dxa"/>
                  <w:vAlign w:val="center"/>
                </w:tcPr>
                <w:p>
                  <w:pPr>
                    <w:autoSpaceDE w:val="0"/>
                    <w:autoSpaceDN w:val="0"/>
                    <w:adjustRightInd w:val="0"/>
                    <w:snapToGrid w:val="0"/>
                    <w:rPr>
                      <w:kern w:val="0"/>
                      <w:szCs w:val="21"/>
                    </w:rPr>
                  </w:pPr>
                  <w:r>
                    <w:rPr>
                      <w:rFonts w:hint="eastAsia"/>
                      <w:kern w:val="0"/>
                      <w:szCs w:val="21"/>
                    </w:rPr>
                    <w:t>本项目产品为</w:t>
                  </w:r>
                  <w:r>
                    <w:rPr>
                      <w:rFonts w:hint="eastAsia"/>
                    </w:rPr>
                    <w:t>电极片、除氧模块、储能功能催化材料</w:t>
                  </w:r>
                  <w:r>
                    <w:rPr>
                      <w:rFonts w:hint="eastAsia"/>
                      <w:kern w:val="0"/>
                      <w:szCs w:val="21"/>
                    </w:rPr>
                    <w:t>，</w:t>
                  </w:r>
                  <w:r>
                    <w:rPr>
                      <w:kern w:val="0"/>
                      <w:szCs w:val="21"/>
                    </w:rPr>
                    <w:t>不属于大开发类型项目，</w:t>
                  </w:r>
                  <w:r>
                    <w:rPr>
                      <w:rFonts w:hint="eastAsia"/>
                      <w:kern w:val="0"/>
                      <w:szCs w:val="21"/>
                    </w:rPr>
                    <w:t>项目办公和保洁废水</w:t>
                  </w:r>
                  <w:r>
                    <w:rPr>
                      <w:rFonts w:hint="eastAsia"/>
                    </w:rPr>
                    <w:t>依托明珠产业园现有预处理设施处理后</w:t>
                  </w:r>
                  <w:r>
                    <w:rPr>
                      <w:szCs w:val="21"/>
                    </w:rPr>
                    <w:t>满足</w:t>
                  </w:r>
                  <w:r>
                    <w:rPr>
                      <w:rFonts w:hint="eastAsia"/>
                      <w:szCs w:val="21"/>
                    </w:rPr>
                    <w:t>《电子工业水污染物排放标准》（GB39731 -2020）和</w:t>
                  </w:r>
                  <w:r>
                    <w:rPr>
                      <w:szCs w:val="21"/>
                    </w:rPr>
                    <w:t>西部组团污水处理厂接管标准经市政污水管网进入西部组团污水处理厂深度处理后最终排入派河</w:t>
                  </w:r>
                  <w:r>
                    <w:rPr>
                      <w:rFonts w:hint="eastAsia"/>
                      <w:kern w:val="0"/>
                      <w:szCs w:val="21"/>
                    </w:rPr>
                    <w:t>。</w:t>
                  </w:r>
                  <w:r>
                    <w:rPr>
                      <w:kern w:val="0"/>
                      <w:szCs w:val="21"/>
                    </w:rPr>
                    <w:t>本项目</w:t>
                  </w:r>
                  <w:r>
                    <w:rPr>
                      <w:rFonts w:hint="eastAsia"/>
                      <w:kern w:val="0"/>
                      <w:szCs w:val="21"/>
                    </w:rPr>
                    <w:t>为工业</w:t>
                  </w:r>
                  <w:r>
                    <w:rPr>
                      <w:kern w:val="0"/>
                      <w:szCs w:val="21"/>
                    </w:rPr>
                    <w:t>用地，不涉及生态保护红线</w:t>
                  </w:r>
                </w:p>
              </w:tc>
              <w:tc>
                <w:tcPr>
                  <w:tcW w:w="761"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kern w:val="0"/>
                      <w:szCs w:val="21"/>
                    </w:rPr>
                  </w:pPr>
                  <w:r>
                    <w:rPr>
                      <w:kern w:val="0"/>
                      <w:szCs w:val="21"/>
                    </w:rPr>
                    <w:t>2</w:t>
                  </w:r>
                </w:p>
              </w:tc>
              <w:tc>
                <w:tcPr>
                  <w:tcW w:w="4148" w:type="dxa"/>
                  <w:vAlign w:val="center"/>
                </w:tcPr>
                <w:p>
                  <w:pPr>
                    <w:autoSpaceDE w:val="0"/>
                    <w:autoSpaceDN w:val="0"/>
                    <w:adjustRightInd w:val="0"/>
                    <w:snapToGrid w:val="0"/>
                    <w:rPr>
                      <w:kern w:val="0"/>
                      <w:szCs w:val="21"/>
                    </w:rPr>
                  </w:pPr>
                  <w:r>
                    <w:rPr>
                      <w:kern w:val="0"/>
                      <w:szCs w:val="21"/>
                    </w:rPr>
                    <w:t>着力推动高新区转型升级，做好全过程环境管控。按照国家和安徽省最新环境管理要求，加快高新区产业转型升级和结构优化。现有不符合高新区发展定位和环境保护要求的企业应逐步升级改造或搬迁、淘汰。做好污染企业遗留场地的土壤环境调查和风险评估，确保土地安全利用</w:t>
                  </w:r>
                  <w:r>
                    <w:rPr>
                      <w:rFonts w:hint="eastAsia"/>
                      <w:kern w:val="0"/>
                      <w:szCs w:val="21"/>
                    </w:rPr>
                    <w:t>；</w:t>
                  </w:r>
                </w:p>
              </w:tc>
              <w:tc>
                <w:tcPr>
                  <w:tcW w:w="2772" w:type="dxa"/>
                  <w:vAlign w:val="center"/>
                </w:tcPr>
                <w:p>
                  <w:pPr>
                    <w:autoSpaceDE w:val="0"/>
                    <w:autoSpaceDN w:val="0"/>
                    <w:adjustRightInd w:val="0"/>
                    <w:snapToGrid w:val="0"/>
                    <w:rPr>
                      <w:kern w:val="0"/>
                      <w:szCs w:val="21"/>
                    </w:rPr>
                  </w:pPr>
                  <w:r>
                    <w:rPr>
                      <w:rFonts w:hint="eastAsia"/>
                      <w:kern w:val="0"/>
                      <w:szCs w:val="21"/>
                    </w:rPr>
                    <w:t>本项目建设符合高新区产业定位要求，</w:t>
                  </w:r>
                  <w:r>
                    <w:rPr>
                      <w:kern w:val="0"/>
                      <w:szCs w:val="21"/>
                    </w:rPr>
                    <w:t>符合高新区发展定位和环境保护要求</w:t>
                  </w:r>
                  <w:r>
                    <w:rPr>
                      <w:rFonts w:hint="eastAsia"/>
                      <w:kern w:val="0"/>
                      <w:szCs w:val="21"/>
                    </w:rPr>
                    <w:t>的企业</w:t>
                  </w:r>
                </w:p>
              </w:tc>
              <w:tc>
                <w:tcPr>
                  <w:tcW w:w="761"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kern w:val="0"/>
                      <w:szCs w:val="21"/>
                    </w:rPr>
                  </w:pPr>
                  <w:r>
                    <w:rPr>
                      <w:kern w:val="0"/>
                      <w:szCs w:val="21"/>
                    </w:rPr>
                    <w:t>3</w:t>
                  </w:r>
                </w:p>
              </w:tc>
              <w:tc>
                <w:tcPr>
                  <w:tcW w:w="4148" w:type="dxa"/>
                  <w:vAlign w:val="center"/>
                </w:tcPr>
                <w:p>
                  <w:pPr>
                    <w:autoSpaceDE w:val="0"/>
                    <w:autoSpaceDN w:val="0"/>
                    <w:adjustRightInd w:val="0"/>
                    <w:snapToGrid w:val="0"/>
                    <w:rPr>
                      <w:kern w:val="0"/>
                      <w:szCs w:val="21"/>
                    </w:rPr>
                  </w:pPr>
                  <w:r>
                    <w:rPr>
                      <w:kern w:val="0"/>
                      <w:szCs w:val="21"/>
                    </w:rPr>
                    <w:t>严格空间管控，优化区内空间布局。做好规划用地控制和生态隔离带建设，加强对高新区内及周边集中居住区等生活空间的防护，优化集中居住区及周边的用地布局。加强区内大蜀山森林公园，蜀山干渠、柏堰湖、王咀湖等地表水体，绿地等生态空间的保护，严禁不符合环境管控要求的各类开发建设活动</w:t>
                  </w:r>
                </w:p>
              </w:tc>
              <w:tc>
                <w:tcPr>
                  <w:tcW w:w="2772" w:type="dxa"/>
                  <w:vAlign w:val="center"/>
                </w:tcPr>
                <w:p>
                  <w:pPr>
                    <w:autoSpaceDE w:val="0"/>
                    <w:autoSpaceDN w:val="0"/>
                    <w:adjustRightInd w:val="0"/>
                    <w:snapToGrid w:val="0"/>
                    <w:rPr>
                      <w:kern w:val="0"/>
                      <w:szCs w:val="21"/>
                    </w:rPr>
                  </w:pPr>
                  <w:r>
                    <w:rPr>
                      <w:kern w:val="0"/>
                      <w:szCs w:val="21"/>
                    </w:rPr>
                    <w:t>本项目位于</w:t>
                  </w:r>
                  <w:r>
                    <w:rPr>
                      <w:rFonts w:hint="eastAsia"/>
                    </w:rPr>
                    <w:t>合肥市高新技术产业开发区明珠产业园2C-3</w:t>
                  </w:r>
                  <w:r>
                    <w:rPr>
                      <w:kern w:val="0"/>
                      <w:szCs w:val="21"/>
                    </w:rPr>
                    <w:t>，</w:t>
                  </w:r>
                  <w:r>
                    <w:rPr>
                      <w:rFonts w:hint="eastAsia"/>
                      <w:kern w:val="0"/>
                      <w:szCs w:val="21"/>
                    </w:rPr>
                    <w:t>为工业</w:t>
                  </w:r>
                  <w:r>
                    <w:rPr>
                      <w:kern w:val="0"/>
                      <w:szCs w:val="21"/>
                    </w:rPr>
                    <w:t>用地，符合环境管控要求的开发建设项目</w:t>
                  </w:r>
                </w:p>
              </w:tc>
              <w:tc>
                <w:tcPr>
                  <w:tcW w:w="761"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kern w:val="0"/>
                      <w:szCs w:val="21"/>
                    </w:rPr>
                  </w:pPr>
                  <w:r>
                    <w:rPr>
                      <w:kern w:val="0"/>
                      <w:szCs w:val="21"/>
                    </w:rPr>
                    <w:t>4</w:t>
                  </w:r>
                </w:p>
              </w:tc>
              <w:tc>
                <w:tcPr>
                  <w:tcW w:w="4148" w:type="dxa"/>
                  <w:vAlign w:val="center"/>
                </w:tcPr>
                <w:p>
                  <w:pPr>
                    <w:autoSpaceDE w:val="0"/>
                    <w:autoSpaceDN w:val="0"/>
                    <w:adjustRightInd w:val="0"/>
                    <w:snapToGrid w:val="0"/>
                    <w:rPr>
                      <w:kern w:val="0"/>
                      <w:szCs w:val="21"/>
                    </w:rPr>
                  </w:pPr>
                  <w:r>
                    <w:rPr>
                      <w:kern w:val="0"/>
                      <w:szCs w:val="21"/>
                    </w:rPr>
                    <w:t>严守环境质量底线，强化污染物排放总量管控。根据合肥市大气环境质量达标规划、巢湖流域污染防治规划等最新环境管理要求</w:t>
                  </w:r>
                  <w:r>
                    <w:rPr>
                      <w:rFonts w:hint="eastAsia"/>
                      <w:kern w:val="0"/>
                      <w:szCs w:val="21"/>
                    </w:rPr>
                    <w:t>，以及</w:t>
                  </w:r>
                  <w:r>
                    <w:rPr>
                      <w:kern w:val="0"/>
                      <w:szCs w:val="21"/>
                    </w:rPr>
                    <w:t>安徽省"三线一单"成果，制定高新区污染减排方案，落实污染物总量管控要求。采取有效措施减少挥发性有机物、重金属污染物的排放量，坚持“增产减污”，确保达标排放和区域环境质量持续改善</w:t>
                  </w:r>
                  <w:r>
                    <w:rPr>
                      <w:rFonts w:hint="eastAsia"/>
                      <w:kern w:val="0"/>
                      <w:szCs w:val="21"/>
                    </w:rPr>
                    <w:t>；</w:t>
                  </w:r>
                </w:p>
              </w:tc>
              <w:tc>
                <w:tcPr>
                  <w:tcW w:w="2772" w:type="dxa"/>
                  <w:vAlign w:val="center"/>
                </w:tcPr>
                <w:p>
                  <w:pPr>
                    <w:autoSpaceDE w:val="0"/>
                    <w:autoSpaceDN w:val="0"/>
                    <w:adjustRightInd w:val="0"/>
                    <w:snapToGrid w:val="0"/>
                    <w:rPr>
                      <w:kern w:val="0"/>
                      <w:szCs w:val="21"/>
                    </w:rPr>
                  </w:pPr>
                  <w:r>
                    <w:rPr>
                      <w:rFonts w:hint="eastAsia"/>
                      <w:kern w:val="0"/>
                      <w:szCs w:val="21"/>
                    </w:rPr>
                    <w:t>本项目建设能够满足</w:t>
                  </w:r>
                  <w:r>
                    <w:rPr>
                      <w:kern w:val="0"/>
                      <w:szCs w:val="21"/>
                    </w:rPr>
                    <w:t>巢湖流域污染防治规划等最新环境管理要求以及</w:t>
                  </w:r>
                  <w:r>
                    <w:rPr>
                      <w:rFonts w:hint="eastAsia"/>
                      <w:kern w:val="0"/>
                      <w:szCs w:val="21"/>
                    </w:rPr>
                    <w:t>合肥市</w:t>
                  </w:r>
                  <w:r>
                    <w:rPr>
                      <w:kern w:val="0"/>
                      <w:szCs w:val="21"/>
                    </w:rPr>
                    <w:t>"三线一单"成果</w:t>
                  </w:r>
                  <w:r>
                    <w:rPr>
                      <w:rFonts w:hint="eastAsia"/>
                      <w:kern w:val="0"/>
                      <w:szCs w:val="21"/>
                    </w:rPr>
                    <w:t>要求。生产过程产生的废气经配套处理设施</w:t>
                  </w:r>
                  <w:r>
                    <w:rPr>
                      <w:kern w:val="0"/>
                      <w:szCs w:val="21"/>
                    </w:rPr>
                    <w:t>处理后均能做到达标排放</w:t>
                  </w:r>
                </w:p>
              </w:tc>
              <w:tc>
                <w:tcPr>
                  <w:tcW w:w="761"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kern w:val="0"/>
                      <w:szCs w:val="21"/>
                    </w:rPr>
                  </w:pPr>
                  <w:r>
                    <w:rPr>
                      <w:kern w:val="0"/>
                      <w:szCs w:val="21"/>
                    </w:rPr>
                    <w:t>5</w:t>
                  </w:r>
                </w:p>
              </w:tc>
              <w:tc>
                <w:tcPr>
                  <w:tcW w:w="4148" w:type="dxa"/>
                  <w:vAlign w:val="center"/>
                </w:tcPr>
                <w:p>
                  <w:pPr>
                    <w:autoSpaceDE w:val="0"/>
                    <w:autoSpaceDN w:val="0"/>
                    <w:adjustRightInd w:val="0"/>
                    <w:snapToGrid w:val="0"/>
                    <w:rPr>
                      <w:kern w:val="0"/>
                      <w:szCs w:val="21"/>
                    </w:rPr>
                  </w:pPr>
                  <w:r>
                    <w:rPr>
                      <w:kern w:val="0"/>
                      <w:szCs w:val="21"/>
                    </w:rPr>
                    <w:t>推进完善集中供热，落实热电厂节能和超低排放改造。加强挥发性有机物、恶臭污染的治理。固体废物、危险废物应依法依规收集、处理处置</w:t>
                  </w:r>
                </w:p>
              </w:tc>
              <w:tc>
                <w:tcPr>
                  <w:tcW w:w="2772" w:type="dxa"/>
                  <w:vAlign w:val="center"/>
                </w:tcPr>
                <w:p>
                  <w:pPr>
                    <w:autoSpaceDE w:val="0"/>
                    <w:autoSpaceDN w:val="0"/>
                    <w:adjustRightInd w:val="0"/>
                    <w:snapToGrid w:val="0"/>
                    <w:rPr>
                      <w:kern w:val="0"/>
                      <w:szCs w:val="21"/>
                    </w:rPr>
                  </w:pPr>
                  <w:r>
                    <w:rPr>
                      <w:bCs/>
                      <w:szCs w:val="21"/>
                    </w:rPr>
                    <w:t>本项目危险废物交由有资质单位</w:t>
                  </w:r>
                  <w:r>
                    <w:rPr>
                      <w:rFonts w:hint="eastAsia"/>
                      <w:bCs/>
                      <w:szCs w:val="21"/>
                    </w:rPr>
                    <w:t>处置；一般固废委托物资回收公司回收利用、处置。</w:t>
                  </w:r>
                  <w:r>
                    <w:rPr>
                      <w:rFonts w:hint="eastAsia"/>
                      <w:kern w:val="0"/>
                      <w:szCs w:val="21"/>
                    </w:rPr>
                    <w:t>有机废气、酸洗废气经配套处理设施</w:t>
                  </w:r>
                  <w:r>
                    <w:rPr>
                      <w:kern w:val="0"/>
                      <w:szCs w:val="21"/>
                    </w:rPr>
                    <w:t>处理后均能做到达标排放</w:t>
                  </w:r>
                </w:p>
              </w:tc>
              <w:tc>
                <w:tcPr>
                  <w:tcW w:w="761"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kern w:val="0"/>
                      <w:szCs w:val="21"/>
                    </w:rPr>
                  </w:pPr>
                  <w:r>
                    <w:rPr>
                      <w:kern w:val="0"/>
                      <w:szCs w:val="21"/>
                    </w:rPr>
                    <w:t>6</w:t>
                  </w:r>
                </w:p>
              </w:tc>
              <w:tc>
                <w:tcPr>
                  <w:tcW w:w="4148" w:type="dxa"/>
                  <w:vAlign w:val="center"/>
                </w:tcPr>
                <w:p>
                  <w:pPr>
                    <w:autoSpaceDE w:val="0"/>
                    <w:autoSpaceDN w:val="0"/>
                    <w:adjustRightInd w:val="0"/>
                    <w:snapToGrid w:val="0"/>
                    <w:rPr>
                      <w:kern w:val="0"/>
                      <w:szCs w:val="21"/>
                    </w:rPr>
                  </w:pPr>
                  <w:r>
                    <w:rPr>
                      <w:kern w:val="0"/>
                      <w:szCs w:val="21"/>
                    </w:rPr>
                    <w:t>严格项目生态环境准入，推动高质量发展。入园项目应落实《安徽省长江经济带发展负面清单实施细则（试行）》（皖长江办〔2019〕18号）要求，围绕主导产业，确保工艺先进、技术创新、排污量少，并达到清洁生产国际先进水平。禁止引进纯电镀加工类项目，主导产业配套的电镀工序项目应依法依规集中布局</w:t>
                  </w:r>
                </w:p>
              </w:tc>
              <w:tc>
                <w:tcPr>
                  <w:tcW w:w="2772" w:type="dxa"/>
                  <w:vAlign w:val="center"/>
                </w:tcPr>
                <w:p>
                  <w:pPr>
                    <w:autoSpaceDE w:val="0"/>
                    <w:autoSpaceDN w:val="0"/>
                    <w:adjustRightInd w:val="0"/>
                    <w:snapToGrid w:val="0"/>
                    <w:rPr>
                      <w:kern w:val="0"/>
                      <w:szCs w:val="21"/>
                    </w:rPr>
                  </w:pPr>
                  <w:r>
                    <w:rPr>
                      <w:bCs/>
                      <w:szCs w:val="21"/>
                    </w:rPr>
                    <w:t>本项目不含电镀工艺，各项污染物经治理后均能</w:t>
                  </w:r>
                  <w:r>
                    <w:rPr>
                      <w:rFonts w:hint="eastAsia"/>
                      <w:bCs/>
                      <w:szCs w:val="21"/>
                    </w:rPr>
                    <w:t>实现</w:t>
                  </w:r>
                  <w:r>
                    <w:rPr>
                      <w:bCs/>
                      <w:szCs w:val="21"/>
                    </w:rPr>
                    <w:t>达标排放，符合《长江经济带发展负面清单</w:t>
                  </w:r>
                  <w:r>
                    <w:rPr>
                      <w:rFonts w:hint="eastAsia"/>
                      <w:bCs/>
                      <w:szCs w:val="21"/>
                    </w:rPr>
                    <w:t>指南（</w:t>
                  </w:r>
                  <w:r>
                    <w:rPr>
                      <w:bCs/>
                      <w:szCs w:val="21"/>
                    </w:rPr>
                    <w:t>试行</w:t>
                  </w:r>
                  <w:r>
                    <w:rPr>
                      <w:rFonts w:hint="eastAsia"/>
                      <w:bCs/>
                      <w:szCs w:val="21"/>
                    </w:rPr>
                    <w:t>，2022年版）</w:t>
                  </w:r>
                  <w:r>
                    <w:rPr>
                      <w:bCs/>
                      <w:szCs w:val="21"/>
                    </w:rPr>
                    <w:t>》</w:t>
                  </w:r>
                </w:p>
              </w:tc>
              <w:tc>
                <w:tcPr>
                  <w:tcW w:w="761"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kern w:val="0"/>
                      <w:szCs w:val="21"/>
                    </w:rPr>
                  </w:pPr>
                  <w:r>
                    <w:rPr>
                      <w:kern w:val="0"/>
                      <w:szCs w:val="21"/>
                    </w:rPr>
                    <w:t>7</w:t>
                  </w:r>
                </w:p>
              </w:tc>
              <w:tc>
                <w:tcPr>
                  <w:tcW w:w="4148" w:type="dxa"/>
                  <w:vAlign w:val="center"/>
                </w:tcPr>
                <w:p>
                  <w:pPr>
                    <w:autoSpaceDE w:val="0"/>
                    <w:autoSpaceDN w:val="0"/>
                    <w:adjustRightInd w:val="0"/>
                    <w:snapToGrid w:val="0"/>
                    <w:rPr>
                      <w:kern w:val="0"/>
                      <w:szCs w:val="21"/>
                    </w:rPr>
                  </w:pPr>
                  <w:r>
                    <w:rPr>
                      <w:kern w:val="0"/>
                      <w:szCs w:val="21"/>
                    </w:rPr>
                    <w:t>组织制定生态环境保护规划，完善环境监测体系。统筹考虑区内污染防治、生态恢复与建设、环境风险防范、环境管理等事宜。建立健全区域环境风险防范体系，建立应急响应联动机制，提升高新区环境风险防控和应急响应能力，保障区域环境安全。完善包括环境空气、地表水、地下水、土壤、底泥等环境要素的监控体系，做好长期跟踪监测与管理</w:t>
                  </w:r>
                </w:p>
              </w:tc>
              <w:tc>
                <w:tcPr>
                  <w:tcW w:w="2772" w:type="dxa"/>
                  <w:vAlign w:val="center"/>
                </w:tcPr>
                <w:p>
                  <w:pPr>
                    <w:autoSpaceDE w:val="0"/>
                    <w:autoSpaceDN w:val="0"/>
                    <w:adjustRightInd w:val="0"/>
                    <w:snapToGrid w:val="0"/>
                    <w:rPr>
                      <w:kern w:val="0"/>
                      <w:szCs w:val="21"/>
                    </w:rPr>
                  </w:pPr>
                  <w:r>
                    <w:rPr>
                      <w:bCs/>
                      <w:szCs w:val="21"/>
                    </w:rPr>
                    <w:t>本项目建成后</w:t>
                  </w:r>
                  <w:r>
                    <w:rPr>
                      <w:rFonts w:hint="eastAsia"/>
                      <w:bCs/>
                      <w:szCs w:val="21"/>
                    </w:rPr>
                    <w:t>拟按要求</w:t>
                  </w:r>
                  <w:r>
                    <w:rPr>
                      <w:bCs/>
                      <w:szCs w:val="21"/>
                    </w:rPr>
                    <w:t>落实环境风险防范措施，并</w:t>
                  </w:r>
                  <w:r>
                    <w:rPr>
                      <w:rFonts w:hint="eastAsia"/>
                      <w:bCs/>
                      <w:szCs w:val="21"/>
                    </w:rPr>
                    <w:t>按照</w:t>
                  </w:r>
                  <w:r>
                    <w:rPr>
                      <w:bCs/>
                      <w:szCs w:val="21"/>
                    </w:rPr>
                    <w:t>排污许可申请与核发技术规范</w:t>
                  </w:r>
                  <w:r>
                    <w:rPr>
                      <w:rFonts w:hint="eastAsia"/>
                      <w:bCs/>
                      <w:szCs w:val="21"/>
                    </w:rPr>
                    <w:t>相关</w:t>
                  </w:r>
                  <w:r>
                    <w:rPr>
                      <w:bCs/>
                      <w:szCs w:val="21"/>
                    </w:rPr>
                    <w:t>要求制定监测计划，定期开展例行监测</w:t>
                  </w:r>
                </w:p>
              </w:tc>
              <w:tc>
                <w:tcPr>
                  <w:tcW w:w="761" w:type="dxa"/>
                  <w:vAlign w:val="center"/>
                </w:tcPr>
                <w:p>
                  <w:pPr>
                    <w:autoSpaceDE w:val="0"/>
                    <w:autoSpaceDN w:val="0"/>
                    <w:adjustRightInd w:val="0"/>
                    <w:snapToGrid w:val="0"/>
                    <w:jc w:val="center"/>
                    <w:rPr>
                      <w:kern w:val="0"/>
                      <w:szCs w:val="21"/>
                    </w:rPr>
                  </w:pPr>
                  <w:r>
                    <w:rPr>
                      <w:kern w:val="0"/>
                      <w:szCs w:val="21"/>
                    </w:rPr>
                    <w:t>符合</w:t>
                  </w:r>
                </w:p>
              </w:tc>
            </w:tr>
          </w:tbl>
          <w:p>
            <w:pPr>
              <w:autoSpaceDE w:val="0"/>
              <w:autoSpaceDN w:val="0"/>
              <w:adjustRightInd w:val="0"/>
              <w:snapToGrid w:val="0"/>
              <w:jc w:val="center"/>
              <w:rPr>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30" w:hRule="atLeast"/>
          <w:jc w:val="center"/>
        </w:trPr>
        <w:tc>
          <w:tcPr>
            <w:tcW w:w="681" w:type="dxa"/>
            <w:vAlign w:val="center"/>
          </w:tcPr>
          <w:p>
            <w:pPr>
              <w:autoSpaceDE w:val="0"/>
              <w:autoSpaceDN w:val="0"/>
              <w:adjustRightInd w:val="0"/>
              <w:snapToGrid w:val="0"/>
              <w:jc w:val="center"/>
              <w:rPr>
                <w:b/>
                <w:kern w:val="0"/>
                <w:szCs w:val="21"/>
              </w:rPr>
            </w:pPr>
            <w:r>
              <w:rPr>
                <w:b/>
                <w:kern w:val="0"/>
                <w:szCs w:val="21"/>
              </w:rPr>
              <w:t>其他符合性分析</w:t>
            </w:r>
          </w:p>
        </w:tc>
        <w:tc>
          <w:tcPr>
            <w:tcW w:w="8584" w:type="dxa"/>
            <w:gridSpan w:val="4"/>
            <w:vAlign w:val="center"/>
          </w:tcPr>
          <w:p>
            <w:pPr>
              <w:spacing w:line="360" w:lineRule="auto"/>
              <w:ind w:firstLine="422" w:firstLineChars="175"/>
              <w:rPr>
                <w:b/>
                <w:bCs/>
                <w:sz w:val="24"/>
              </w:rPr>
            </w:pPr>
            <w:r>
              <w:rPr>
                <w:b/>
                <w:bCs/>
                <w:sz w:val="24"/>
              </w:rPr>
              <w:t>（一）“三线一单”符合性分析</w:t>
            </w:r>
          </w:p>
          <w:p>
            <w:pPr>
              <w:spacing w:line="360" w:lineRule="auto"/>
              <w:ind w:firstLine="420" w:firstLineChars="175"/>
              <w:rPr>
                <w:color w:val="000000"/>
                <w:sz w:val="24"/>
              </w:rPr>
            </w:pPr>
            <w:r>
              <w:rPr>
                <w:color w:val="000000"/>
                <w:sz w:val="24"/>
              </w:rPr>
              <w:t>本项目“三线一单”符合性分析如下：</w:t>
            </w:r>
          </w:p>
          <w:p>
            <w:pPr>
              <w:widowControl/>
              <w:numPr>
                <w:ilvl w:val="0"/>
                <w:numId w:val="1"/>
              </w:numPr>
              <w:ind w:firstLine="482"/>
              <w:rPr>
                <w:b/>
                <w:color w:val="000000"/>
                <w:kern w:val="0"/>
                <w:szCs w:val="21"/>
              </w:rPr>
            </w:pPr>
            <w:r>
              <w:rPr>
                <w:rFonts w:hint="eastAsia"/>
                <w:b/>
                <w:color w:val="000000"/>
                <w:kern w:val="0"/>
                <w:szCs w:val="21"/>
              </w:rPr>
              <w:t>本项目</w:t>
            </w:r>
            <w:r>
              <w:rPr>
                <w:b/>
                <w:color w:val="000000"/>
                <w:kern w:val="0"/>
                <w:szCs w:val="21"/>
              </w:rPr>
              <w:t>与</w:t>
            </w:r>
            <w:r>
              <w:rPr>
                <w:rFonts w:hint="eastAsia"/>
                <w:b/>
                <w:color w:val="000000"/>
                <w:kern w:val="0"/>
                <w:szCs w:val="21"/>
              </w:rPr>
              <w:t>《长江经济带战略环境评价合肥市“三线一单”》的符合性</w:t>
            </w:r>
          </w:p>
          <w:tbl>
            <w:tblPr>
              <w:tblStyle w:val="24"/>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45"/>
              <w:gridCol w:w="527"/>
              <w:gridCol w:w="4347"/>
              <w:gridCol w:w="2489"/>
              <w:gridCol w:w="5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5319" w:type="dxa"/>
                  <w:gridSpan w:val="3"/>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《长江经济带战略环境评价合肥市“三线一单”文本》要求</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项目情况</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符合性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72" w:type="dxa"/>
                  <w:gridSpan w:val="2"/>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生态保护红线</w:t>
                  </w:r>
                </w:p>
              </w:tc>
              <w:tc>
                <w:tcPr>
                  <w:tcW w:w="4347" w:type="dxa"/>
                  <w:tcBorders>
                    <w:top w:val="single" w:color="000000" w:sz="2" w:space="0"/>
                    <w:left w:val="single" w:color="000000" w:sz="2" w:space="0"/>
                    <w:bottom w:val="single" w:color="000000" w:sz="2" w:space="0"/>
                    <w:right w:val="single" w:color="000000" w:sz="2" w:space="0"/>
                  </w:tcBorders>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合肥市生态保护红线集中分布于：巢湖湖区及环湖重要湿地生物多样性维护极重要区域，淠河总干渠、滁河干渠、引江济淮输水干线等清水通道维护区域，肥西紫蓬山区，庐江汤池、冶父山及庐南山区，巢湖银屏山区、肥东浮槎山区等水土保持、水源涵养极重要区域，董铺—大房郢水库重要水源保护区等地区</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项目位于合肥市高新技术产业开发区明珠产业园2C-3，对照合肥市生态保护红线分布图，项目不涉及生态保护红线，也不在当地饮用水源、风景</w:t>
                  </w:r>
                  <w:r>
                    <w:rPr>
                      <w:rFonts w:hint="eastAsia"/>
                      <w:color w:val="000000"/>
                      <w:szCs w:val="21"/>
                      <w:shd w:val="clear" w:color="auto" w:fill="FFFFFF"/>
                      <w:lang w:eastAsia="zh-CN" w:bidi="ar"/>
                    </w:rPr>
                    <w:t>名胜</w:t>
                  </w:r>
                  <w:r>
                    <w:rPr>
                      <w:rFonts w:hint="eastAsia"/>
                      <w:color w:val="000000"/>
                      <w:szCs w:val="21"/>
                      <w:shd w:val="clear" w:color="auto" w:fill="FFFFFF"/>
                      <w:lang w:bidi="ar"/>
                    </w:rPr>
                    <w:t>区、自然保护区等生态保护区内，符合生态保护红线要求</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环境质量底线</w:t>
                  </w: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水环境</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根据合肥市“三线一单”成果，水环境管控分区包括优先保护区、重点管控区和一般管控区。其中重点管控区要求如下：依据《中华人民共和国水污染防治法》《水污染防治行动计划》《安徽省水污染防治工作方案》《合肥市水污染防治工作方案》对重点管控区实施管控；依据《安徽省淮河流域水污染防治条例》对淮河流域实施管控；依据《巢湖流域水污染防治条例》《巢湖综合治理绿色发展总体规划》《巢湖流域农业面源污染防治实施方案》《关于建设绿色发展美丽巢湖的意见》对巢湖流域实施管控；依据《合肥市水环境保护条例》对合肥市实施管控；依据开发区规划、规划环评及审查意见相关要求对开发区实施管控；落实《“十三五”生态环境保护规划》《安徽省“十三五”环境保护规划》《安徽省“十三五”节能减排实施方案》《合肥市“十三五”生态环境建设规划》《合肥市“十三五”节能减排综合性工作方案》等要求，新建、改建和扩建项目水污染物实施“等量替代”</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项目位于水环境重点管控区。区域污水和雨水受纳水体为派河，地表水体派河能满足《地表水环境质量标准》（GB3838-2002）中的Ⅲ类标准。项目新增水污染物总量计入合肥市西部组团污水处理厂之内</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continue"/>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大气环境</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根据合肥市“三线一单”成果，大气环境管控分区包括优先保护区、重点管控区和一般管控区。其中重点管控区要求如下：</w:t>
                  </w:r>
                </w:p>
                <w:p>
                  <w:pPr>
                    <w:adjustRightInd w:val="0"/>
                    <w:snapToGrid w:val="0"/>
                    <w:rPr>
                      <w:color w:val="000000"/>
                      <w:szCs w:val="21"/>
                      <w:shd w:val="clear" w:color="auto" w:fill="FFFFFF"/>
                      <w:lang w:bidi="ar"/>
                    </w:rPr>
                  </w:pPr>
                  <w:r>
                    <w:rPr>
                      <w:rFonts w:hint="eastAsia"/>
                      <w:color w:val="000000"/>
                      <w:szCs w:val="21"/>
                      <w:shd w:val="clear" w:color="auto" w:fill="FFFFFF"/>
                      <w:lang w:bidi="ar"/>
                    </w:rPr>
                    <w:t>落实《安徽省大气污染防治条例》《“十三五”生态环境保护规划》《安徽省“十三五”环境保护规划》《打赢蓝天保卫战三年行动计划》《安徽省打赢蓝天保卫战三年行动计划实施方案》《重点行业挥发性有机物综合治理方案》《合肥市大气污染防治条例》《合肥市“十三五”生态环境建设规划》《合肥市打赢蓝天保卫战三年行动计划实施方案》等要求，严格目标实施计划，加强环境监管，促进生态环境质量好转。新建、改建和扩建项目大气污染物实施“倍量替代”，执行特别排放标准的行业实施提标升级改造</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项目位于大气环境重点管控区。根据《2022年合肥市</w:t>
                  </w:r>
                  <w:r>
                    <w:rPr>
                      <w:rFonts w:hint="eastAsia"/>
                      <w:color w:val="000000"/>
                      <w:szCs w:val="21"/>
                      <w:shd w:val="clear" w:color="auto" w:fill="FFFFFF"/>
                      <w:lang w:eastAsia="zh-CN" w:bidi="ar"/>
                    </w:rPr>
                    <w:t>生态</w:t>
                  </w:r>
                  <w:r>
                    <w:rPr>
                      <w:rFonts w:hint="eastAsia"/>
                      <w:color w:val="000000"/>
                      <w:szCs w:val="21"/>
                      <w:shd w:val="clear" w:color="auto" w:fill="FFFFFF"/>
                      <w:lang w:bidi="ar"/>
                    </w:rPr>
                    <w:t>环境状况公报》，合肥市空气质量属于达标区。结合《安徽省环保厅关于进一步加强建设项目新增大气主要污染物总量指标管理工作的通知》（皖环发〔2017〕19号）：大气主要污染物总量指标实行区域内等量替代。</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continue"/>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土壤环境</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根据合肥市“三线一单”成果，土壤环境风险防控分区包括优先保护区、土壤环境风险重点防控区和一般防控区。其中一般防控区要求如下：依据《中华人民共和国土壤污染防治法》《土壤污染防治行动计划》《安徽省土壤污染防治工作方案》《安徽省“十三五”环境保护规划》《合肥市“十三五”生态环境建设规划》《合肥市土壤污染防治工作实施方案》等要求对一般管控区实施管控</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项目位于土壤环境风险一般防控区。结合项目地点及特点，不涉及土壤污染途径，对周边土壤环境影响较小</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资源利用上线</w:t>
                  </w: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煤炭资源利用上线</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根据合肥市“三线一单”成果，煤炭资源利用管控分区含重点管控区和一般管控区。其中高污染燃料禁燃区为重点管控区，其余为一般管控区。其中关于重点管控区要求如下：高污染燃料禁燃区内，禁止销售、燃用高污染燃料；禁止新建、扩建燃用高污染燃料的设施（新建、改建集中供热和现有火电厂锅炉改造的除外，但煤炭消费量和污染物排放总量需满足相关规定要求），已建成的，应当改用天然气、液化石油气、电或者其他清洁能源。</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项目区位于煤炭资源利用重点管控区。项目使用电能为主要能源，不涉及高污染燃料使用</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continue"/>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水资源利用上线</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水资源管控分区包括重点管控区和一般管控区，根据合肥市水资源条件和《安徽省“三线一单”》划定成果，合肥市水资源管控区个数为9个，均为一般管控区。管控要求如下：落实《国务院办公厅关于印发实行最严格水资源管理制度考核办法的通知》《“十三五”水资源消耗总量和强度双控行动方案》《安徽省“十三五”水资源消耗总量和强度双控工作方案》以及《合肥市“十三五”水资源消耗总量和强度双控工作方案》等要求</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项目位于水资源一般管控区。项目用水量较少，且用水由市政给水管网提供，供水水源充足，不突破水资源利用上线</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continue"/>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土地资源利用上线</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土地资源管控区划分为重点管控区和一般管控区。土地资源分区管控要求如下：</w:t>
                  </w:r>
                </w:p>
                <w:p>
                  <w:pPr>
                    <w:adjustRightInd w:val="0"/>
                    <w:snapToGrid w:val="0"/>
                    <w:rPr>
                      <w:color w:val="000000"/>
                      <w:szCs w:val="21"/>
                      <w:shd w:val="clear" w:color="auto" w:fill="FFFFFF"/>
                      <w:lang w:bidi="ar"/>
                    </w:rPr>
                  </w:pPr>
                  <w:r>
                    <w:rPr>
                      <w:rFonts w:hint="eastAsia"/>
                      <w:color w:val="000000"/>
                      <w:szCs w:val="21"/>
                      <w:shd w:val="clear" w:color="auto" w:fill="FFFFFF"/>
                      <w:lang w:bidi="ar"/>
                    </w:rPr>
                    <w:t>落实《安徽省土地利用总体规划（2006-2020年）调整方案》《关于落实“十三五”单位国内生产总值建设用地使用面积下降目标的指导意见的通知》《国土资源“十三五”规划纲要》《安徽省国土资源“十三五”规划》等要求</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项目位于土地资源重点管控区。厂房为租赁，不涉及新增用地，不会突破土地资源利用上限</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883" w:hRule="atLeast"/>
                <w:jc w:val="center"/>
              </w:trPr>
              <w:tc>
                <w:tcPr>
                  <w:tcW w:w="972" w:type="dxa"/>
                  <w:gridSpan w:val="2"/>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生态环境准入清单</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根据合肥市“三线一单”成果，生态环境准入清单由优先保护、重点管控、一般管控三大类环境管控单元生态环境准入清单组成。“开发区”清单。根据合肥市域内各级各类开发区基础特征，结合已批复的规划环评（或跟踪评价）报告要求，确定开发区清单。安徽合肥高新技术产业开发区相关清单如下：</w:t>
                  </w:r>
                </w:p>
                <w:p>
                  <w:pPr>
                    <w:adjustRightInd w:val="0"/>
                    <w:snapToGrid w:val="0"/>
                    <w:rPr>
                      <w:color w:val="000000"/>
                      <w:szCs w:val="21"/>
                      <w:shd w:val="clear" w:color="auto" w:fill="FFFFFF"/>
                      <w:lang w:bidi="ar"/>
                    </w:rPr>
                  </w:pPr>
                  <w:r>
                    <w:rPr>
                      <w:color w:val="000000"/>
                      <w:szCs w:val="21"/>
                      <w:shd w:val="clear" w:color="auto" w:fill="FFFFFF"/>
                      <w:lang w:bidi="ar"/>
                    </w:rPr>
                    <w:t>1</w:t>
                  </w:r>
                  <w:r>
                    <w:rPr>
                      <w:rFonts w:hint="eastAsia"/>
                      <w:color w:val="000000"/>
                      <w:szCs w:val="21"/>
                      <w:shd w:val="clear" w:color="auto" w:fill="FFFFFF"/>
                      <w:lang w:bidi="ar"/>
                    </w:rPr>
                    <w:t>）污染物排放管控清单：烟尘排放总量为</w:t>
                  </w:r>
                  <w:r>
                    <w:rPr>
                      <w:color w:val="000000"/>
                      <w:szCs w:val="21"/>
                      <w:shd w:val="clear" w:color="auto" w:fill="FFFFFF"/>
                      <w:lang w:bidi="ar"/>
                    </w:rPr>
                    <w:t>296.7t/a</w:t>
                  </w:r>
                  <w:r>
                    <w:rPr>
                      <w:rFonts w:hint="eastAsia"/>
                      <w:color w:val="000000"/>
                      <w:szCs w:val="21"/>
                      <w:shd w:val="clear" w:color="auto" w:fill="FFFFFF"/>
                      <w:lang w:bidi="ar"/>
                    </w:rPr>
                    <w:t>、</w:t>
                  </w:r>
                  <w:r>
                    <w:rPr>
                      <w:color w:val="000000"/>
                      <w:szCs w:val="21"/>
                      <w:shd w:val="clear" w:color="auto" w:fill="FFFFFF"/>
                      <w:lang w:bidi="ar"/>
                    </w:rPr>
                    <w:t>SO</w:t>
                  </w:r>
                  <w:r>
                    <w:rPr>
                      <w:color w:val="000000"/>
                      <w:szCs w:val="21"/>
                      <w:shd w:val="clear" w:color="auto" w:fill="FFFFFF"/>
                      <w:vertAlign w:val="subscript"/>
                      <w:lang w:bidi="ar"/>
                    </w:rPr>
                    <w:t>2</w:t>
                  </w:r>
                  <w:r>
                    <w:rPr>
                      <w:rFonts w:hint="eastAsia"/>
                      <w:color w:val="000000"/>
                      <w:szCs w:val="21"/>
                      <w:shd w:val="clear" w:color="auto" w:fill="FFFFFF"/>
                      <w:lang w:bidi="ar"/>
                    </w:rPr>
                    <w:t>排放总量为</w:t>
                  </w:r>
                  <w:r>
                    <w:rPr>
                      <w:color w:val="000000"/>
                      <w:szCs w:val="21"/>
                      <w:shd w:val="clear" w:color="auto" w:fill="FFFFFF"/>
                      <w:lang w:bidi="ar"/>
                    </w:rPr>
                    <w:t>1262.4t/a</w:t>
                  </w:r>
                  <w:r>
                    <w:rPr>
                      <w:rFonts w:hint="eastAsia"/>
                      <w:color w:val="000000"/>
                      <w:szCs w:val="21"/>
                      <w:shd w:val="clear" w:color="auto" w:fill="FFFFFF"/>
                      <w:lang w:bidi="ar"/>
                    </w:rPr>
                    <w:t>、</w:t>
                  </w:r>
                  <w:r>
                    <w:rPr>
                      <w:color w:val="000000"/>
                      <w:szCs w:val="21"/>
                      <w:shd w:val="clear" w:color="auto" w:fill="FFFFFF"/>
                      <w:lang w:bidi="ar"/>
                    </w:rPr>
                    <w:t>NOx</w:t>
                  </w:r>
                  <w:r>
                    <w:rPr>
                      <w:rFonts w:hint="eastAsia"/>
                      <w:color w:val="000000"/>
                      <w:szCs w:val="21"/>
                      <w:shd w:val="clear" w:color="auto" w:fill="FFFFFF"/>
                      <w:lang w:bidi="ar"/>
                    </w:rPr>
                    <w:t>排放总量为</w:t>
                  </w:r>
                  <w:r>
                    <w:rPr>
                      <w:color w:val="000000"/>
                      <w:szCs w:val="21"/>
                      <w:shd w:val="clear" w:color="auto" w:fill="FFFFFF"/>
                      <w:lang w:bidi="ar"/>
                    </w:rPr>
                    <w:t>1609.48t/a</w:t>
                  </w:r>
                  <w:r>
                    <w:rPr>
                      <w:rFonts w:hint="eastAsia"/>
                      <w:color w:val="000000"/>
                      <w:szCs w:val="21"/>
                      <w:shd w:val="clear" w:color="auto" w:fill="FFFFFF"/>
                      <w:lang w:bidi="ar"/>
                    </w:rPr>
                    <w:t>、</w:t>
                  </w:r>
                  <w:r>
                    <w:rPr>
                      <w:color w:val="000000"/>
                      <w:szCs w:val="21"/>
                      <w:shd w:val="clear" w:color="auto" w:fill="FFFFFF"/>
                      <w:lang w:bidi="ar"/>
                    </w:rPr>
                    <w:t>CODCr</w:t>
                  </w:r>
                  <w:r>
                    <w:rPr>
                      <w:rFonts w:hint="eastAsia"/>
                      <w:color w:val="000000"/>
                      <w:szCs w:val="21"/>
                      <w:shd w:val="clear" w:color="auto" w:fill="FFFFFF"/>
                      <w:lang w:bidi="ar"/>
                    </w:rPr>
                    <w:t>排放总量为</w:t>
                  </w:r>
                  <w:r>
                    <w:rPr>
                      <w:color w:val="000000"/>
                      <w:szCs w:val="21"/>
                      <w:shd w:val="clear" w:color="auto" w:fill="FFFFFF"/>
                      <w:lang w:bidi="ar"/>
                    </w:rPr>
                    <w:t>3735.8t/a</w:t>
                  </w:r>
                  <w:r>
                    <w:rPr>
                      <w:rFonts w:hint="eastAsia"/>
                      <w:color w:val="000000"/>
                      <w:szCs w:val="21"/>
                      <w:shd w:val="clear" w:color="auto" w:fill="FFFFFF"/>
                      <w:lang w:bidi="ar"/>
                    </w:rPr>
                    <w:t>、</w:t>
                  </w:r>
                  <w:r>
                    <w:rPr>
                      <w:color w:val="000000"/>
                      <w:szCs w:val="21"/>
                      <w:shd w:val="clear" w:color="auto" w:fill="FFFFFF"/>
                      <w:lang w:bidi="ar"/>
                    </w:rPr>
                    <w:t>NH</w:t>
                  </w:r>
                  <w:r>
                    <w:rPr>
                      <w:color w:val="000000"/>
                      <w:szCs w:val="21"/>
                      <w:shd w:val="clear" w:color="auto" w:fill="FFFFFF"/>
                      <w:vertAlign w:val="subscript"/>
                      <w:lang w:bidi="ar"/>
                    </w:rPr>
                    <w:t>3</w:t>
                  </w:r>
                  <w:r>
                    <w:rPr>
                      <w:color w:val="000000"/>
                      <w:szCs w:val="21"/>
                      <w:shd w:val="clear" w:color="auto" w:fill="FFFFFF"/>
                      <w:lang w:bidi="ar"/>
                    </w:rPr>
                    <w:t>-N</w:t>
                  </w:r>
                  <w:r>
                    <w:rPr>
                      <w:rFonts w:hint="eastAsia"/>
                      <w:color w:val="000000"/>
                      <w:szCs w:val="21"/>
                      <w:shd w:val="clear" w:color="auto" w:fill="FFFFFF"/>
                      <w:lang w:bidi="ar"/>
                    </w:rPr>
                    <w:t>排放总量为</w:t>
                  </w:r>
                  <w:r>
                    <w:rPr>
                      <w:color w:val="000000"/>
                      <w:szCs w:val="21"/>
                      <w:shd w:val="clear" w:color="auto" w:fill="FFFFFF"/>
                      <w:lang w:bidi="ar"/>
                    </w:rPr>
                    <w:t>373.5t/a</w:t>
                  </w:r>
                  <w:r>
                    <w:rPr>
                      <w:rFonts w:hint="eastAsia"/>
                      <w:color w:val="000000"/>
                      <w:szCs w:val="21"/>
                      <w:shd w:val="clear" w:color="auto" w:fill="FFFFFF"/>
                      <w:lang w:bidi="ar"/>
                    </w:rPr>
                    <w:t>、石油类排放总量为</w:t>
                  </w:r>
                  <w:r>
                    <w:rPr>
                      <w:color w:val="000000"/>
                      <w:szCs w:val="21"/>
                      <w:shd w:val="clear" w:color="auto" w:fill="FFFFFF"/>
                      <w:lang w:bidi="ar"/>
                    </w:rPr>
                    <w:t>52.5t/a</w:t>
                  </w:r>
                </w:p>
                <w:p>
                  <w:pPr>
                    <w:adjustRightInd w:val="0"/>
                    <w:snapToGrid w:val="0"/>
                    <w:rPr>
                      <w:color w:val="000000"/>
                      <w:szCs w:val="21"/>
                      <w:shd w:val="clear" w:color="auto" w:fill="FFFFFF"/>
                      <w:lang w:bidi="ar"/>
                    </w:rPr>
                  </w:pPr>
                  <w:r>
                    <w:rPr>
                      <w:color w:val="000000"/>
                      <w:szCs w:val="21"/>
                      <w:shd w:val="clear" w:color="auto" w:fill="FFFFFF"/>
                      <w:lang w:bidi="ar"/>
                    </w:rPr>
                    <w:t>2</w:t>
                  </w:r>
                  <w:r>
                    <w:rPr>
                      <w:rFonts w:hint="eastAsia"/>
                      <w:color w:val="000000"/>
                      <w:szCs w:val="21"/>
                      <w:shd w:val="clear" w:color="auto" w:fill="FFFFFF"/>
                      <w:lang w:bidi="ar"/>
                    </w:rPr>
                    <w:t>）环境风险防控：①装置设计、建设、运行全过程考虑，建立防范体系；②危险化学品贮存区设置围堰或截流沟，地面进行防渗处理，防止事故污染物向环境转移；③拟定事故毒物进入环境后的消除措施等。在保证上述措施得以落实的基础上，可有效地降低风险事故发生时对周边环境的污染损害。</w:t>
                  </w:r>
                </w:p>
                <w:p>
                  <w:pPr>
                    <w:adjustRightInd w:val="0"/>
                    <w:snapToGrid w:val="0"/>
                    <w:rPr>
                      <w:color w:val="000000"/>
                      <w:szCs w:val="21"/>
                      <w:shd w:val="clear" w:color="auto" w:fill="FFFFFF"/>
                      <w:lang w:bidi="ar"/>
                    </w:rPr>
                  </w:pPr>
                  <w:r>
                    <w:rPr>
                      <w:rFonts w:hint="eastAsia"/>
                      <w:color w:val="000000"/>
                      <w:szCs w:val="21"/>
                      <w:shd w:val="clear" w:color="auto" w:fill="FFFFFF"/>
                      <w:lang w:bidi="ar"/>
                    </w:rPr>
                    <w:t>3）资源开发利用效率要求：单位工业增加值新鲜水耗&lt;8m³/万元</w:t>
                  </w:r>
                </w:p>
                <w:p>
                  <w:pPr>
                    <w:adjustRightInd w:val="0"/>
                    <w:snapToGrid w:val="0"/>
                    <w:rPr>
                      <w:color w:val="000000"/>
                      <w:szCs w:val="21"/>
                      <w:shd w:val="clear" w:color="auto" w:fill="FFFFFF"/>
                      <w:lang w:bidi="ar"/>
                    </w:rPr>
                  </w:pPr>
                  <w:r>
                    <w:rPr>
                      <w:color w:val="000000"/>
                      <w:szCs w:val="21"/>
                      <w:shd w:val="clear" w:color="auto" w:fill="FFFFFF"/>
                      <w:lang w:bidi="ar"/>
                    </w:rPr>
                    <w:t>4</w:t>
                  </w:r>
                  <w:r>
                    <w:rPr>
                      <w:rFonts w:hint="eastAsia"/>
                      <w:color w:val="000000"/>
                      <w:szCs w:val="21"/>
                      <w:shd w:val="clear" w:color="auto" w:fill="FFFFFF"/>
                      <w:lang w:bidi="ar"/>
                    </w:rPr>
                    <w:t>）产业准入要求：</w:t>
                  </w:r>
                </w:p>
                <w:p>
                  <w:pPr>
                    <w:adjustRightInd w:val="0"/>
                    <w:snapToGrid w:val="0"/>
                    <w:rPr>
                      <w:color w:val="000000"/>
                      <w:szCs w:val="21"/>
                      <w:shd w:val="clear" w:color="auto" w:fill="FFFFFF"/>
                      <w:lang w:bidi="ar"/>
                    </w:rPr>
                  </w:pPr>
                  <w:r>
                    <w:rPr>
                      <w:rFonts w:hint="eastAsia"/>
                      <w:color w:val="000000"/>
                      <w:szCs w:val="21"/>
                      <w:shd w:val="clear" w:color="auto" w:fill="FFFFFF"/>
                      <w:lang w:bidi="ar"/>
                    </w:rPr>
                    <w:t>①优先进入行业类别：电子信息；生物医药；新材料；光机电一体化；其他高新技术产业；</w:t>
                  </w:r>
                </w:p>
                <w:p>
                  <w:pPr>
                    <w:adjustRightInd w:val="0"/>
                    <w:snapToGrid w:val="0"/>
                    <w:rPr>
                      <w:color w:val="000000"/>
                      <w:szCs w:val="21"/>
                      <w:shd w:val="clear" w:color="auto" w:fill="FFFFFF"/>
                      <w:lang w:bidi="ar"/>
                    </w:rPr>
                  </w:pPr>
                  <w:r>
                    <w:rPr>
                      <w:rFonts w:hint="eastAsia"/>
                      <w:color w:val="000000"/>
                      <w:szCs w:val="21"/>
                      <w:shd w:val="clear" w:color="auto" w:fill="FFFFFF"/>
                      <w:lang w:bidi="ar"/>
                    </w:rPr>
                    <w:t>②控制进入行业类别：化工及化学品原料制造；造纸及纸制品业；皮革、毛皮、羽绒及其制造业；黑色金属冶炼及压延加工业；印染类</w:t>
                  </w:r>
                </w:p>
                <w:p>
                  <w:pPr>
                    <w:adjustRightInd w:val="0"/>
                    <w:snapToGrid w:val="0"/>
                    <w:rPr>
                      <w:color w:val="000000"/>
                      <w:szCs w:val="21"/>
                      <w:shd w:val="clear" w:color="auto" w:fill="FFFFFF"/>
                      <w:lang w:bidi="ar"/>
                    </w:rPr>
                  </w:pPr>
                  <w:r>
                    <w:rPr>
                      <w:rFonts w:hint="eastAsia"/>
                      <w:color w:val="000000"/>
                      <w:szCs w:val="21"/>
                      <w:shd w:val="clear" w:color="auto" w:fill="FFFFFF"/>
                      <w:lang w:bidi="ar"/>
                    </w:rPr>
                    <w:t>③禁止进入行业类别：炼油、产生致癌、致畸、致突变物质的项目</w:t>
                  </w:r>
                </w:p>
                <w:p>
                  <w:pPr>
                    <w:adjustRightInd w:val="0"/>
                    <w:snapToGrid w:val="0"/>
                    <w:rPr>
                      <w:color w:val="000000"/>
                      <w:szCs w:val="21"/>
                      <w:shd w:val="clear" w:color="auto" w:fill="FFFFFF"/>
                      <w:lang w:bidi="ar"/>
                    </w:rPr>
                  </w:pP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本项目不在生态准入负面清单范围。</w:t>
                  </w:r>
                </w:p>
                <w:p>
                  <w:pPr>
                    <w:autoSpaceDE w:val="0"/>
                    <w:autoSpaceDN w:val="0"/>
                    <w:adjustRightInd w:val="0"/>
                    <w:snapToGrid w:val="0"/>
                    <w:spacing w:line="264" w:lineRule="auto"/>
                    <w:rPr>
                      <w:color w:val="000000"/>
                      <w:kern w:val="0"/>
                      <w:szCs w:val="21"/>
                    </w:rPr>
                  </w:pPr>
                  <w:r>
                    <w:rPr>
                      <w:rFonts w:hint="eastAsia"/>
                      <w:color w:val="000000"/>
                      <w:szCs w:val="21"/>
                      <w:shd w:val="clear" w:color="auto" w:fill="FFFFFF"/>
                      <w:lang w:bidi="ar"/>
                    </w:rPr>
                    <w:t>污染物排放控制清单：项目大气总量控制因子VOC</w:t>
                  </w:r>
                  <w:r>
                    <w:rPr>
                      <w:rFonts w:hint="eastAsia"/>
                      <w:color w:val="000000"/>
                      <w:kern w:val="0"/>
                      <w:szCs w:val="21"/>
                    </w:rPr>
                    <w:t>s</w:t>
                  </w:r>
                  <w:r>
                    <w:rPr>
                      <w:rFonts w:hint="eastAsia"/>
                      <w:color w:val="000000"/>
                      <w:szCs w:val="21"/>
                      <w:shd w:val="clear" w:color="auto" w:fill="FFFFFF"/>
                      <w:lang w:bidi="ar"/>
                    </w:rPr>
                    <w:t>排放总量为</w:t>
                  </w:r>
                  <w:r>
                    <w:rPr>
                      <w:rFonts w:hint="eastAsia"/>
                      <w:color w:val="FF0000"/>
                      <w:kern w:val="0"/>
                      <w:szCs w:val="21"/>
                    </w:rPr>
                    <w:t>：</w:t>
                  </w:r>
                  <w:r>
                    <w:rPr>
                      <w:rFonts w:hint="eastAsia"/>
                      <w:color w:val="000000"/>
                      <w:kern w:val="0"/>
                      <w:szCs w:val="21"/>
                    </w:rPr>
                    <w:t>VOCs：0.01205t/a废水量：686t/a；</w:t>
                  </w:r>
                </w:p>
                <w:p>
                  <w:pPr>
                    <w:adjustRightInd w:val="0"/>
                    <w:snapToGrid w:val="0"/>
                    <w:rPr>
                      <w:color w:val="000000"/>
                      <w:szCs w:val="21"/>
                      <w:shd w:val="clear" w:color="auto" w:fill="FFFFFF"/>
                      <w:lang w:bidi="ar"/>
                    </w:rPr>
                  </w:pPr>
                  <w:r>
                    <w:rPr>
                      <w:rFonts w:hint="eastAsia"/>
                      <w:color w:val="000000"/>
                      <w:kern w:val="0"/>
                      <w:szCs w:val="21"/>
                    </w:rPr>
                    <w:t>COD：</w:t>
                  </w:r>
                  <w:r>
                    <w:rPr>
                      <w:color w:val="000000"/>
                      <w:kern w:val="0"/>
                      <w:szCs w:val="21"/>
                      <w:lang w:bidi="ar"/>
                    </w:rPr>
                    <w:t>0.158</w:t>
                  </w:r>
                  <w:r>
                    <w:rPr>
                      <w:rFonts w:hint="eastAsia"/>
                      <w:color w:val="000000"/>
                      <w:kern w:val="0"/>
                      <w:szCs w:val="21"/>
                    </w:rPr>
                    <w:t>t/a；NH</w:t>
                  </w:r>
                  <w:r>
                    <w:rPr>
                      <w:rFonts w:hint="eastAsia"/>
                      <w:color w:val="000000"/>
                      <w:kern w:val="0"/>
                      <w:szCs w:val="21"/>
                      <w:vertAlign w:val="subscript"/>
                    </w:rPr>
                    <w:t>3</w:t>
                  </w:r>
                  <w:r>
                    <w:rPr>
                      <w:rFonts w:hint="eastAsia"/>
                      <w:color w:val="000000"/>
                      <w:kern w:val="0"/>
                      <w:szCs w:val="21"/>
                    </w:rPr>
                    <w:t>-N：0.017t/a；一般固废：0.07t/a；危险废物：7.6t/a</w:t>
                  </w:r>
                </w:p>
                <w:p>
                  <w:pPr>
                    <w:adjustRightInd w:val="0"/>
                    <w:snapToGrid w:val="0"/>
                    <w:rPr>
                      <w:color w:val="000000"/>
                      <w:szCs w:val="21"/>
                      <w:shd w:val="clear" w:color="auto" w:fill="FFFFFF"/>
                      <w:lang w:bidi="ar"/>
                    </w:rPr>
                  </w:pPr>
                  <w:r>
                    <w:rPr>
                      <w:rFonts w:hint="eastAsia"/>
                      <w:color w:val="000000"/>
                      <w:szCs w:val="21"/>
                      <w:shd w:val="clear" w:color="auto" w:fill="FFFFFF"/>
                      <w:lang w:bidi="ar"/>
                    </w:rPr>
                    <w:t>环境风险防控：①建立健全煅烧间、研发实验室、超净间、危废间、生产1区域、原料仓库的火灾防范制度，配备灭火设施；</w:t>
                  </w:r>
                </w:p>
                <w:p>
                  <w:pPr>
                    <w:adjustRightInd w:val="0"/>
                    <w:snapToGrid w:val="0"/>
                    <w:rPr>
                      <w:color w:val="000000"/>
                      <w:szCs w:val="21"/>
                      <w:shd w:val="clear" w:color="auto" w:fill="FFFFFF"/>
                      <w:lang w:bidi="ar"/>
                    </w:rPr>
                  </w:pPr>
                  <w:r>
                    <w:rPr>
                      <w:rFonts w:hint="eastAsia"/>
                      <w:color w:val="000000"/>
                      <w:szCs w:val="21"/>
                      <w:shd w:val="clear" w:color="auto" w:fill="FFFFFF"/>
                      <w:lang w:bidi="ar"/>
                    </w:rPr>
                    <w:t>②建立化学品采购、存储、厂内运输、领用、使用、废弃等全路径管理制度，防止化学品发生物料泄漏；</w:t>
                  </w:r>
                </w:p>
                <w:p>
                  <w:pPr>
                    <w:adjustRightInd w:val="0"/>
                    <w:snapToGrid w:val="0"/>
                    <w:rPr>
                      <w:color w:val="000000"/>
                      <w:szCs w:val="21"/>
                      <w:shd w:val="clear" w:color="auto" w:fill="FFFFFF"/>
                      <w:lang w:bidi="ar"/>
                    </w:rPr>
                  </w:pPr>
                  <w:r>
                    <w:rPr>
                      <w:rFonts w:hint="eastAsia"/>
                      <w:color w:val="000000"/>
                      <w:szCs w:val="21"/>
                      <w:shd w:val="clear" w:color="auto" w:fill="FFFFFF"/>
                      <w:lang w:bidi="ar"/>
                    </w:rPr>
                    <w:t>③加强对废气</w:t>
                  </w:r>
                  <w:r>
                    <w:rPr>
                      <w:rFonts w:hint="eastAsia"/>
                      <w:color w:val="000000"/>
                      <w:szCs w:val="21"/>
                      <w:shd w:val="clear" w:color="auto" w:fill="FFFFFF"/>
                      <w:lang w:eastAsia="zh-CN" w:bidi="ar"/>
                    </w:rPr>
                    <w:t>处理</w:t>
                  </w:r>
                  <w:r>
                    <w:rPr>
                      <w:rFonts w:hint="eastAsia"/>
                      <w:color w:val="000000"/>
                      <w:szCs w:val="21"/>
                      <w:shd w:val="clear" w:color="auto" w:fill="FFFFFF"/>
                      <w:lang w:bidi="ar"/>
                    </w:rPr>
                    <w:t>设施的运行管理、维护保养</w:t>
                  </w:r>
                  <w:r>
                    <w:rPr>
                      <w:rFonts w:hint="eastAsia"/>
                      <w:color w:val="000000"/>
                      <w:szCs w:val="21"/>
                      <w:shd w:val="clear" w:color="auto" w:fill="FFFFFF"/>
                      <w:lang w:eastAsia="zh-CN" w:bidi="ar"/>
                    </w:rPr>
                    <w:t>，</w:t>
                  </w:r>
                  <w:r>
                    <w:rPr>
                      <w:rFonts w:hint="eastAsia"/>
                      <w:color w:val="000000"/>
                      <w:szCs w:val="21"/>
                      <w:shd w:val="clear" w:color="auto" w:fill="FFFFFF"/>
                      <w:lang w:bidi="ar"/>
                    </w:rPr>
                    <w:t>当废气处理措施发生故障，造成废气事故性排放，项目应立即停产，排除事故故障，待确保废气治理措施正常运转后再恢复研发生产；</w:t>
                  </w:r>
                </w:p>
                <w:p>
                  <w:pPr>
                    <w:adjustRightInd w:val="0"/>
                    <w:snapToGrid w:val="0"/>
                    <w:rPr>
                      <w:color w:val="000000"/>
                      <w:szCs w:val="21"/>
                      <w:shd w:val="clear" w:color="auto" w:fill="FFFFFF"/>
                      <w:lang w:bidi="ar"/>
                    </w:rPr>
                  </w:pPr>
                  <w:r>
                    <w:rPr>
                      <w:rFonts w:hint="eastAsia"/>
                      <w:color w:val="000000"/>
                      <w:szCs w:val="21"/>
                      <w:shd w:val="clear" w:color="auto" w:fill="FFFFFF"/>
                      <w:lang w:bidi="ar"/>
                    </w:rPr>
                    <w:t>资源利用效率要求：项目单位工业增加值水耗指标：≤</w:t>
                  </w:r>
                  <w:r>
                    <w:rPr>
                      <w:color w:val="000000"/>
                      <w:szCs w:val="21"/>
                      <w:shd w:val="clear" w:color="auto" w:fill="FFFFFF"/>
                      <w:lang w:bidi="ar"/>
                    </w:rPr>
                    <w:t>8m</w:t>
                  </w:r>
                  <w:r>
                    <w:rPr>
                      <w:rFonts w:hint="eastAsia"/>
                      <w:color w:val="000000"/>
                      <w:szCs w:val="21"/>
                      <w:shd w:val="clear" w:color="auto" w:fill="FFFFFF"/>
                      <w:lang w:bidi="ar"/>
                    </w:rPr>
                    <w:t>³</w:t>
                  </w:r>
                  <w:r>
                    <w:rPr>
                      <w:color w:val="000000"/>
                      <w:szCs w:val="21"/>
                      <w:shd w:val="clear" w:color="auto" w:fill="FFFFFF"/>
                      <w:lang w:bidi="ar"/>
                    </w:rPr>
                    <w:t>/</w:t>
                  </w:r>
                  <w:r>
                    <w:rPr>
                      <w:rFonts w:hint="eastAsia"/>
                      <w:color w:val="000000"/>
                      <w:szCs w:val="21"/>
                      <w:shd w:val="clear" w:color="auto" w:fill="FFFFFF"/>
                      <w:lang w:bidi="ar"/>
                    </w:rPr>
                    <w:t>万元。</w:t>
                  </w:r>
                </w:p>
                <w:p>
                  <w:pPr>
                    <w:adjustRightInd w:val="0"/>
                    <w:snapToGrid w:val="0"/>
                    <w:rPr>
                      <w:color w:val="000000"/>
                      <w:szCs w:val="21"/>
                      <w:shd w:val="clear" w:color="auto" w:fill="FFFFFF"/>
                      <w:lang w:bidi="ar"/>
                    </w:rPr>
                  </w:pPr>
                  <w:r>
                    <w:rPr>
                      <w:rFonts w:hint="eastAsia"/>
                      <w:color w:val="000000"/>
                      <w:szCs w:val="21"/>
                      <w:shd w:val="clear" w:color="auto" w:fill="FFFFFF"/>
                      <w:lang w:bidi="ar"/>
                    </w:rPr>
                    <w:t>产业准入要求：本项目行业类别为电子专用材料制造 C3985和工程和技术研究和试验发展 M7320，属于</w:t>
                  </w:r>
                  <w:r>
                    <w:rPr>
                      <w:rFonts w:hint="eastAsia"/>
                      <w:color w:val="000000"/>
                      <w:szCs w:val="21"/>
                      <w:shd w:val="clear" w:color="auto" w:fill="FFFFFF"/>
                      <w:lang w:eastAsia="zh-CN" w:bidi="ar"/>
                    </w:rPr>
                    <w:t>电子信息</w:t>
                  </w:r>
                  <w:r>
                    <w:rPr>
                      <w:rFonts w:hint="eastAsia"/>
                      <w:color w:val="000000"/>
                      <w:szCs w:val="21"/>
                      <w:shd w:val="clear" w:color="auto" w:fill="FFFFFF"/>
                      <w:lang w:bidi="ar"/>
                    </w:rPr>
                    <w:t>产业，不属于控制和禁止进入行业类别</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color w:val="000000"/>
                      <w:szCs w:val="21"/>
                      <w:shd w:val="clear" w:color="auto" w:fill="FFFFFF"/>
                      <w:lang w:bidi="ar"/>
                    </w:rPr>
                  </w:pPr>
                  <w:r>
                    <w:rPr>
                      <w:rFonts w:hint="eastAsia"/>
                      <w:color w:val="000000"/>
                      <w:szCs w:val="21"/>
                      <w:shd w:val="clear" w:color="auto" w:fill="FFFFFF"/>
                      <w:lang w:bidi="ar"/>
                    </w:rPr>
                    <w:t>相符</w:t>
                  </w:r>
                </w:p>
              </w:tc>
            </w:tr>
          </w:tbl>
          <w:p>
            <w:pPr>
              <w:widowControl/>
              <w:spacing w:line="360" w:lineRule="auto"/>
              <w:ind w:firstLine="480" w:firstLineChars="200"/>
              <w:jc w:val="left"/>
              <w:rPr>
                <w:sz w:val="24"/>
              </w:rPr>
            </w:pPr>
            <w:r>
              <w:rPr>
                <w:sz w:val="24"/>
              </w:rPr>
              <w:t>综上所述，本项目建设能够满足“三线一单”要求。</w:t>
            </w:r>
          </w:p>
          <w:p>
            <w:pPr>
              <w:spacing w:line="360" w:lineRule="auto"/>
              <w:ind w:firstLine="482" w:firstLineChars="200"/>
              <w:rPr>
                <w:b/>
                <w:kern w:val="0"/>
                <w:sz w:val="24"/>
              </w:rPr>
            </w:pPr>
            <w:r>
              <w:rPr>
                <w:b/>
                <w:kern w:val="0"/>
                <w:sz w:val="24"/>
              </w:rPr>
              <w:t>（二）与相关法规、政策及生态环境保护规划的符合性分析</w:t>
            </w:r>
          </w:p>
          <w:p>
            <w:pPr>
              <w:spacing w:line="360" w:lineRule="auto"/>
              <w:ind w:firstLine="482" w:firstLineChars="200"/>
              <w:rPr>
                <w:b/>
                <w:kern w:val="0"/>
                <w:sz w:val="24"/>
              </w:rPr>
            </w:pPr>
            <w:r>
              <w:rPr>
                <w:b/>
                <w:kern w:val="0"/>
                <w:sz w:val="24"/>
              </w:rPr>
              <w:t>1、产业政策符合性分析</w:t>
            </w:r>
          </w:p>
          <w:p>
            <w:pPr>
              <w:pStyle w:val="78"/>
              <w:adjustRightInd w:val="0"/>
              <w:snapToGrid w:val="0"/>
              <w:spacing w:line="360" w:lineRule="auto"/>
            </w:pPr>
            <w:r>
              <w:t>本项目行业类别为</w:t>
            </w:r>
            <w:r>
              <w:rPr>
                <w:rFonts w:hint="eastAsia"/>
              </w:rPr>
              <w:t>电子专用材料制造 C3985和工程和技术研究和试验发展 M7320</w:t>
            </w:r>
            <w:r>
              <w:rPr>
                <w:kern w:val="0"/>
              </w:rPr>
              <w:t>，</w:t>
            </w:r>
            <w:r>
              <w:rPr>
                <w:bCs/>
                <w:szCs w:val="24"/>
              </w:rPr>
              <w:t>项目</w:t>
            </w:r>
            <w:r>
              <w:rPr>
                <w:bCs/>
                <w:snapToGrid w:val="0"/>
                <w:kern w:val="24"/>
              </w:rPr>
              <w:t>不属于《产业结构调整指导目录（2021年修订本）》及《安徽省工业产业结构调整指导目录（2007年本）》中限制或淘汰类项目</w:t>
            </w:r>
            <w:r>
              <w:t>。本项目</w:t>
            </w:r>
            <w:r>
              <w:rPr>
                <w:szCs w:val="24"/>
              </w:rPr>
              <w:t>于20</w:t>
            </w:r>
            <w:r>
              <w:rPr>
                <w:rFonts w:hint="eastAsia"/>
                <w:szCs w:val="24"/>
              </w:rPr>
              <w:t>23</w:t>
            </w:r>
            <w:r>
              <w:rPr>
                <w:szCs w:val="24"/>
              </w:rPr>
              <w:t>年</w:t>
            </w:r>
            <w:r>
              <w:rPr>
                <w:rFonts w:hint="eastAsia"/>
                <w:szCs w:val="24"/>
              </w:rPr>
              <w:t>12</w:t>
            </w:r>
            <w:r>
              <w:rPr>
                <w:szCs w:val="24"/>
              </w:rPr>
              <w:t>月</w:t>
            </w:r>
            <w:r>
              <w:rPr>
                <w:rFonts w:hint="eastAsia"/>
                <w:szCs w:val="24"/>
              </w:rPr>
              <w:t>18</w:t>
            </w:r>
            <w:r>
              <w:rPr>
                <w:szCs w:val="24"/>
              </w:rPr>
              <w:t>日经合肥高新产业技术开发区经济</w:t>
            </w:r>
            <w:r>
              <w:rPr>
                <w:rFonts w:hint="eastAsia"/>
                <w:szCs w:val="24"/>
              </w:rPr>
              <w:t>发展</w:t>
            </w:r>
            <w:r>
              <w:rPr>
                <w:szCs w:val="24"/>
              </w:rPr>
              <w:t>局</w:t>
            </w:r>
            <w:r>
              <w:rPr>
                <w:kern w:val="0"/>
                <w:szCs w:val="24"/>
              </w:rPr>
              <w:t>备案，项目代码为</w:t>
            </w:r>
            <w:r>
              <w:rPr>
                <w:rFonts w:hint="eastAsia"/>
                <w:szCs w:val="21"/>
              </w:rPr>
              <w:t>2312-340161-04-01-964949</w:t>
            </w:r>
            <w:r>
              <w:rPr>
                <w:szCs w:val="24"/>
              </w:rPr>
              <w:t>。因此</w:t>
            </w:r>
            <w:r>
              <w:t>本项目建设符合国家</w:t>
            </w:r>
            <w:r>
              <w:rPr>
                <w:rFonts w:hint="eastAsia"/>
              </w:rPr>
              <w:t>和地方</w:t>
            </w:r>
            <w:r>
              <w:t>产业政策要求。</w:t>
            </w:r>
          </w:p>
          <w:p>
            <w:pPr>
              <w:adjustRightInd w:val="0"/>
              <w:snapToGrid w:val="0"/>
              <w:spacing w:line="360" w:lineRule="auto"/>
              <w:ind w:firstLine="482" w:firstLineChars="200"/>
              <w:rPr>
                <w:b/>
                <w:sz w:val="24"/>
              </w:rPr>
            </w:pPr>
            <w:r>
              <w:rPr>
                <w:rFonts w:hint="eastAsia"/>
                <w:b/>
                <w:sz w:val="24"/>
              </w:rPr>
              <w:t>3、</w:t>
            </w:r>
            <w:r>
              <w:rPr>
                <w:b/>
                <w:sz w:val="24"/>
              </w:rPr>
              <w:t>与《安徽省大气办关于深入开展挥发性有机物污染治理工作的通知》（皖大气办〔2021〕4号）符合性分析</w:t>
            </w:r>
          </w:p>
          <w:p>
            <w:pPr>
              <w:widowControl/>
              <w:numPr>
                <w:ilvl w:val="0"/>
                <w:numId w:val="1"/>
              </w:numPr>
              <w:jc w:val="center"/>
              <w:rPr>
                <w:b/>
                <w:kern w:val="0"/>
                <w:szCs w:val="21"/>
              </w:rPr>
            </w:pPr>
            <w:r>
              <w:rPr>
                <w:b/>
                <w:kern w:val="0"/>
                <w:szCs w:val="21"/>
              </w:rPr>
              <w:t xml:space="preserve">  与（皖大气办〔2021〕4号）通知的相符性对比表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4846"/>
              <w:gridCol w:w="2118"/>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dxa"/>
                  <w:vAlign w:val="center"/>
                </w:tcPr>
                <w:p>
                  <w:pPr>
                    <w:jc w:val="center"/>
                    <w:rPr>
                      <w:b/>
                      <w:bCs/>
                      <w:szCs w:val="21"/>
                    </w:rPr>
                  </w:pPr>
                  <w:r>
                    <w:rPr>
                      <w:b/>
                      <w:bCs/>
                      <w:szCs w:val="21"/>
                    </w:rPr>
                    <w:t>序号</w:t>
                  </w:r>
                </w:p>
              </w:tc>
              <w:tc>
                <w:tcPr>
                  <w:tcW w:w="4846" w:type="dxa"/>
                  <w:vAlign w:val="center"/>
                </w:tcPr>
                <w:p>
                  <w:pPr>
                    <w:jc w:val="center"/>
                    <w:rPr>
                      <w:b/>
                      <w:bCs/>
                      <w:szCs w:val="21"/>
                    </w:rPr>
                  </w:pPr>
                  <w:r>
                    <w:rPr>
                      <w:b/>
                      <w:bCs/>
                      <w:szCs w:val="21"/>
                    </w:rPr>
                    <w:t>文件要求</w:t>
                  </w:r>
                </w:p>
              </w:tc>
              <w:tc>
                <w:tcPr>
                  <w:tcW w:w="2118" w:type="dxa"/>
                  <w:vAlign w:val="center"/>
                </w:tcPr>
                <w:p>
                  <w:pPr>
                    <w:jc w:val="center"/>
                    <w:rPr>
                      <w:b/>
                      <w:bCs/>
                      <w:szCs w:val="21"/>
                    </w:rPr>
                  </w:pPr>
                  <w:r>
                    <w:rPr>
                      <w:b/>
                      <w:bCs/>
                      <w:szCs w:val="21"/>
                    </w:rPr>
                    <w:t>本项目</w:t>
                  </w:r>
                </w:p>
              </w:tc>
              <w:tc>
                <w:tcPr>
                  <w:tcW w:w="799" w:type="dxa"/>
                  <w:vAlign w:val="center"/>
                </w:tcPr>
                <w:p>
                  <w:pPr>
                    <w:adjustRightInd w:val="0"/>
                    <w:snapToGrid w:val="0"/>
                    <w:jc w:val="center"/>
                    <w:rPr>
                      <w:b/>
                      <w:bCs/>
                      <w:szCs w:val="21"/>
                    </w:rPr>
                  </w:pPr>
                  <w:r>
                    <w:rPr>
                      <w:b/>
                      <w:bCs/>
                      <w:szCs w:val="21"/>
                    </w:rPr>
                    <w:t>符合分析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dxa"/>
                  <w:vAlign w:val="center"/>
                </w:tcPr>
                <w:p>
                  <w:pPr>
                    <w:tabs>
                      <w:tab w:val="left" w:pos="4698"/>
                    </w:tabs>
                    <w:jc w:val="center"/>
                    <w:rPr>
                      <w:szCs w:val="21"/>
                    </w:rPr>
                  </w:pPr>
                  <w:r>
                    <w:rPr>
                      <w:rFonts w:hint="eastAsia"/>
                      <w:szCs w:val="21"/>
                    </w:rPr>
                    <w:t>1</w:t>
                  </w:r>
                </w:p>
              </w:tc>
              <w:tc>
                <w:tcPr>
                  <w:tcW w:w="4846" w:type="dxa"/>
                  <w:vAlign w:val="center"/>
                </w:tcPr>
                <w:p>
                  <w:pPr>
                    <w:tabs>
                      <w:tab w:val="left" w:pos="4698"/>
                    </w:tabs>
                    <w:rPr>
                      <w:szCs w:val="21"/>
                    </w:rPr>
                  </w:pPr>
                  <w:r>
                    <w:rPr>
                      <w:szCs w:val="21"/>
                    </w:rPr>
                    <w:t>实施排污许可。建立健全以排污许可核发为中心的VOCs管控依据，不断规范涉VOCs工业企业的排污许可登记管理，落实企业VOCs源头削减、过程控制和末端污染治理工作，推进企业自行监测、台账落实和定期报告的具体规定落地，严厉处罚无证和不按证排污行为。</w:t>
                  </w:r>
                </w:p>
              </w:tc>
              <w:tc>
                <w:tcPr>
                  <w:tcW w:w="2118" w:type="dxa"/>
                  <w:vAlign w:val="center"/>
                </w:tcPr>
                <w:p>
                  <w:pPr>
                    <w:tabs>
                      <w:tab w:val="left" w:pos="4698"/>
                    </w:tabs>
                    <w:rPr>
                      <w:szCs w:val="21"/>
                    </w:rPr>
                  </w:pPr>
                  <w:r>
                    <w:rPr>
                      <w:szCs w:val="21"/>
                    </w:rPr>
                    <w:t>本项目建成后，将按要求进行排污许可证的登记，并按要求落实企业自行监测、台账和定期报告的具体规定</w:t>
                  </w:r>
                  <w:r>
                    <w:rPr>
                      <w:rFonts w:hint="eastAsia"/>
                      <w:szCs w:val="21"/>
                    </w:rPr>
                    <w:t>。</w:t>
                  </w:r>
                </w:p>
              </w:tc>
              <w:tc>
                <w:tcPr>
                  <w:tcW w:w="799" w:type="dxa"/>
                  <w:vAlign w:val="center"/>
                </w:tcPr>
                <w:p>
                  <w:pPr>
                    <w:tabs>
                      <w:tab w:val="left" w:pos="4698"/>
                    </w:tabs>
                    <w:jc w:val="center"/>
                    <w:rPr>
                      <w:szCs w:val="21"/>
                    </w:rPr>
                  </w:pPr>
                  <w:r>
                    <w:rPr>
                      <w:szCs w:val="21"/>
                    </w:rPr>
                    <w:t>符合</w:t>
                  </w:r>
                </w:p>
              </w:tc>
            </w:tr>
          </w:tbl>
          <w:p>
            <w:pPr>
              <w:adjustRightInd w:val="0"/>
              <w:snapToGrid w:val="0"/>
              <w:spacing w:line="360" w:lineRule="auto"/>
              <w:ind w:firstLine="482" w:firstLineChars="200"/>
              <w:rPr>
                <w:b/>
                <w:bCs/>
                <w:sz w:val="24"/>
              </w:rPr>
            </w:pPr>
            <w:r>
              <w:rPr>
                <w:rFonts w:hint="eastAsia"/>
                <w:b/>
                <w:bCs/>
                <w:sz w:val="24"/>
              </w:rPr>
              <w:t>4</w:t>
            </w:r>
            <w:r>
              <w:rPr>
                <w:b/>
                <w:bCs/>
                <w:sz w:val="24"/>
              </w:rPr>
              <w:t>、与《巢湖流域水污染防治条例》相符性分析</w:t>
            </w:r>
          </w:p>
          <w:p>
            <w:pPr>
              <w:widowControl/>
              <w:numPr>
                <w:ilvl w:val="0"/>
                <w:numId w:val="1"/>
              </w:numPr>
              <w:jc w:val="center"/>
              <w:rPr>
                <w:b/>
                <w:kern w:val="0"/>
                <w:szCs w:val="21"/>
              </w:rPr>
            </w:pPr>
            <w:r>
              <w:rPr>
                <w:b/>
                <w:kern w:val="0"/>
                <w:szCs w:val="21"/>
              </w:rPr>
              <w:t xml:space="preserve">  本项目与《巢湖流域水污染防治条例》的符合性分析</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596"/>
              <w:gridCol w:w="3620"/>
              <w:gridCol w:w="2756"/>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71" w:type="dxa"/>
                  <w:gridSpan w:val="2"/>
                  <w:vAlign w:val="center"/>
                </w:tcPr>
                <w:p>
                  <w:pPr>
                    <w:adjustRightInd w:val="0"/>
                    <w:snapToGrid w:val="0"/>
                    <w:spacing w:line="264" w:lineRule="auto"/>
                    <w:jc w:val="center"/>
                    <w:rPr>
                      <w:b/>
                      <w:szCs w:val="21"/>
                    </w:rPr>
                  </w:pPr>
                  <w:r>
                    <w:rPr>
                      <w:b/>
                      <w:szCs w:val="21"/>
                    </w:rPr>
                    <w:t>项目</w:t>
                  </w:r>
                </w:p>
              </w:tc>
              <w:tc>
                <w:tcPr>
                  <w:tcW w:w="3620" w:type="dxa"/>
                  <w:vAlign w:val="center"/>
                </w:tcPr>
                <w:p>
                  <w:pPr>
                    <w:adjustRightInd w:val="0"/>
                    <w:snapToGrid w:val="0"/>
                    <w:spacing w:line="264" w:lineRule="auto"/>
                    <w:jc w:val="center"/>
                    <w:rPr>
                      <w:b/>
                      <w:szCs w:val="21"/>
                    </w:rPr>
                  </w:pPr>
                  <w:r>
                    <w:rPr>
                      <w:b/>
                      <w:szCs w:val="21"/>
                    </w:rPr>
                    <w:t>巢湖流域水污染防治条例</w:t>
                  </w:r>
                </w:p>
              </w:tc>
              <w:tc>
                <w:tcPr>
                  <w:tcW w:w="2756" w:type="dxa"/>
                  <w:vAlign w:val="center"/>
                </w:tcPr>
                <w:p>
                  <w:pPr>
                    <w:adjustRightInd w:val="0"/>
                    <w:snapToGrid w:val="0"/>
                    <w:spacing w:line="264" w:lineRule="auto"/>
                    <w:jc w:val="center"/>
                    <w:rPr>
                      <w:b/>
                      <w:szCs w:val="21"/>
                    </w:rPr>
                  </w:pPr>
                  <w:r>
                    <w:rPr>
                      <w:b/>
                      <w:szCs w:val="21"/>
                    </w:rPr>
                    <w:t>本项目情况</w:t>
                  </w:r>
                </w:p>
              </w:tc>
              <w:tc>
                <w:tcPr>
                  <w:tcW w:w="804" w:type="dxa"/>
                  <w:vAlign w:val="center"/>
                </w:tcPr>
                <w:p>
                  <w:pPr>
                    <w:adjustRightInd w:val="0"/>
                    <w:snapToGrid w:val="0"/>
                    <w:spacing w:line="264" w:lineRule="auto"/>
                    <w:jc w:val="center"/>
                    <w:rPr>
                      <w:b/>
                      <w:szCs w:val="21"/>
                    </w:rPr>
                  </w:pPr>
                  <w:r>
                    <w:rPr>
                      <w:b/>
                      <w:szCs w:val="21"/>
                    </w:rPr>
                    <w:t>符合分析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5" w:type="dxa"/>
                  <w:vAlign w:val="center"/>
                </w:tcPr>
                <w:p>
                  <w:pPr>
                    <w:adjustRightInd w:val="0"/>
                    <w:snapToGrid w:val="0"/>
                    <w:spacing w:line="264" w:lineRule="auto"/>
                    <w:jc w:val="center"/>
                    <w:rPr>
                      <w:szCs w:val="21"/>
                    </w:rPr>
                  </w:pPr>
                  <w:r>
                    <w:rPr>
                      <w:szCs w:val="21"/>
                    </w:rPr>
                    <w:t>第二章监督管理</w:t>
                  </w:r>
                </w:p>
              </w:tc>
              <w:tc>
                <w:tcPr>
                  <w:tcW w:w="596" w:type="dxa"/>
                  <w:vAlign w:val="center"/>
                </w:tcPr>
                <w:p>
                  <w:pPr>
                    <w:adjustRightInd w:val="0"/>
                    <w:snapToGrid w:val="0"/>
                    <w:spacing w:line="264" w:lineRule="auto"/>
                    <w:jc w:val="center"/>
                    <w:rPr>
                      <w:szCs w:val="21"/>
                    </w:rPr>
                  </w:pPr>
                  <w:r>
                    <w:rPr>
                      <w:szCs w:val="21"/>
                    </w:rPr>
                    <w:t>第十二条</w:t>
                  </w:r>
                </w:p>
              </w:tc>
              <w:tc>
                <w:tcPr>
                  <w:tcW w:w="3620" w:type="dxa"/>
                  <w:vAlign w:val="center"/>
                </w:tcPr>
                <w:p>
                  <w:pPr>
                    <w:autoSpaceDE w:val="0"/>
                    <w:autoSpaceDN w:val="0"/>
                    <w:adjustRightInd w:val="0"/>
                    <w:snapToGrid w:val="0"/>
                    <w:spacing w:line="264" w:lineRule="auto"/>
                    <w:rPr>
                      <w:szCs w:val="21"/>
                    </w:rPr>
                  </w:pPr>
                  <w:r>
                    <w:rPr>
                      <w:szCs w:val="21"/>
                    </w:rPr>
                    <w:t>在巢湖流域新建、改建、扩建直接或者间接向水体排放污染物的建设项目和其他水上设施，应当依法进行环境影响评价。建设项目的环境影响报表未依法经有审批权的生态环境主管部门审查或者审查后未予批准的，建设单位不得开工建设</w:t>
                  </w:r>
                </w:p>
              </w:tc>
              <w:tc>
                <w:tcPr>
                  <w:tcW w:w="2756" w:type="dxa"/>
                  <w:vAlign w:val="center"/>
                </w:tcPr>
                <w:p>
                  <w:pPr>
                    <w:adjustRightInd w:val="0"/>
                    <w:snapToGrid w:val="0"/>
                    <w:spacing w:line="264" w:lineRule="auto"/>
                    <w:rPr>
                      <w:szCs w:val="21"/>
                    </w:rPr>
                  </w:pPr>
                  <w:r>
                    <w:rPr>
                      <w:rFonts w:hint="eastAsia"/>
                    </w:rPr>
                    <w:t>本项目</w:t>
                  </w:r>
                  <w:r>
                    <w:rPr>
                      <w:szCs w:val="21"/>
                    </w:rPr>
                    <w:t>生活污水、</w:t>
                  </w:r>
                  <w:r>
                    <w:rPr>
                      <w:rFonts w:hint="eastAsia"/>
                      <w:szCs w:val="21"/>
                    </w:rPr>
                    <w:t>车间保洁废水</w:t>
                  </w:r>
                  <w:r>
                    <w:rPr>
                      <w:rFonts w:hint="eastAsia"/>
                    </w:rPr>
                    <w:t>依托明珠产业园现有预处理设施处理后</w:t>
                  </w:r>
                  <w:r>
                    <w:rPr>
                      <w:szCs w:val="21"/>
                    </w:rPr>
                    <w:t>满足</w:t>
                  </w:r>
                  <w:r>
                    <w:rPr>
                      <w:rFonts w:hint="eastAsia"/>
                      <w:szCs w:val="21"/>
                    </w:rPr>
                    <w:t>《电子工业水污染物排放标准》（GB39731 -2020）和</w:t>
                  </w:r>
                  <w:r>
                    <w:rPr>
                      <w:szCs w:val="21"/>
                    </w:rPr>
                    <w:t>西部组团污水处理厂接管标准经市政污水管网进入西部组团污水处理厂深度处理后排入派河，最终汇入巢湖。属于间接向水体排放污染物的建设项目</w:t>
                  </w:r>
                  <w:r>
                    <w:rPr>
                      <w:rFonts w:hint="eastAsia"/>
                      <w:szCs w:val="21"/>
                    </w:rPr>
                    <w:t>，已依法进行环境影响评价，建设单位尚未开工建设。</w:t>
                  </w:r>
                </w:p>
              </w:tc>
              <w:tc>
                <w:tcPr>
                  <w:tcW w:w="804" w:type="dxa"/>
                  <w:vAlign w:val="center"/>
                </w:tcPr>
                <w:p>
                  <w:pPr>
                    <w:adjustRightInd w:val="0"/>
                    <w:snapToGrid w:val="0"/>
                    <w:spacing w:line="264" w:lineRule="auto"/>
                    <w:jc w:val="center"/>
                    <w:rPr>
                      <w:bCs/>
                      <w:szCs w:val="21"/>
                    </w:rPr>
                  </w:pPr>
                  <w:r>
                    <w:rPr>
                      <w:bCs/>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575" w:type="dxa"/>
                  <w:vMerge w:val="restart"/>
                  <w:vAlign w:val="center"/>
                </w:tcPr>
                <w:p>
                  <w:pPr>
                    <w:adjustRightInd w:val="0"/>
                    <w:snapToGrid w:val="0"/>
                    <w:spacing w:line="264" w:lineRule="auto"/>
                    <w:jc w:val="center"/>
                    <w:rPr>
                      <w:szCs w:val="21"/>
                    </w:rPr>
                  </w:pPr>
                  <w:r>
                    <w:rPr>
                      <w:szCs w:val="21"/>
                    </w:rPr>
                    <w:t>第三章污染防治</w:t>
                  </w:r>
                </w:p>
              </w:tc>
              <w:tc>
                <w:tcPr>
                  <w:tcW w:w="596" w:type="dxa"/>
                  <w:vAlign w:val="center"/>
                </w:tcPr>
                <w:p>
                  <w:pPr>
                    <w:adjustRightInd w:val="0"/>
                    <w:snapToGrid w:val="0"/>
                    <w:spacing w:line="264" w:lineRule="auto"/>
                    <w:jc w:val="center"/>
                    <w:rPr>
                      <w:szCs w:val="21"/>
                    </w:rPr>
                  </w:pPr>
                  <w:r>
                    <w:rPr>
                      <w:szCs w:val="21"/>
                    </w:rPr>
                    <w:t>第二十三条</w:t>
                  </w:r>
                </w:p>
              </w:tc>
              <w:tc>
                <w:tcPr>
                  <w:tcW w:w="3620" w:type="dxa"/>
                  <w:vAlign w:val="center"/>
                </w:tcPr>
                <w:p>
                  <w:pPr>
                    <w:autoSpaceDE w:val="0"/>
                    <w:autoSpaceDN w:val="0"/>
                    <w:adjustRightInd w:val="0"/>
                    <w:snapToGrid w:val="0"/>
                    <w:spacing w:line="264" w:lineRule="auto"/>
                    <w:rPr>
                      <w:kern w:val="0"/>
                      <w:szCs w:val="21"/>
                    </w:rPr>
                  </w:pPr>
                  <w:r>
                    <w:rPr>
                      <w:kern w:val="0"/>
                      <w:szCs w:val="21"/>
                    </w:rPr>
                    <w:t>水环境一、二、三级保护区内禁止下列行为：</w:t>
                  </w:r>
                </w:p>
                <w:p>
                  <w:pPr>
                    <w:autoSpaceDE w:val="0"/>
                    <w:autoSpaceDN w:val="0"/>
                    <w:adjustRightInd w:val="0"/>
                    <w:snapToGrid w:val="0"/>
                    <w:spacing w:line="264" w:lineRule="auto"/>
                    <w:rPr>
                      <w:kern w:val="0"/>
                      <w:szCs w:val="21"/>
                    </w:rPr>
                  </w:pPr>
                  <w:r>
                    <w:rPr>
                      <w:kern w:val="0"/>
                      <w:szCs w:val="21"/>
                    </w:rPr>
                    <w:t>(一)新建化学制浆造纸企业；</w:t>
                  </w:r>
                </w:p>
                <w:p>
                  <w:pPr>
                    <w:autoSpaceDE w:val="0"/>
                    <w:autoSpaceDN w:val="0"/>
                    <w:adjustRightInd w:val="0"/>
                    <w:snapToGrid w:val="0"/>
                    <w:spacing w:line="264" w:lineRule="auto"/>
                    <w:rPr>
                      <w:kern w:val="0"/>
                      <w:szCs w:val="21"/>
                    </w:rPr>
                  </w:pPr>
                  <w:r>
                    <w:rPr>
                      <w:kern w:val="0"/>
                      <w:szCs w:val="21"/>
                    </w:rPr>
                    <w:t>(二)新建制革、化工、印染、电镀、酿造、水泥、石棉、玻璃等水污染严重的小型项目；</w:t>
                  </w:r>
                </w:p>
                <w:p>
                  <w:pPr>
                    <w:autoSpaceDE w:val="0"/>
                    <w:autoSpaceDN w:val="0"/>
                    <w:adjustRightInd w:val="0"/>
                    <w:snapToGrid w:val="0"/>
                    <w:spacing w:line="264" w:lineRule="auto"/>
                    <w:rPr>
                      <w:kern w:val="0"/>
                      <w:szCs w:val="21"/>
                    </w:rPr>
                  </w:pPr>
                  <w:r>
                    <w:rPr>
                      <w:kern w:val="0"/>
                      <w:szCs w:val="21"/>
                    </w:rPr>
                    <w:t>(三)销售、使用含磷洗涤用品；</w:t>
                  </w:r>
                </w:p>
                <w:p>
                  <w:pPr>
                    <w:autoSpaceDE w:val="0"/>
                    <w:autoSpaceDN w:val="0"/>
                    <w:adjustRightInd w:val="0"/>
                    <w:snapToGrid w:val="0"/>
                    <w:spacing w:line="264" w:lineRule="auto"/>
                    <w:rPr>
                      <w:kern w:val="0"/>
                      <w:szCs w:val="21"/>
                    </w:rPr>
                  </w:pPr>
                  <w:r>
                    <w:rPr>
                      <w:kern w:val="0"/>
                      <w:szCs w:val="21"/>
                    </w:rPr>
                    <w:t>(四)围湖造地；</w:t>
                  </w:r>
                </w:p>
                <w:p>
                  <w:pPr>
                    <w:autoSpaceDE w:val="0"/>
                    <w:autoSpaceDN w:val="0"/>
                    <w:adjustRightInd w:val="0"/>
                    <w:snapToGrid w:val="0"/>
                    <w:spacing w:line="264" w:lineRule="auto"/>
                    <w:rPr>
                      <w:kern w:val="0"/>
                      <w:szCs w:val="21"/>
                    </w:rPr>
                  </w:pPr>
                  <w:r>
                    <w:rPr>
                      <w:kern w:val="0"/>
                      <w:szCs w:val="21"/>
                    </w:rPr>
                    <w:t>(五)法律、法规禁止的其他行为。</w:t>
                  </w:r>
                </w:p>
                <w:p>
                  <w:pPr>
                    <w:autoSpaceDE w:val="0"/>
                    <w:autoSpaceDN w:val="0"/>
                    <w:adjustRightInd w:val="0"/>
                    <w:snapToGrid w:val="0"/>
                    <w:spacing w:line="264" w:lineRule="auto"/>
                    <w:rPr>
                      <w:kern w:val="0"/>
                      <w:szCs w:val="21"/>
                    </w:rPr>
                  </w:pPr>
                  <w:r>
                    <w:rPr>
                      <w:kern w:val="0"/>
                      <w:szCs w:val="21"/>
                    </w:rPr>
                    <w:t>严格限制在水环境三级保护区内新建制革、化工、印染、电镀、酿造、水泥、石棉、玻璃等水污染严重的大中型项目；确需新建的，应当事先报经省人民政府生态环境主管部门同意。</w:t>
                  </w:r>
                </w:p>
              </w:tc>
              <w:tc>
                <w:tcPr>
                  <w:tcW w:w="2756" w:type="dxa"/>
                  <w:vAlign w:val="center"/>
                </w:tcPr>
                <w:p>
                  <w:pPr>
                    <w:autoSpaceDE w:val="0"/>
                    <w:autoSpaceDN w:val="0"/>
                    <w:adjustRightInd w:val="0"/>
                    <w:snapToGrid w:val="0"/>
                    <w:spacing w:line="264" w:lineRule="auto"/>
                    <w:rPr>
                      <w:szCs w:val="21"/>
                    </w:rPr>
                  </w:pPr>
                  <w:r>
                    <w:rPr>
                      <w:szCs w:val="21"/>
                    </w:rPr>
                    <w:t>本项目距离巢湖</w:t>
                  </w:r>
                  <w:r>
                    <w:rPr>
                      <w:rFonts w:hint="eastAsia"/>
                      <w:szCs w:val="21"/>
                    </w:rPr>
                    <w:t>20.52</w:t>
                  </w:r>
                  <w:r>
                    <w:rPr>
                      <w:szCs w:val="21"/>
                    </w:rPr>
                    <w:t>km，在巢湖流域水环境三级保护区范围内，</w:t>
                  </w:r>
                  <w:r>
                    <w:rPr>
                      <w:kern w:val="0"/>
                      <w:szCs w:val="21"/>
                    </w:rPr>
                    <w:t>行业类别为</w:t>
                  </w:r>
                  <w:r>
                    <w:rPr>
                      <w:rFonts w:hint="eastAsia"/>
                      <w:kern w:val="0"/>
                      <w:szCs w:val="21"/>
                    </w:rPr>
                    <w:t>电子专用材料制造、工程和技术研发和试验发展</w:t>
                  </w:r>
                  <w:r>
                    <w:rPr>
                      <w:kern w:val="0"/>
                      <w:szCs w:val="21"/>
                    </w:rPr>
                    <w:t>，不涉及水环境三级保护区内禁止、限制类行为</w:t>
                  </w:r>
                  <w:r>
                    <w:rPr>
                      <w:rFonts w:hint="eastAsia"/>
                      <w:kern w:val="0"/>
                      <w:szCs w:val="21"/>
                    </w:rPr>
                    <w:t>。</w:t>
                  </w:r>
                </w:p>
              </w:tc>
              <w:tc>
                <w:tcPr>
                  <w:tcW w:w="804" w:type="dxa"/>
                  <w:vAlign w:val="center"/>
                </w:tcPr>
                <w:p>
                  <w:pPr>
                    <w:adjustRightInd w:val="0"/>
                    <w:snapToGrid w:val="0"/>
                    <w:spacing w:line="264" w:lineRule="auto"/>
                    <w:jc w:val="center"/>
                    <w:rPr>
                      <w:bCs/>
                      <w:szCs w:val="21"/>
                    </w:rPr>
                  </w:pPr>
                  <w:r>
                    <w:rPr>
                      <w:bCs/>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575" w:type="dxa"/>
                  <w:vMerge w:val="continue"/>
                  <w:vAlign w:val="center"/>
                </w:tcPr>
                <w:p>
                  <w:pPr>
                    <w:adjustRightInd w:val="0"/>
                    <w:snapToGrid w:val="0"/>
                    <w:spacing w:line="264" w:lineRule="auto"/>
                    <w:jc w:val="center"/>
                    <w:rPr>
                      <w:szCs w:val="21"/>
                    </w:rPr>
                  </w:pPr>
                </w:p>
              </w:tc>
              <w:tc>
                <w:tcPr>
                  <w:tcW w:w="596" w:type="dxa"/>
                  <w:vAlign w:val="center"/>
                </w:tcPr>
                <w:p>
                  <w:pPr>
                    <w:adjustRightInd w:val="0"/>
                    <w:snapToGrid w:val="0"/>
                    <w:spacing w:line="264" w:lineRule="auto"/>
                    <w:jc w:val="center"/>
                    <w:rPr>
                      <w:szCs w:val="21"/>
                    </w:rPr>
                  </w:pPr>
                  <w:r>
                    <w:rPr>
                      <w:szCs w:val="21"/>
                    </w:rPr>
                    <w:t>第三十三条</w:t>
                  </w:r>
                </w:p>
              </w:tc>
              <w:tc>
                <w:tcPr>
                  <w:tcW w:w="3620" w:type="dxa"/>
                  <w:vAlign w:val="center"/>
                </w:tcPr>
                <w:p>
                  <w:pPr>
                    <w:autoSpaceDE w:val="0"/>
                    <w:autoSpaceDN w:val="0"/>
                    <w:adjustRightInd w:val="0"/>
                    <w:snapToGrid w:val="0"/>
                    <w:spacing w:line="264" w:lineRule="auto"/>
                    <w:rPr>
                      <w:kern w:val="0"/>
                      <w:szCs w:val="21"/>
                    </w:rPr>
                  </w:pPr>
                  <w:r>
                    <w:rPr>
                      <w:kern w:val="0"/>
                      <w:szCs w:val="21"/>
                    </w:rPr>
                    <w:t>向城镇污水集中处理设施排放污水，应当达到国家和地方规定的水污染物排放标准以及污水排入城市下水道水质标准</w:t>
                  </w:r>
                </w:p>
              </w:tc>
              <w:tc>
                <w:tcPr>
                  <w:tcW w:w="2756" w:type="dxa"/>
                  <w:vAlign w:val="center"/>
                </w:tcPr>
                <w:p>
                  <w:pPr>
                    <w:adjustRightInd w:val="0"/>
                    <w:snapToGrid w:val="0"/>
                    <w:spacing w:line="264" w:lineRule="auto"/>
                    <w:rPr>
                      <w:szCs w:val="21"/>
                    </w:rPr>
                  </w:pPr>
                  <w:r>
                    <w:rPr>
                      <w:rFonts w:hint="eastAsia"/>
                    </w:rPr>
                    <w:t>本项目</w:t>
                  </w:r>
                  <w:r>
                    <w:rPr>
                      <w:szCs w:val="21"/>
                    </w:rPr>
                    <w:t>生活污水、</w:t>
                  </w:r>
                  <w:r>
                    <w:rPr>
                      <w:rFonts w:hint="eastAsia"/>
                      <w:szCs w:val="21"/>
                    </w:rPr>
                    <w:t>车间保洁废水</w:t>
                  </w:r>
                  <w:r>
                    <w:rPr>
                      <w:rFonts w:hint="eastAsia"/>
                    </w:rPr>
                    <w:t>依托明珠产业园现有预处理设施处理后</w:t>
                  </w:r>
                  <w:r>
                    <w:rPr>
                      <w:szCs w:val="21"/>
                    </w:rPr>
                    <w:t>满足</w:t>
                  </w:r>
                  <w:r>
                    <w:rPr>
                      <w:rFonts w:hint="eastAsia"/>
                      <w:szCs w:val="21"/>
                    </w:rPr>
                    <w:t>《电子工业水污染物排放标准》（GB39731 -2020）和</w:t>
                  </w:r>
                  <w:r>
                    <w:rPr>
                      <w:szCs w:val="21"/>
                    </w:rPr>
                    <w:t>西部组团污水处理厂接管标准</w:t>
                  </w:r>
                  <w:r>
                    <w:rPr>
                      <w:rFonts w:hint="eastAsia"/>
                      <w:szCs w:val="21"/>
                      <w:lang w:eastAsia="zh-CN"/>
                    </w:rPr>
                    <w:t>后</w:t>
                  </w:r>
                  <w:r>
                    <w:rPr>
                      <w:szCs w:val="21"/>
                    </w:rPr>
                    <w:t>经市政污水管网进入西部组团污水处理厂深度处理</w:t>
                  </w:r>
                  <w:r>
                    <w:rPr>
                      <w:rFonts w:hint="eastAsia"/>
                      <w:szCs w:val="21"/>
                    </w:rPr>
                    <w:t>。</w:t>
                  </w:r>
                </w:p>
              </w:tc>
              <w:tc>
                <w:tcPr>
                  <w:tcW w:w="804" w:type="dxa"/>
                  <w:vAlign w:val="center"/>
                </w:tcPr>
                <w:p>
                  <w:pPr>
                    <w:adjustRightInd w:val="0"/>
                    <w:snapToGrid w:val="0"/>
                    <w:spacing w:line="264" w:lineRule="auto"/>
                    <w:jc w:val="center"/>
                    <w:rPr>
                      <w:bCs/>
                      <w:szCs w:val="21"/>
                    </w:rPr>
                  </w:pPr>
                  <w:r>
                    <w:rPr>
                      <w:bCs/>
                      <w:szCs w:val="21"/>
                    </w:rPr>
                    <w:t>符合</w:t>
                  </w:r>
                </w:p>
              </w:tc>
            </w:tr>
          </w:tbl>
          <w:p>
            <w:pPr>
              <w:adjustRightInd w:val="0"/>
              <w:snapToGrid w:val="0"/>
              <w:spacing w:line="360" w:lineRule="auto"/>
              <w:ind w:firstLine="482" w:firstLineChars="200"/>
              <w:rPr>
                <w:b/>
                <w:bCs/>
                <w:sz w:val="24"/>
              </w:rPr>
            </w:pPr>
            <w:r>
              <w:rPr>
                <w:rFonts w:hint="eastAsia"/>
                <w:b/>
                <w:bCs/>
                <w:sz w:val="24"/>
              </w:rPr>
              <w:t>5</w:t>
            </w:r>
            <w:r>
              <w:rPr>
                <w:b/>
                <w:bCs/>
                <w:sz w:val="24"/>
              </w:rPr>
              <w:t>、与《巢湖流域禁止和限制的产业产品目录的通知》（皖发改环资〔2021〕6号）的相符性分析</w:t>
            </w:r>
          </w:p>
          <w:p>
            <w:pPr>
              <w:widowControl/>
              <w:numPr>
                <w:ilvl w:val="0"/>
                <w:numId w:val="1"/>
              </w:numPr>
              <w:jc w:val="center"/>
              <w:rPr>
                <w:b/>
                <w:kern w:val="0"/>
                <w:szCs w:val="21"/>
              </w:rPr>
            </w:pPr>
            <w:r>
              <w:rPr>
                <w:b/>
                <w:kern w:val="0"/>
                <w:szCs w:val="21"/>
              </w:rPr>
              <w:t xml:space="preserve">  本项目与皖发改环资〔2021〕6号通知符合性分析</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5"/>
              <w:gridCol w:w="4583"/>
              <w:gridCol w:w="2250"/>
              <w:gridCol w:w="7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765" w:type="dxa"/>
                  <w:vAlign w:val="center"/>
                </w:tcPr>
                <w:p>
                  <w:pPr>
                    <w:autoSpaceDE w:val="0"/>
                    <w:autoSpaceDN w:val="0"/>
                    <w:adjustRightInd w:val="0"/>
                    <w:snapToGrid w:val="0"/>
                    <w:spacing w:line="264" w:lineRule="auto"/>
                    <w:rPr>
                      <w:b/>
                      <w:bCs/>
                      <w:kern w:val="0"/>
                      <w:szCs w:val="21"/>
                    </w:rPr>
                  </w:pPr>
                  <w:r>
                    <w:rPr>
                      <w:b/>
                      <w:bCs/>
                      <w:kern w:val="0"/>
                      <w:szCs w:val="21"/>
                    </w:rPr>
                    <w:t>序号</w:t>
                  </w:r>
                </w:p>
              </w:tc>
              <w:tc>
                <w:tcPr>
                  <w:tcW w:w="4583" w:type="dxa"/>
                  <w:vAlign w:val="center"/>
                </w:tcPr>
                <w:p>
                  <w:pPr>
                    <w:autoSpaceDE w:val="0"/>
                    <w:autoSpaceDN w:val="0"/>
                    <w:adjustRightInd w:val="0"/>
                    <w:snapToGrid w:val="0"/>
                    <w:spacing w:line="264" w:lineRule="auto"/>
                    <w:jc w:val="center"/>
                    <w:rPr>
                      <w:b/>
                      <w:bCs/>
                      <w:kern w:val="0"/>
                      <w:szCs w:val="21"/>
                    </w:rPr>
                  </w:pPr>
                  <w:r>
                    <w:rPr>
                      <w:b/>
                      <w:bCs/>
                      <w:kern w:val="0"/>
                      <w:szCs w:val="21"/>
                    </w:rPr>
                    <w:t>巢湖流域禁止和限制的产业产品目录</w:t>
                  </w:r>
                </w:p>
              </w:tc>
              <w:tc>
                <w:tcPr>
                  <w:tcW w:w="2250" w:type="dxa"/>
                  <w:vAlign w:val="center"/>
                </w:tcPr>
                <w:p>
                  <w:pPr>
                    <w:autoSpaceDE w:val="0"/>
                    <w:autoSpaceDN w:val="0"/>
                    <w:adjustRightInd w:val="0"/>
                    <w:snapToGrid w:val="0"/>
                    <w:spacing w:line="264" w:lineRule="auto"/>
                    <w:jc w:val="center"/>
                    <w:rPr>
                      <w:b/>
                      <w:bCs/>
                      <w:kern w:val="0"/>
                      <w:szCs w:val="21"/>
                    </w:rPr>
                  </w:pPr>
                  <w:r>
                    <w:rPr>
                      <w:b/>
                      <w:bCs/>
                      <w:kern w:val="0"/>
                      <w:szCs w:val="21"/>
                    </w:rPr>
                    <w:t>本项目情况</w:t>
                  </w:r>
                </w:p>
              </w:tc>
              <w:tc>
                <w:tcPr>
                  <w:tcW w:w="758" w:type="dxa"/>
                  <w:vAlign w:val="center"/>
                </w:tcPr>
                <w:p>
                  <w:pPr>
                    <w:autoSpaceDE w:val="0"/>
                    <w:autoSpaceDN w:val="0"/>
                    <w:adjustRightInd w:val="0"/>
                    <w:snapToGrid w:val="0"/>
                    <w:spacing w:line="264" w:lineRule="auto"/>
                    <w:jc w:val="center"/>
                    <w:rPr>
                      <w:b/>
                      <w:bCs/>
                      <w:kern w:val="0"/>
                      <w:szCs w:val="21"/>
                    </w:rPr>
                  </w:pPr>
                  <w:r>
                    <w:rPr>
                      <w:b/>
                      <w:bCs/>
                      <w:kern w:val="0"/>
                      <w:szCs w:val="21"/>
                    </w:rPr>
                    <w:t>符合分析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0" w:hRule="atLeast"/>
                <w:jc w:val="center"/>
              </w:trPr>
              <w:tc>
                <w:tcPr>
                  <w:tcW w:w="765" w:type="dxa"/>
                  <w:vAlign w:val="center"/>
                </w:tcPr>
                <w:p>
                  <w:pPr>
                    <w:autoSpaceDE w:val="0"/>
                    <w:autoSpaceDN w:val="0"/>
                    <w:adjustRightInd w:val="0"/>
                    <w:snapToGrid w:val="0"/>
                    <w:spacing w:line="264" w:lineRule="auto"/>
                    <w:jc w:val="center"/>
                    <w:rPr>
                      <w:kern w:val="0"/>
                      <w:szCs w:val="21"/>
                    </w:rPr>
                  </w:pPr>
                  <w:r>
                    <w:rPr>
                      <w:kern w:val="0"/>
                      <w:szCs w:val="21"/>
                    </w:rPr>
                    <w:t>1</w:t>
                  </w:r>
                </w:p>
              </w:tc>
              <w:tc>
                <w:tcPr>
                  <w:tcW w:w="4583" w:type="dxa"/>
                  <w:vAlign w:val="center"/>
                </w:tcPr>
                <w:p>
                  <w:pPr>
                    <w:autoSpaceDE w:val="0"/>
                    <w:autoSpaceDN w:val="0"/>
                    <w:adjustRightInd w:val="0"/>
                    <w:snapToGrid w:val="0"/>
                    <w:spacing w:line="264" w:lineRule="auto"/>
                    <w:rPr>
                      <w:kern w:val="0"/>
                      <w:szCs w:val="21"/>
                    </w:rPr>
                  </w:pPr>
                  <w:r>
                    <w:rPr>
                      <w:kern w:val="0"/>
                      <w:szCs w:val="21"/>
                    </w:rPr>
                    <w:t>（一）禁止类</w:t>
                  </w:r>
                </w:p>
                <w:p>
                  <w:pPr>
                    <w:autoSpaceDE w:val="0"/>
                    <w:autoSpaceDN w:val="0"/>
                    <w:adjustRightInd w:val="0"/>
                    <w:snapToGrid w:val="0"/>
                    <w:spacing w:line="264" w:lineRule="auto"/>
                    <w:rPr>
                      <w:kern w:val="0"/>
                      <w:szCs w:val="21"/>
                    </w:rPr>
                  </w:pPr>
                  <w:r>
                    <w:rPr>
                      <w:kern w:val="0"/>
                      <w:szCs w:val="21"/>
                    </w:rPr>
                    <w:t>1．化学制浆造纸（新建企业）</w:t>
                  </w:r>
                </w:p>
                <w:p>
                  <w:pPr>
                    <w:autoSpaceDE w:val="0"/>
                    <w:autoSpaceDN w:val="0"/>
                    <w:adjustRightInd w:val="0"/>
                    <w:snapToGrid w:val="0"/>
                    <w:spacing w:line="264" w:lineRule="auto"/>
                    <w:rPr>
                      <w:kern w:val="0"/>
                      <w:szCs w:val="21"/>
                    </w:rPr>
                  </w:pPr>
                  <w:r>
                    <w:rPr>
                      <w:kern w:val="0"/>
                      <w:szCs w:val="21"/>
                    </w:rPr>
                    <w:t>2．制革（新建小型项目）</w:t>
                  </w:r>
                </w:p>
                <w:p>
                  <w:pPr>
                    <w:autoSpaceDE w:val="0"/>
                    <w:autoSpaceDN w:val="0"/>
                    <w:adjustRightInd w:val="0"/>
                    <w:snapToGrid w:val="0"/>
                    <w:spacing w:line="264" w:lineRule="auto"/>
                    <w:rPr>
                      <w:kern w:val="0"/>
                      <w:szCs w:val="21"/>
                    </w:rPr>
                  </w:pPr>
                  <w:r>
                    <w:rPr>
                      <w:kern w:val="0"/>
                      <w:szCs w:val="21"/>
                    </w:rPr>
                    <w:t>3．化工（新建小型项目）</w:t>
                  </w:r>
                </w:p>
                <w:p>
                  <w:pPr>
                    <w:autoSpaceDE w:val="0"/>
                    <w:autoSpaceDN w:val="0"/>
                    <w:adjustRightInd w:val="0"/>
                    <w:snapToGrid w:val="0"/>
                    <w:spacing w:line="264" w:lineRule="auto"/>
                    <w:rPr>
                      <w:kern w:val="0"/>
                      <w:szCs w:val="21"/>
                    </w:rPr>
                  </w:pPr>
                  <w:r>
                    <w:rPr>
                      <w:kern w:val="0"/>
                      <w:szCs w:val="21"/>
                    </w:rPr>
                    <w:t>4．印染（新建小型项目）</w:t>
                  </w:r>
                </w:p>
                <w:p>
                  <w:pPr>
                    <w:autoSpaceDE w:val="0"/>
                    <w:autoSpaceDN w:val="0"/>
                    <w:adjustRightInd w:val="0"/>
                    <w:snapToGrid w:val="0"/>
                    <w:spacing w:line="264" w:lineRule="auto"/>
                    <w:rPr>
                      <w:kern w:val="0"/>
                      <w:szCs w:val="21"/>
                    </w:rPr>
                  </w:pPr>
                  <w:r>
                    <w:rPr>
                      <w:kern w:val="0"/>
                      <w:szCs w:val="21"/>
                    </w:rPr>
                    <w:t>5．酿造（新建小型项目）</w:t>
                  </w:r>
                </w:p>
                <w:p>
                  <w:pPr>
                    <w:autoSpaceDE w:val="0"/>
                    <w:autoSpaceDN w:val="0"/>
                    <w:adjustRightInd w:val="0"/>
                    <w:snapToGrid w:val="0"/>
                    <w:spacing w:line="264" w:lineRule="auto"/>
                    <w:rPr>
                      <w:kern w:val="0"/>
                      <w:szCs w:val="21"/>
                    </w:rPr>
                  </w:pPr>
                  <w:r>
                    <w:rPr>
                      <w:kern w:val="0"/>
                      <w:szCs w:val="21"/>
                    </w:rPr>
                    <w:t>6．水泥（新建小型项目）</w:t>
                  </w:r>
                </w:p>
                <w:p>
                  <w:pPr>
                    <w:autoSpaceDE w:val="0"/>
                    <w:autoSpaceDN w:val="0"/>
                    <w:adjustRightInd w:val="0"/>
                    <w:snapToGrid w:val="0"/>
                    <w:spacing w:line="264" w:lineRule="auto"/>
                    <w:rPr>
                      <w:kern w:val="0"/>
                      <w:szCs w:val="21"/>
                    </w:rPr>
                  </w:pPr>
                  <w:r>
                    <w:rPr>
                      <w:kern w:val="0"/>
                      <w:szCs w:val="21"/>
                    </w:rPr>
                    <w:t>7．石棉（新建小型项目）</w:t>
                  </w:r>
                </w:p>
                <w:p>
                  <w:pPr>
                    <w:autoSpaceDE w:val="0"/>
                    <w:autoSpaceDN w:val="0"/>
                    <w:adjustRightInd w:val="0"/>
                    <w:snapToGrid w:val="0"/>
                    <w:spacing w:line="264" w:lineRule="auto"/>
                    <w:rPr>
                      <w:kern w:val="0"/>
                      <w:szCs w:val="21"/>
                    </w:rPr>
                  </w:pPr>
                  <w:r>
                    <w:rPr>
                      <w:kern w:val="0"/>
                      <w:szCs w:val="21"/>
                    </w:rPr>
                    <w:t>8．玻璃（新建小型项目）</w:t>
                  </w:r>
                </w:p>
                <w:p>
                  <w:pPr>
                    <w:autoSpaceDE w:val="0"/>
                    <w:autoSpaceDN w:val="0"/>
                    <w:adjustRightInd w:val="0"/>
                    <w:snapToGrid w:val="0"/>
                    <w:spacing w:line="264" w:lineRule="auto"/>
                    <w:rPr>
                      <w:kern w:val="0"/>
                      <w:szCs w:val="21"/>
                    </w:rPr>
                  </w:pPr>
                  <w:r>
                    <w:rPr>
                      <w:kern w:val="0"/>
                      <w:szCs w:val="21"/>
                    </w:rPr>
                    <w:t>9．其他</w:t>
                  </w:r>
                </w:p>
                <w:p>
                  <w:pPr>
                    <w:autoSpaceDE w:val="0"/>
                    <w:autoSpaceDN w:val="0"/>
                    <w:adjustRightInd w:val="0"/>
                    <w:snapToGrid w:val="0"/>
                    <w:spacing w:line="264" w:lineRule="auto"/>
                    <w:rPr>
                      <w:kern w:val="0"/>
                      <w:szCs w:val="21"/>
                    </w:rPr>
                  </w:pPr>
                  <w:r>
                    <w:rPr>
                      <w:kern w:val="0"/>
                      <w:szCs w:val="21"/>
                    </w:rPr>
                    <w:t>（1）新建含电镀工艺的金属表面处理热处理加工产品小型项目</w:t>
                  </w:r>
                </w:p>
                <w:p>
                  <w:pPr>
                    <w:autoSpaceDE w:val="0"/>
                    <w:autoSpaceDN w:val="0"/>
                    <w:adjustRightInd w:val="0"/>
                    <w:snapToGrid w:val="0"/>
                    <w:spacing w:line="264" w:lineRule="auto"/>
                    <w:rPr>
                      <w:kern w:val="0"/>
                      <w:szCs w:val="21"/>
                    </w:rPr>
                  </w:pPr>
                  <w:r>
                    <w:rPr>
                      <w:kern w:val="0"/>
                      <w:szCs w:val="21"/>
                    </w:rPr>
                    <w:t>（2）销售、使用含磷洗涤用品</w:t>
                  </w:r>
                </w:p>
              </w:tc>
              <w:tc>
                <w:tcPr>
                  <w:tcW w:w="2250" w:type="dxa"/>
                  <w:vAlign w:val="center"/>
                </w:tcPr>
                <w:p>
                  <w:pPr>
                    <w:autoSpaceDE w:val="0"/>
                    <w:autoSpaceDN w:val="0"/>
                    <w:adjustRightInd w:val="0"/>
                    <w:snapToGrid w:val="0"/>
                    <w:spacing w:line="264" w:lineRule="auto"/>
                    <w:rPr>
                      <w:kern w:val="0"/>
                      <w:szCs w:val="21"/>
                    </w:rPr>
                  </w:pPr>
                  <w:r>
                    <w:rPr>
                      <w:kern w:val="0"/>
                      <w:szCs w:val="21"/>
                    </w:rPr>
                    <w:t>本项目行业类别为</w:t>
                  </w:r>
                  <w:r>
                    <w:rPr>
                      <w:rFonts w:hint="eastAsia"/>
                      <w:kern w:val="0"/>
                      <w:szCs w:val="21"/>
                    </w:rPr>
                    <w:t>电子专用材料制造工程和技术研发和试验发展</w:t>
                  </w:r>
                  <w:r>
                    <w:rPr>
                      <w:kern w:val="0"/>
                      <w:szCs w:val="21"/>
                    </w:rPr>
                    <w:t>，不涉及禁止类产业产品</w:t>
                  </w:r>
                  <w:r>
                    <w:rPr>
                      <w:rFonts w:hint="eastAsia"/>
                      <w:kern w:val="0"/>
                      <w:szCs w:val="21"/>
                    </w:rPr>
                    <w:t>。</w:t>
                  </w:r>
                </w:p>
              </w:tc>
              <w:tc>
                <w:tcPr>
                  <w:tcW w:w="758" w:type="dxa"/>
                  <w:vAlign w:val="center"/>
                </w:tcPr>
                <w:p>
                  <w:pPr>
                    <w:autoSpaceDE w:val="0"/>
                    <w:autoSpaceDN w:val="0"/>
                    <w:adjustRightInd w:val="0"/>
                    <w:snapToGrid w:val="0"/>
                    <w:spacing w:line="264" w:lineRule="auto"/>
                    <w:jc w:val="center"/>
                    <w:rPr>
                      <w:kern w:val="0"/>
                      <w:szCs w:val="21"/>
                    </w:rPr>
                  </w:pPr>
                  <w:r>
                    <w:rPr>
                      <w:kern w:val="0"/>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jc w:val="center"/>
              </w:trPr>
              <w:tc>
                <w:tcPr>
                  <w:tcW w:w="765" w:type="dxa"/>
                  <w:vAlign w:val="center"/>
                </w:tcPr>
                <w:p>
                  <w:pPr>
                    <w:autoSpaceDE w:val="0"/>
                    <w:autoSpaceDN w:val="0"/>
                    <w:adjustRightInd w:val="0"/>
                    <w:snapToGrid w:val="0"/>
                    <w:spacing w:line="264" w:lineRule="auto"/>
                    <w:jc w:val="center"/>
                    <w:rPr>
                      <w:kern w:val="0"/>
                      <w:szCs w:val="21"/>
                    </w:rPr>
                  </w:pPr>
                  <w:r>
                    <w:rPr>
                      <w:kern w:val="0"/>
                      <w:szCs w:val="21"/>
                    </w:rPr>
                    <w:t>2</w:t>
                  </w:r>
                </w:p>
              </w:tc>
              <w:tc>
                <w:tcPr>
                  <w:tcW w:w="4583" w:type="dxa"/>
                  <w:vAlign w:val="center"/>
                </w:tcPr>
                <w:p>
                  <w:pPr>
                    <w:autoSpaceDE w:val="0"/>
                    <w:autoSpaceDN w:val="0"/>
                    <w:adjustRightInd w:val="0"/>
                    <w:snapToGrid w:val="0"/>
                    <w:spacing w:line="264" w:lineRule="auto"/>
                    <w:rPr>
                      <w:kern w:val="0"/>
                      <w:szCs w:val="21"/>
                    </w:rPr>
                  </w:pPr>
                  <w:r>
                    <w:rPr>
                      <w:kern w:val="0"/>
                      <w:szCs w:val="21"/>
                    </w:rPr>
                    <w:t>（二）限制类</w:t>
                  </w:r>
                </w:p>
                <w:p>
                  <w:pPr>
                    <w:autoSpaceDE w:val="0"/>
                    <w:autoSpaceDN w:val="0"/>
                    <w:adjustRightInd w:val="0"/>
                    <w:snapToGrid w:val="0"/>
                    <w:spacing w:line="264" w:lineRule="auto"/>
                    <w:rPr>
                      <w:kern w:val="0"/>
                      <w:szCs w:val="21"/>
                    </w:rPr>
                  </w:pPr>
                  <w:r>
                    <w:rPr>
                      <w:kern w:val="0"/>
                      <w:szCs w:val="21"/>
                    </w:rPr>
                    <w:t>1．制革（新建大中型项目）</w:t>
                  </w:r>
                </w:p>
                <w:p>
                  <w:pPr>
                    <w:autoSpaceDE w:val="0"/>
                    <w:autoSpaceDN w:val="0"/>
                    <w:adjustRightInd w:val="0"/>
                    <w:snapToGrid w:val="0"/>
                    <w:spacing w:line="264" w:lineRule="auto"/>
                    <w:rPr>
                      <w:kern w:val="0"/>
                      <w:szCs w:val="21"/>
                    </w:rPr>
                  </w:pPr>
                  <w:r>
                    <w:rPr>
                      <w:kern w:val="0"/>
                      <w:szCs w:val="21"/>
                    </w:rPr>
                    <w:t>2．化工（新建大中型项目）</w:t>
                  </w:r>
                </w:p>
                <w:p>
                  <w:pPr>
                    <w:autoSpaceDE w:val="0"/>
                    <w:autoSpaceDN w:val="0"/>
                    <w:adjustRightInd w:val="0"/>
                    <w:snapToGrid w:val="0"/>
                    <w:spacing w:line="264" w:lineRule="auto"/>
                    <w:rPr>
                      <w:kern w:val="0"/>
                      <w:szCs w:val="21"/>
                    </w:rPr>
                  </w:pPr>
                  <w:r>
                    <w:rPr>
                      <w:kern w:val="0"/>
                      <w:szCs w:val="21"/>
                    </w:rPr>
                    <w:t>3．印染（新建大中型项目）</w:t>
                  </w:r>
                </w:p>
                <w:p>
                  <w:pPr>
                    <w:autoSpaceDE w:val="0"/>
                    <w:autoSpaceDN w:val="0"/>
                    <w:adjustRightInd w:val="0"/>
                    <w:snapToGrid w:val="0"/>
                    <w:spacing w:line="264" w:lineRule="auto"/>
                    <w:rPr>
                      <w:kern w:val="0"/>
                      <w:szCs w:val="21"/>
                    </w:rPr>
                  </w:pPr>
                  <w:r>
                    <w:rPr>
                      <w:kern w:val="0"/>
                      <w:szCs w:val="21"/>
                    </w:rPr>
                    <w:t>4．酿造（新建大中型项目）</w:t>
                  </w:r>
                </w:p>
                <w:p>
                  <w:pPr>
                    <w:autoSpaceDE w:val="0"/>
                    <w:autoSpaceDN w:val="0"/>
                    <w:adjustRightInd w:val="0"/>
                    <w:snapToGrid w:val="0"/>
                    <w:spacing w:line="264" w:lineRule="auto"/>
                    <w:rPr>
                      <w:kern w:val="0"/>
                      <w:szCs w:val="21"/>
                    </w:rPr>
                  </w:pPr>
                  <w:r>
                    <w:rPr>
                      <w:kern w:val="0"/>
                      <w:szCs w:val="21"/>
                    </w:rPr>
                    <w:t>5．水泥（新建大中型项目）</w:t>
                  </w:r>
                </w:p>
                <w:p>
                  <w:pPr>
                    <w:autoSpaceDE w:val="0"/>
                    <w:autoSpaceDN w:val="0"/>
                    <w:adjustRightInd w:val="0"/>
                    <w:snapToGrid w:val="0"/>
                    <w:spacing w:line="264" w:lineRule="auto"/>
                    <w:rPr>
                      <w:kern w:val="0"/>
                      <w:szCs w:val="21"/>
                    </w:rPr>
                  </w:pPr>
                  <w:r>
                    <w:rPr>
                      <w:kern w:val="0"/>
                      <w:szCs w:val="21"/>
                    </w:rPr>
                    <w:t>6．石棉（新建大中型项目）</w:t>
                  </w:r>
                </w:p>
                <w:p>
                  <w:pPr>
                    <w:autoSpaceDE w:val="0"/>
                    <w:autoSpaceDN w:val="0"/>
                    <w:adjustRightInd w:val="0"/>
                    <w:snapToGrid w:val="0"/>
                    <w:spacing w:line="264" w:lineRule="auto"/>
                    <w:rPr>
                      <w:kern w:val="0"/>
                      <w:szCs w:val="21"/>
                    </w:rPr>
                  </w:pPr>
                  <w:r>
                    <w:rPr>
                      <w:kern w:val="0"/>
                      <w:szCs w:val="21"/>
                    </w:rPr>
                    <w:t>7．玻璃（新建大中型项目）</w:t>
                  </w:r>
                </w:p>
                <w:p>
                  <w:pPr>
                    <w:autoSpaceDE w:val="0"/>
                    <w:autoSpaceDN w:val="0"/>
                    <w:adjustRightInd w:val="0"/>
                    <w:snapToGrid w:val="0"/>
                    <w:spacing w:line="264" w:lineRule="auto"/>
                    <w:rPr>
                      <w:kern w:val="0"/>
                      <w:szCs w:val="21"/>
                    </w:rPr>
                  </w:pPr>
                  <w:r>
                    <w:rPr>
                      <w:kern w:val="0"/>
                      <w:szCs w:val="21"/>
                    </w:rPr>
                    <w:t>8．其他</w:t>
                  </w:r>
                </w:p>
                <w:p>
                  <w:pPr>
                    <w:autoSpaceDE w:val="0"/>
                    <w:autoSpaceDN w:val="0"/>
                    <w:adjustRightInd w:val="0"/>
                    <w:snapToGrid w:val="0"/>
                    <w:spacing w:line="264" w:lineRule="auto"/>
                    <w:rPr>
                      <w:kern w:val="0"/>
                      <w:szCs w:val="21"/>
                    </w:rPr>
                  </w:pPr>
                  <w:r>
                    <w:rPr>
                      <w:kern w:val="0"/>
                      <w:szCs w:val="21"/>
                    </w:rPr>
                    <w:t>新建含电镀工艺的金属表面处理及热处理加工产品大中型项目</w:t>
                  </w:r>
                </w:p>
              </w:tc>
              <w:tc>
                <w:tcPr>
                  <w:tcW w:w="2250" w:type="dxa"/>
                  <w:vAlign w:val="center"/>
                </w:tcPr>
                <w:p>
                  <w:pPr>
                    <w:autoSpaceDE w:val="0"/>
                    <w:autoSpaceDN w:val="0"/>
                    <w:adjustRightInd w:val="0"/>
                    <w:snapToGrid w:val="0"/>
                    <w:spacing w:line="264" w:lineRule="auto"/>
                    <w:rPr>
                      <w:kern w:val="0"/>
                      <w:szCs w:val="21"/>
                    </w:rPr>
                  </w:pPr>
                  <w:r>
                    <w:rPr>
                      <w:kern w:val="0"/>
                      <w:szCs w:val="21"/>
                    </w:rPr>
                    <w:t>本项目行业类别</w:t>
                  </w:r>
                  <w:r>
                    <w:rPr>
                      <w:rFonts w:hint="eastAsia"/>
                      <w:kern w:val="0"/>
                      <w:szCs w:val="21"/>
                    </w:rPr>
                    <w:t>为电子专用材料制造、工程和技术研发和试验发展</w:t>
                  </w:r>
                  <w:r>
                    <w:rPr>
                      <w:kern w:val="0"/>
                      <w:szCs w:val="21"/>
                    </w:rPr>
                    <w:t>，不涉及限</w:t>
                  </w:r>
                  <w:r>
                    <w:rPr>
                      <w:rFonts w:hint="eastAsia"/>
                      <w:kern w:val="0"/>
                      <w:szCs w:val="21"/>
                    </w:rPr>
                    <w:t>制</w:t>
                  </w:r>
                  <w:r>
                    <w:rPr>
                      <w:kern w:val="0"/>
                      <w:szCs w:val="21"/>
                    </w:rPr>
                    <w:t>类产业产品</w:t>
                  </w:r>
                  <w:r>
                    <w:rPr>
                      <w:rFonts w:hint="eastAsia"/>
                      <w:kern w:val="0"/>
                      <w:szCs w:val="21"/>
                    </w:rPr>
                    <w:t>。</w:t>
                  </w:r>
                </w:p>
              </w:tc>
              <w:tc>
                <w:tcPr>
                  <w:tcW w:w="758" w:type="dxa"/>
                  <w:vAlign w:val="center"/>
                </w:tcPr>
                <w:p>
                  <w:pPr>
                    <w:autoSpaceDE w:val="0"/>
                    <w:autoSpaceDN w:val="0"/>
                    <w:adjustRightInd w:val="0"/>
                    <w:snapToGrid w:val="0"/>
                    <w:spacing w:line="264" w:lineRule="auto"/>
                    <w:jc w:val="center"/>
                    <w:rPr>
                      <w:kern w:val="0"/>
                      <w:szCs w:val="21"/>
                    </w:rPr>
                  </w:pPr>
                  <w:r>
                    <w:rPr>
                      <w:kern w:val="0"/>
                      <w:szCs w:val="21"/>
                    </w:rPr>
                    <w:t>符合</w:t>
                  </w:r>
                </w:p>
              </w:tc>
            </w:tr>
          </w:tbl>
          <w:p>
            <w:pPr>
              <w:adjustRightInd w:val="0"/>
              <w:snapToGrid w:val="0"/>
              <w:spacing w:line="360" w:lineRule="auto"/>
              <w:ind w:firstLine="482" w:firstLineChars="200"/>
              <w:rPr>
                <w:b/>
                <w:bCs/>
                <w:sz w:val="24"/>
              </w:rPr>
            </w:pPr>
          </w:p>
          <w:p>
            <w:pPr>
              <w:adjustRightInd w:val="0"/>
              <w:snapToGrid w:val="0"/>
              <w:spacing w:line="360" w:lineRule="auto"/>
              <w:ind w:firstLine="482" w:firstLineChars="200"/>
              <w:rPr>
                <w:b/>
                <w:bCs/>
                <w:sz w:val="24"/>
              </w:rPr>
            </w:pPr>
          </w:p>
          <w:p>
            <w:pPr>
              <w:adjustRightInd w:val="0"/>
              <w:snapToGrid w:val="0"/>
              <w:spacing w:line="360" w:lineRule="auto"/>
              <w:ind w:firstLine="482" w:firstLineChars="200"/>
              <w:rPr>
                <w:b/>
                <w:bCs/>
                <w:sz w:val="24"/>
              </w:rPr>
            </w:pPr>
          </w:p>
          <w:p>
            <w:pPr>
              <w:pStyle w:val="11"/>
            </w:pPr>
          </w:p>
        </w:tc>
      </w:tr>
    </w:tbl>
    <w:p>
      <w:pPr>
        <w:spacing w:line="360" w:lineRule="auto"/>
        <w:outlineLvl w:val="0"/>
        <w:rPr>
          <w:rFonts w:eastAsia="黑体"/>
          <w:color w:val="000000"/>
          <w:sz w:val="30"/>
        </w:rPr>
        <w:sectPr>
          <w:footerReference r:id="rId6" w:type="default"/>
          <w:pgSz w:w="11906" w:h="16838"/>
          <w:pgMar w:top="1418" w:right="1418" w:bottom="1418" w:left="1418" w:header="851" w:footer="1077" w:gutter="0"/>
          <w:pgNumType w:start="1"/>
          <w:cols w:space="720" w:num="1"/>
          <w:docGrid w:linePitch="312" w:charSpace="0"/>
        </w:sectPr>
      </w:pPr>
    </w:p>
    <w:p>
      <w:pPr>
        <w:pStyle w:val="20"/>
        <w:jc w:val="center"/>
        <w:outlineLvl w:val="0"/>
        <w:rPr>
          <w:rFonts w:ascii="Times New Roman" w:hAnsi="Times New Roman" w:eastAsia="黑体"/>
          <w:snapToGrid w:val="0"/>
          <w:color w:val="000000"/>
          <w:sz w:val="30"/>
          <w:szCs w:val="30"/>
        </w:rPr>
      </w:pPr>
      <w:r>
        <w:rPr>
          <w:rFonts w:ascii="Times New Roman" w:hAnsi="Times New Roman" w:eastAsia="黑体"/>
          <w:snapToGrid w:val="0"/>
          <w:color w:val="000000"/>
          <w:sz w:val="30"/>
          <w:szCs w:val="30"/>
        </w:rPr>
        <w:t>二、建设项目工程分析</w:t>
      </w: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7"/>
        <w:gridCol w:w="88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06" w:hRule="atLeast"/>
          <w:jc w:val="center"/>
        </w:trPr>
        <w:tc>
          <w:tcPr>
            <w:tcW w:w="427" w:type="dxa"/>
            <w:vAlign w:val="center"/>
          </w:tcPr>
          <w:p>
            <w:pPr>
              <w:adjustRightInd w:val="0"/>
              <w:snapToGrid w:val="0"/>
              <w:jc w:val="center"/>
              <w:rPr>
                <w:b/>
                <w:color w:val="000000"/>
                <w:szCs w:val="21"/>
              </w:rPr>
            </w:pPr>
            <w:r>
              <w:rPr>
                <w:b/>
                <w:color w:val="000000"/>
                <w:szCs w:val="21"/>
              </w:rPr>
              <w:t>建设内容</w:t>
            </w:r>
          </w:p>
        </w:tc>
        <w:tc>
          <w:tcPr>
            <w:tcW w:w="8859" w:type="dxa"/>
          </w:tcPr>
          <w:p>
            <w:pPr>
              <w:adjustRightInd w:val="0"/>
              <w:snapToGrid w:val="0"/>
              <w:spacing w:line="360" w:lineRule="auto"/>
              <w:ind w:firstLine="482" w:firstLineChars="200"/>
              <w:rPr>
                <w:b/>
                <w:bCs/>
                <w:color w:val="000000"/>
                <w:sz w:val="24"/>
              </w:rPr>
            </w:pPr>
            <w:r>
              <w:rPr>
                <w:b/>
                <w:bCs/>
                <w:color w:val="000000"/>
                <w:sz w:val="24"/>
              </w:rPr>
              <w:t>（一）项目建设内容及生产规模</w:t>
            </w:r>
          </w:p>
          <w:p>
            <w:pPr>
              <w:adjustRightInd w:val="0"/>
              <w:snapToGrid w:val="0"/>
              <w:spacing w:line="360" w:lineRule="auto"/>
              <w:ind w:firstLine="480" w:firstLineChars="200"/>
              <w:rPr>
                <w:color w:val="000000"/>
                <w:sz w:val="24"/>
              </w:rPr>
            </w:pPr>
            <w:r>
              <w:rPr>
                <w:rFonts w:hint="eastAsia"/>
                <w:color w:val="000000"/>
                <w:sz w:val="24"/>
              </w:rPr>
              <w:t>安徽熵卡科技有限公司成立于2020年12月，是由中科大先研院孵化的优秀创新科技型企业。公司专注于单原子催化剂开发和电化学催化应用</w:t>
            </w:r>
            <w:r>
              <w:rPr>
                <w:rFonts w:hint="eastAsia"/>
                <w:color w:val="000000"/>
                <w:sz w:val="24"/>
                <w:lang w:eastAsia="zh-CN"/>
              </w:rPr>
              <w:t>研究</w:t>
            </w:r>
            <w:r>
              <w:rPr>
                <w:rFonts w:hint="eastAsia"/>
                <w:color w:val="000000"/>
                <w:sz w:val="24"/>
              </w:rPr>
              <w:t>，致力于氢能源、化学储能行业开展技术研发及相关装备的开发、技术推广和应用，并提供技术一体化的解决方案。</w:t>
            </w:r>
          </w:p>
          <w:p>
            <w:pPr>
              <w:adjustRightInd w:val="0"/>
              <w:snapToGrid w:val="0"/>
              <w:spacing w:line="360" w:lineRule="auto"/>
              <w:ind w:firstLine="480" w:firstLineChars="200"/>
              <w:rPr>
                <w:color w:val="000000"/>
                <w:sz w:val="24"/>
              </w:rPr>
            </w:pPr>
            <w:r>
              <w:rPr>
                <w:rFonts w:hint="eastAsia"/>
                <w:color w:val="000000"/>
                <w:sz w:val="24"/>
              </w:rPr>
              <w:t>安徽熵卡科技有限公司</w:t>
            </w:r>
            <w:r>
              <w:rPr>
                <w:color w:val="000000"/>
                <w:sz w:val="24"/>
              </w:rPr>
              <w:t>拟投资</w:t>
            </w:r>
            <w:r>
              <w:rPr>
                <w:rFonts w:hint="eastAsia"/>
                <w:color w:val="000000"/>
                <w:sz w:val="24"/>
              </w:rPr>
              <w:t>10000</w:t>
            </w:r>
            <w:r>
              <w:rPr>
                <w:color w:val="000000"/>
                <w:sz w:val="24"/>
              </w:rPr>
              <w:t>万元，</w:t>
            </w:r>
            <w:r>
              <w:rPr>
                <w:rFonts w:hint="eastAsia"/>
                <w:color w:val="000000"/>
                <w:sz w:val="24"/>
              </w:rPr>
              <w:t>租赁合肥市高新技术产业开发区明珠产业园2C-3现有标准化厂房，</w:t>
            </w:r>
            <w:r>
              <w:rPr>
                <w:rStyle w:val="31"/>
                <w:rFonts w:hint="eastAsia"/>
                <w:kern w:val="0"/>
                <w:sz w:val="24"/>
                <w:szCs w:val="24"/>
                <w:lang w:eastAsia="zh-CN"/>
              </w:rPr>
              <w:t>现有标准化厂房为闲置厂房。</w:t>
            </w:r>
            <w:r>
              <w:rPr>
                <w:rFonts w:hint="eastAsia"/>
                <w:color w:val="000000"/>
                <w:sz w:val="24"/>
              </w:rPr>
              <w:t>购置喷涂机、激光切割机、小型管式炉、攻丝机等设备，项目总建筑面积2127.61平方米，本项目建成后可形成年产电极片100万片、除氧模块1万件、储能功能催化材料100kg的生产能力。</w:t>
            </w:r>
          </w:p>
          <w:p>
            <w:pPr>
              <w:pStyle w:val="21"/>
              <w:adjustRightInd w:val="0"/>
              <w:snapToGrid w:val="0"/>
              <w:spacing w:before="0" w:after="0" w:line="360" w:lineRule="auto"/>
              <w:ind w:firstLine="723" w:firstLineChars="300"/>
              <w:jc w:val="both"/>
              <w:outlineLvl w:val="1"/>
              <w:rPr>
                <w:rFonts w:ascii="Times New Roman" w:hAnsi="Times New Roman"/>
                <w:color w:val="000000"/>
                <w:sz w:val="24"/>
                <w:szCs w:val="24"/>
              </w:rPr>
            </w:pPr>
            <w:r>
              <w:rPr>
                <w:rFonts w:ascii="Times New Roman" w:hAnsi="Times New Roman"/>
                <w:color w:val="000000"/>
                <w:sz w:val="24"/>
                <w:szCs w:val="24"/>
              </w:rPr>
              <w:t>1、项目概况</w:t>
            </w:r>
          </w:p>
          <w:p>
            <w:pPr>
              <w:adjustRightInd w:val="0"/>
              <w:snapToGrid w:val="0"/>
              <w:spacing w:line="360" w:lineRule="auto"/>
              <w:ind w:firstLine="482" w:firstLineChars="200"/>
              <w:rPr>
                <w:color w:val="000000"/>
                <w:sz w:val="24"/>
                <w:lang w:val="zh-CN"/>
              </w:rPr>
            </w:pPr>
            <w:r>
              <w:rPr>
                <w:b/>
                <w:bCs/>
                <w:color w:val="000000"/>
                <w:sz w:val="24"/>
              </w:rPr>
              <w:t>（1）项目名称：</w:t>
            </w:r>
            <w:r>
              <w:rPr>
                <w:rFonts w:hint="eastAsia"/>
                <w:color w:val="000000"/>
                <w:sz w:val="24"/>
              </w:rPr>
              <w:t>安徽熵卡科技有限公司氢能与储能的关键材料、装备的自主研发及生产项目</w:t>
            </w:r>
            <w:r>
              <w:rPr>
                <w:color w:val="000000"/>
                <w:sz w:val="24"/>
              </w:rPr>
              <w:t>；</w:t>
            </w:r>
          </w:p>
          <w:p>
            <w:pPr>
              <w:adjustRightInd w:val="0"/>
              <w:snapToGrid w:val="0"/>
              <w:spacing w:line="360" w:lineRule="auto"/>
              <w:ind w:firstLine="482" w:firstLineChars="200"/>
              <w:rPr>
                <w:color w:val="000000"/>
                <w:sz w:val="24"/>
                <w:lang w:val="zh-CN"/>
              </w:rPr>
            </w:pPr>
            <w:r>
              <w:rPr>
                <w:b/>
                <w:bCs/>
                <w:color w:val="000000"/>
                <w:sz w:val="24"/>
              </w:rPr>
              <w:t>（2）建设单位：</w:t>
            </w:r>
            <w:r>
              <w:rPr>
                <w:rFonts w:hint="eastAsia"/>
                <w:color w:val="000000"/>
                <w:sz w:val="24"/>
              </w:rPr>
              <w:t>安徽熵卡科技有限公司</w:t>
            </w:r>
            <w:r>
              <w:rPr>
                <w:color w:val="000000"/>
                <w:sz w:val="24"/>
              </w:rPr>
              <w:t>；</w:t>
            </w:r>
          </w:p>
          <w:p>
            <w:pPr>
              <w:adjustRightInd w:val="0"/>
              <w:snapToGrid w:val="0"/>
              <w:spacing w:line="360" w:lineRule="auto"/>
              <w:ind w:firstLine="482" w:firstLineChars="200"/>
              <w:rPr>
                <w:color w:val="000000"/>
                <w:sz w:val="24"/>
              </w:rPr>
            </w:pPr>
            <w:r>
              <w:rPr>
                <w:b/>
                <w:bCs/>
                <w:color w:val="000000"/>
                <w:sz w:val="24"/>
              </w:rPr>
              <w:t>（3）建设地点：</w:t>
            </w:r>
            <w:r>
              <w:rPr>
                <w:rFonts w:hint="eastAsia"/>
                <w:color w:val="000000"/>
                <w:sz w:val="24"/>
              </w:rPr>
              <w:t>合肥市高新技术产业开发区明珠产业园2C-3</w:t>
            </w:r>
            <w:r>
              <w:rPr>
                <w:color w:val="000000"/>
                <w:sz w:val="24"/>
              </w:rPr>
              <w:t>（详见附图1 项目地理位置图）；</w:t>
            </w:r>
          </w:p>
          <w:p>
            <w:pPr>
              <w:adjustRightInd w:val="0"/>
              <w:snapToGrid w:val="0"/>
              <w:spacing w:line="360" w:lineRule="auto"/>
              <w:ind w:firstLine="482" w:firstLineChars="200"/>
              <w:rPr>
                <w:color w:val="000000"/>
                <w:sz w:val="24"/>
              </w:rPr>
            </w:pPr>
            <w:r>
              <w:rPr>
                <w:b/>
                <w:bCs/>
                <w:color w:val="000000"/>
                <w:sz w:val="24"/>
              </w:rPr>
              <w:t>（4）建设性质：</w:t>
            </w:r>
            <w:r>
              <w:rPr>
                <w:rFonts w:hint="eastAsia"/>
                <w:color w:val="000000"/>
                <w:sz w:val="24"/>
              </w:rPr>
              <w:t>新建</w:t>
            </w:r>
            <w:r>
              <w:rPr>
                <w:color w:val="000000"/>
                <w:sz w:val="24"/>
              </w:rPr>
              <w:t>；</w:t>
            </w:r>
          </w:p>
          <w:p>
            <w:pPr>
              <w:adjustRightInd w:val="0"/>
              <w:snapToGrid w:val="0"/>
              <w:spacing w:line="360" w:lineRule="auto"/>
              <w:ind w:firstLine="482" w:firstLineChars="200"/>
              <w:rPr>
                <w:color w:val="000000"/>
                <w:sz w:val="24"/>
              </w:rPr>
            </w:pPr>
            <w:r>
              <w:rPr>
                <w:b/>
                <w:bCs/>
                <w:color w:val="000000"/>
                <w:sz w:val="24"/>
              </w:rPr>
              <w:t>（5）项目环评管理类别判定：</w:t>
            </w:r>
            <w:bookmarkStart w:id="2" w:name="_Hlk87977787"/>
            <w:r>
              <w:rPr>
                <w:color w:val="000000"/>
                <w:sz w:val="24"/>
              </w:rPr>
              <w:t>本项目</w:t>
            </w:r>
            <w:r>
              <w:rPr>
                <w:rFonts w:hint="eastAsia"/>
                <w:color w:val="000000"/>
                <w:sz w:val="24"/>
              </w:rPr>
              <w:t>为氢能与储能的关键材料、装备的自主研发及生产项目</w:t>
            </w:r>
            <w:r>
              <w:rPr>
                <w:color w:val="000000"/>
                <w:sz w:val="24"/>
              </w:rPr>
              <w:t>，</w:t>
            </w:r>
            <w:r>
              <w:rPr>
                <w:rFonts w:hint="eastAsia"/>
                <w:color w:val="000000"/>
                <w:sz w:val="24"/>
              </w:rPr>
              <w:t>产品为</w:t>
            </w:r>
            <w:r>
              <w:rPr>
                <w:rFonts w:hint="eastAsia"/>
                <w:color w:val="000000"/>
                <w:sz w:val="24"/>
                <w:lang w:eastAsia="zh-CN"/>
              </w:rPr>
              <w:t>储能功能催化材料</w:t>
            </w:r>
            <w:r>
              <w:rPr>
                <w:rFonts w:hint="eastAsia"/>
                <w:color w:val="000000"/>
                <w:sz w:val="24"/>
              </w:rPr>
              <w:t>、电极片、除氧模块</w:t>
            </w:r>
            <w:r>
              <w:rPr>
                <w:rFonts w:hint="eastAsia"/>
                <w:color w:val="000000"/>
                <w:sz w:val="24"/>
                <w:lang w:eastAsia="zh-CN"/>
              </w:rPr>
              <w:t>。</w:t>
            </w:r>
            <w:r>
              <w:rPr>
                <w:rFonts w:hint="eastAsia"/>
                <w:color w:val="000000"/>
                <w:sz w:val="24"/>
              </w:rPr>
              <w:t>其中</w:t>
            </w:r>
            <w:r>
              <w:rPr>
                <w:rFonts w:hint="eastAsia"/>
                <w:color w:val="000000"/>
                <w:sz w:val="24"/>
                <w:lang w:eastAsia="zh-CN"/>
              </w:rPr>
              <w:t>储能功能催化材料为研发产品，不作为商品进行外售，</w:t>
            </w:r>
            <w:r>
              <w:rPr>
                <w:color w:val="000000"/>
                <w:sz w:val="24"/>
              </w:rPr>
              <w:t>属于《国民经济行业分类》（2017年版）的</w:t>
            </w:r>
            <w:r>
              <w:rPr>
                <w:rFonts w:hint="eastAsia"/>
                <w:color w:val="000000"/>
                <w:sz w:val="24"/>
              </w:rPr>
              <w:t>工程和技术研究和试验发展 M7320</w:t>
            </w:r>
            <w:r>
              <w:rPr>
                <w:color w:val="000000"/>
                <w:sz w:val="24"/>
              </w:rPr>
              <w:t>，根据《建设项目环境影响评价分类管理名录（2021年版）》，项目属于名录中“四十五、研究和试验发展-98、专业实验室、研发（试验）基地”中“</w:t>
            </w:r>
            <w:r>
              <w:rPr>
                <w:rFonts w:hint="eastAsia"/>
                <w:color w:val="000000"/>
                <w:sz w:val="24"/>
              </w:rPr>
              <w:t>其他（不产生实验废气、废水、危险废物的除外）</w:t>
            </w:r>
            <w:r>
              <w:rPr>
                <w:color w:val="000000"/>
                <w:sz w:val="24"/>
              </w:rPr>
              <w:t>”</w:t>
            </w:r>
            <w:r>
              <w:rPr>
                <w:rFonts w:hint="eastAsia"/>
                <w:color w:val="000000"/>
                <w:sz w:val="24"/>
              </w:rPr>
              <w:t>，</w:t>
            </w:r>
            <w:r>
              <w:rPr>
                <w:color w:val="000000"/>
                <w:sz w:val="24"/>
              </w:rPr>
              <w:t>应编制环境影响报告表。</w:t>
            </w:r>
            <w:r>
              <w:rPr>
                <w:rFonts w:hint="eastAsia"/>
                <w:color w:val="000000"/>
                <w:sz w:val="24"/>
              </w:rPr>
              <w:t>电极片、除氧模块</w:t>
            </w:r>
            <w:r>
              <w:rPr>
                <w:color w:val="000000"/>
                <w:sz w:val="24"/>
              </w:rPr>
              <w:t>属于《国民经济行业分类》（2017年版）的</w:t>
            </w:r>
            <w:r>
              <w:rPr>
                <w:rFonts w:hint="eastAsia"/>
                <w:color w:val="000000"/>
                <w:sz w:val="24"/>
              </w:rPr>
              <w:t>电子专用材料制造 C3985</w:t>
            </w:r>
            <w:r>
              <w:rPr>
                <w:color w:val="000000"/>
                <w:sz w:val="24"/>
              </w:rPr>
              <w:t>，根据《建设项目环境影响评价分类管理名录（2021年版）》，项目属于名录中“三十六、计算机、通信和其他电子设备制造业 39-81、电子元件及电子专用材料制造 398”中</w:t>
            </w:r>
            <w:r>
              <w:rPr>
                <w:rFonts w:hint="eastAsia"/>
                <w:color w:val="000000"/>
                <w:sz w:val="24"/>
              </w:rPr>
              <w:t>“‘</w:t>
            </w:r>
            <w:r>
              <w:rPr>
                <w:color w:val="000000"/>
                <w:sz w:val="24"/>
              </w:rPr>
              <w:t>印刷电路板制造；电子专用材料制造（电子化工材料制造除外）；使用有机溶剂的；有酸洗的</w:t>
            </w:r>
            <w:r>
              <w:rPr>
                <w:rFonts w:hint="eastAsia"/>
                <w:color w:val="000000"/>
                <w:sz w:val="24"/>
              </w:rPr>
              <w:t>’</w:t>
            </w:r>
            <w:r>
              <w:rPr>
                <w:color w:val="000000"/>
                <w:sz w:val="24"/>
              </w:rPr>
              <w:t>以上均不含仅分割、焊接、组装的</w:t>
            </w:r>
            <w:r>
              <w:rPr>
                <w:rFonts w:hint="eastAsia"/>
                <w:color w:val="000000"/>
                <w:sz w:val="24"/>
              </w:rPr>
              <w:t>”，</w:t>
            </w:r>
            <w:r>
              <w:rPr>
                <w:color w:val="000000"/>
                <w:sz w:val="24"/>
              </w:rPr>
              <w:t>应编制环境影响报告表。</w:t>
            </w:r>
            <w:r>
              <w:rPr>
                <w:rFonts w:hint="eastAsia"/>
                <w:sz w:val="24"/>
              </w:rPr>
              <w:t>综上，本项目应</w:t>
            </w:r>
            <w:r>
              <w:rPr>
                <w:color w:val="000000"/>
                <w:sz w:val="24"/>
              </w:rPr>
              <w:t>编制环境影响报告表。</w:t>
            </w:r>
          </w:p>
          <w:bookmarkEnd w:id="2"/>
          <w:p>
            <w:pPr>
              <w:adjustRightInd w:val="0"/>
              <w:snapToGrid w:val="0"/>
              <w:spacing w:line="360" w:lineRule="auto"/>
              <w:ind w:firstLine="482" w:firstLineChars="200"/>
              <w:rPr>
                <w:color w:val="000000"/>
              </w:rPr>
            </w:pPr>
            <w:r>
              <w:rPr>
                <w:b/>
                <w:bCs/>
                <w:color w:val="000000"/>
                <w:sz w:val="24"/>
              </w:rPr>
              <w:t>（6）项目排污许可管理类别判定：</w:t>
            </w:r>
            <w:r>
              <w:rPr>
                <w:rFonts w:hint="eastAsia"/>
                <w:color w:val="000000"/>
                <w:sz w:val="24"/>
              </w:rPr>
              <w:t>本项目产品为</w:t>
            </w:r>
            <w:r>
              <w:rPr>
                <w:rFonts w:hint="eastAsia"/>
                <w:color w:val="000000"/>
                <w:sz w:val="24"/>
                <w:lang w:eastAsia="zh-CN"/>
              </w:rPr>
              <w:t>储能功能催化材料</w:t>
            </w:r>
            <w:r>
              <w:rPr>
                <w:rFonts w:hint="eastAsia"/>
                <w:color w:val="000000"/>
                <w:sz w:val="24"/>
              </w:rPr>
              <w:t>、电极片、除氧模块，其中</w:t>
            </w:r>
            <w:r>
              <w:rPr>
                <w:rFonts w:hint="eastAsia"/>
                <w:color w:val="000000"/>
                <w:sz w:val="24"/>
                <w:lang w:eastAsia="zh-CN"/>
              </w:rPr>
              <w:t>储能功能催化材料</w:t>
            </w:r>
            <w:r>
              <w:rPr>
                <w:color w:val="C00000"/>
                <w:sz w:val="24"/>
              </w:rPr>
              <w:t>属于《国民经济行业分类》（2017年版）的</w:t>
            </w:r>
            <w:r>
              <w:rPr>
                <w:rFonts w:hint="eastAsia"/>
                <w:color w:val="C00000"/>
                <w:sz w:val="24"/>
              </w:rPr>
              <w:t>工程和技术研究和试验发展 M7320</w:t>
            </w:r>
            <w:r>
              <w:rPr>
                <w:color w:val="C00000"/>
                <w:sz w:val="24"/>
              </w:rPr>
              <w:t>，根据《固定污染源排污许可分类管理名录（2019年版）》，项目</w:t>
            </w:r>
            <w:r>
              <w:rPr>
                <w:rFonts w:hint="eastAsia"/>
                <w:color w:val="C00000"/>
                <w:sz w:val="24"/>
              </w:rPr>
              <w:t>不需进行排污许可管理。</w:t>
            </w:r>
            <w:r>
              <w:rPr>
                <w:rFonts w:hint="eastAsia"/>
                <w:color w:val="000000"/>
                <w:sz w:val="24"/>
              </w:rPr>
              <w:t>电极片、除氧模块</w:t>
            </w:r>
            <w:r>
              <w:rPr>
                <w:color w:val="000000"/>
                <w:sz w:val="24"/>
              </w:rPr>
              <w:t>属于《国民经济行业分类》（2017年版）的</w:t>
            </w:r>
            <w:r>
              <w:rPr>
                <w:rFonts w:hint="eastAsia"/>
                <w:color w:val="000000"/>
                <w:sz w:val="24"/>
              </w:rPr>
              <w:t>电子专用材料制造 C3985</w:t>
            </w:r>
            <w:r>
              <w:rPr>
                <w:color w:val="000000"/>
                <w:sz w:val="24"/>
              </w:rPr>
              <w:t>，根据《固定污染源排污许可分类管理名录（2019年版）》，项目属于名录中“</w:t>
            </w:r>
            <w:r>
              <w:rPr>
                <w:rFonts w:hint="eastAsia"/>
                <w:color w:val="000000"/>
                <w:sz w:val="24"/>
              </w:rPr>
              <w:t>三十四、计算机、通信和其他电子设备制造业 39</w:t>
            </w:r>
            <w:r>
              <w:rPr>
                <w:color w:val="000000"/>
                <w:sz w:val="24"/>
              </w:rPr>
              <w:t>-</w:t>
            </w:r>
            <w:r>
              <w:rPr>
                <w:rFonts w:hint="eastAsia"/>
                <w:color w:val="000000"/>
                <w:sz w:val="24"/>
              </w:rPr>
              <w:t>89</w:t>
            </w:r>
            <w:r>
              <w:rPr>
                <w:color w:val="000000"/>
                <w:sz w:val="24"/>
              </w:rPr>
              <w:t>、</w:t>
            </w:r>
            <w:r>
              <w:rPr>
                <w:rFonts w:hint="eastAsia"/>
                <w:color w:val="000000"/>
                <w:sz w:val="24"/>
              </w:rPr>
              <w:t>计算机制造391，电子器件制造397，电子元件及电子专用材料制造398，其他电子设备制造399</w:t>
            </w:r>
            <w:r>
              <w:rPr>
                <w:color w:val="000000"/>
                <w:sz w:val="24"/>
              </w:rPr>
              <w:t>”中“其他”类别</w:t>
            </w:r>
            <w:r>
              <w:rPr>
                <w:rFonts w:hint="eastAsia"/>
                <w:color w:val="000000"/>
                <w:sz w:val="24"/>
              </w:rPr>
              <w:t>，</w:t>
            </w:r>
            <w:r>
              <w:rPr>
                <w:color w:val="000000"/>
                <w:sz w:val="24"/>
              </w:rPr>
              <w:t>排污许可管理类别为“登记管理”</w:t>
            </w:r>
            <w:r>
              <w:rPr>
                <w:rFonts w:hint="eastAsia"/>
                <w:color w:val="000000"/>
                <w:sz w:val="24"/>
              </w:rPr>
              <w:t>。</w:t>
            </w:r>
            <w:r>
              <w:rPr>
                <w:rFonts w:hint="eastAsia"/>
                <w:sz w:val="24"/>
              </w:rPr>
              <w:t>综上，本项目排污许可管理类别为登记管理。</w:t>
            </w:r>
          </w:p>
        </w:tc>
      </w:tr>
    </w:tbl>
    <w:p>
      <w:pPr>
        <w:pStyle w:val="20"/>
        <w:jc w:val="center"/>
        <w:rPr>
          <w:rFonts w:ascii="Times New Roman" w:hAnsi="Times New Roman" w:eastAsia="黑体"/>
          <w:snapToGrid w:val="0"/>
          <w:color w:val="000000"/>
          <w:sz w:val="36"/>
          <w:szCs w:val="36"/>
        </w:rPr>
        <w:sectPr>
          <w:pgSz w:w="11906" w:h="16838"/>
          <w:pgMar w:top="1418" w:right="1418" w:bottom="1418" w:left="1418" w:header="851" w:footer="851" w:gutter="0"/>
          <w:cols w:space="720" w:num="1"/>
          <w:docGrid w:linePitch="312" w:charSpace="0"/>
        </w:sectPr>
      </w:pPr>
    </w:p>
    <w:tbl>
      <w:tblPr>
        <w:tblStyle w:val="2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3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8" w:hRule="atLeast"/>
        </w:trPr>
        <w:tc>
          <w:tcPr>
            <w:tcW w:w="426" w:type="dxa"/>
            <w:vAlign w:val="center"/>
          </w:tcPr>
          <w:p>
            <w:pPr>
              <w:pStyle w:val="20"/>
              <w:jc w:val="center"/>
              <w:rPr>
                <w:rFonts w:ascii="Times New Roman" w:hAnsi="Times New Roman" w:eastAsia="黑体"/>
                <w:snapToGrid w:val="0"/>
                <w:sz w:val="36"/>
                <w:szCs w:val="36"/>
              </w:rPr>
            </w:pPr>
            <w:r>
              <w:rPr>
                <w:rFonts w:ascii="Times New Roman" w:hAnsi="Times New Roman" w:eastAsia="黑体"/>
                <w:snapToGrid w:val="0"/>
                <w:sz w:val="21"/>
                <w:szCs w:val="21"/>
              </w:rPr>
              <w:t>建设内容</w:t>
            </w:r>
          </w:p>
        </w:tc>
        <w:tc>
          <w:tcPr>
            <w:tcW w:w="13792" w:type="dxa"/>
          </w:tcPr>
          <w:p>
            <w:pPr>
              <w:spacing w:line="360" w:lineRule="auto"/>
              <w:ind w:firstLine="482" w:firstLineChars="200"/>
              <w:contextualSpacing/>
              <w:rPr>
                <w:b/>
                <w:bCs/>
                <w:sz w:val="24"/>
              </w:rPr>
            </w:pPr>
            <w:r>
              <w:rPr>
                <w:b/>
                <w:bCs/>
                <w:sz w:val="24"/>
              </w:rPr>
              <w:t>2、项目主要工程内容及规模</w:t>
            </w:r>
          </w:p>
          <w:p>
            <w:pPr>
              <w:spacing w:line="360" w:lineRule="auto"/>
              <w:ind w:firstLine="480" w:firstLineChars="200"/>
              <w:contextualSpacing/>
              <w:rPr>
                <w:b/>
                <w:kern w:val="0"/>
                <w:sz w:val="24"/>
              </w:rPr>
            </w:pPr>
            <w:r>
              <w:rPr>
                <w:rFonts w:hint="eastAsia"/>
                <w:bCs/>
                <w:kern w:val="0"/>
                <w:sz w:val="24"/>
              </w:rPr>
              <w:t>本项目</w:t>
            </w:r>
            <w:r>
              <w:rPr>
                <w:sz w:val="24"/>
              </w:rPr>
              <w:t>租赁</w:t>
            </w:r>
            <w:r>
              <w:rPr>
                <w:rFonts w:hint="eastAsia"/>
                <w:sz w:val="24"/>
              </w:rPr>
              <w:t>合肥市高新技术产业开发区明珠产业园2C-3（2号楼3楼C区）现有标准化厂房，</w:t>
            </w:r>
            <w:r>
              <w:rPr>
                <w:rFonts w:hint="eastAsia"/>
                <w:sz w:val="24"/>
                <w:lang w:val="en-US" w:eastAsia="zh-CN"/>
              </w:rPr>
              <w:t>2号楼共5层，总楼层高度约31m，</w:t>
            </w:r>
            <w:r>
              <w:rPr>
                <w:rFonts w:hint="eastAsia"/>
                <w:sz w:val="24"/>
                <w:szCs w:val="32"/>
              </w:rPr>
              <w:t>本项目</w:t>
            </w:r>
            <w:r>
              <w:rPr>
                <w:rFonts w:hint="eastAsia"/>
                <w:sz w:val="24"/>
              </w:rPr>
              <w:t>位于2号楼3楼C区，建筑面积为2127.61</w:t>
            </w:r>
            <w:r>
              <w:rPr>
                <w:sz w:val="24"/>
              </w:rPr>
              <w:t>m</w:t>
            </w:r>
            <w:r>
              <w:rPr>
                <w:sz w:val="24"/>
                <w:vertAlign w:val="superscript"/>
              </w:rPr>
              <w:t>2</w:t>
            </w:r>
            <w:r>
              <w:rPr>
                <w:rFonts w:hint="eastAsia"/>
                <w:sz w:val="24"/>
              </w:rPr>
              <w:t>。</w:t>
            </w:r>
          </w:p>
          <w:p>
            <w:pPr>
              <w:widowControl/>
              <w:numPr>
                <w:ilvl w:val="0"/>
                <w:numId w:val="1"/>
              </w:numPr>
              <w:jc w:val="center"/>
              <w:rPr>
                <w:b/>
                <w:kern w:val="0"/>
                <w:szCs w:val="21"/>
              </w:rPr>
            </w:pPr>
            <w:r>
              <w:rPr>
                <w:b/>
                <w:kern w:val="0"/>
                <w:szCs w:val="21"/>
              </w:rPr>
              <w:t xml:space="preserve">  建设项目主要工程内容及规模一览表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2678"/>
              <w:gridCol w:w="6778"/>
              <w:gridCol w:w="2133"/>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tcBorders>
                    <w:top w:val="single" w:color="auto" w:sz="4" w:space="0"/>
                    <w:left w:val="single" w:color="auto" w:sz="4" w:space="0"/>
                    <w:bottom w:val="single" w:color="auto" w:sz="4" w:space="0"/>
                    <w:right w:val="single" w:color="auto" w:sz="4" w:space="0"/>
                  </w:tcBorders>
                  <w:vAlign w:val="center"/>
                </w:tcPr>
                <w:p>
                  <w:pPr>
                    <w:pStyle w:val="61"/>
                    <w:spacing w:before="24" w:after="24" w:line="240" w:lineRule="auto"/>
                    <w:rPr>
                      <w:rFonts w:ascii="Times New Roman" w:eastAsia="宋体"/>
                      <w:b/>
                      <w:bCs/>
                      <w:szCs w:val="21"/>
                    </w:rPr>
                  </w:pPr>
                  <w:r>
                    <w:rPr>
                      <w:rFonts w:ascii="Times New Roman" w:eastAsia="宋体"/>
                      <w:b/>
                      <w:bCs/>
                      <w:szCs w:val="21"/>
                    </w:rPr>
                    <w:t>工程类别</w:t>
                  </w:r>
                </w:p>
              </w:tc>
              <w:tc>
                <w:tcPr>
                  <w:tcW w:w="2678" w:type="dxa"/>
                  <w:tcBorders>
                    <w:top w:val="single" w:color="auto" w:sz="4" w:space="0"/>
                    <w:left w:val="single" w:color="auto" w:sz="4" w:space="0"/>
                    <w:bottom w:val="single" w:color="auto" w:sz="4" w:space="0"/>
                    <w:right w:val="single" w:color="auto" w:sz="4" w:space="0"/>
                  </w:tcBorders>
                  <w:vAlign w:val="center"/>
                </w:tcPr>
                <w:p>
                  <w:pPr>
                    <w:pStyle w:val="61"/>
                    <w:spacing w:before="24" w:after="24" w:line="240" w:lineRule="auto"/>
                    <w:rPr>
                      <w:rFonts w:ascii="Times New Roman" w:eastAsia="宋体"/>
                      <w:b/>
                      <w:bCs/>
                      <w:szCs w:val="21"/>
                    </w:rPr>
                  </w:pPr>
                  <w:r>
                    <w:rPr>
                      <w:rFonts w:ascii="Times New Roman" w:eastAsia="宋体"/>
                      <w:b/>
                      <w:bCs/>
                      <w:szCs w:val="21"/>
                    </w:rPr>
                    <w:t>单项工程名称</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pStyle w:val="61"/>
                    <w:spacing w:before="24" w:after="24" w:line="240" w:lineRule="auto"/>
                    <w:rPr>
                      <w:rFonts w:ascii="Times New Roman" w:eastAsia="宋体"/>
                      <w:b/>
                      <w:bCs/>
                      <w:szCs w:val="21"/>
                    </w:rPr>
                  </w:pPr>
                  <w:r>
                    <w:rPr>
                      <w:rFonts w:ascii="Times New Roman" w:eastAsia="宋体"/>
                      <w:b/>
                      <w:bCs/>
                      <w:szCs w:val="21"/>
                    </w:rPr>
                    <w:t>主要工程内容及规模</w:t>
                  </w:r>
                </w:p>
              </w:tc>
              <w:tc>
                <w:tcPr>
                  <w:tcW w:w="980" w:type="dxa"/>
                  <w:tcBorders>
                    <w:top w:val="single" w:color="auto" w:sz="4" w:space="0"/>
                    <w:left w:val="single" w:color="auto" w:sz="4" w:space="0"/>
                    <w:bottom w:val="single" w:color="auto" w:sz="4" w:space="0"/>
                    <w:right w:val="single" w:color="auto" w:sz="4" w:space="0"/>
                  </w:tcBorders>
                  <w:vAlign w:val="center"/>
                </w:tcPr>
                <w:p>
                  <w:pPr>
                    <w:pStyle w:val="61"/>
                    <w:spacing w:before="24" w:after="24" w:line="240" w:lineRule="auto"/>
                    <w:rPr>
                      <w:rFonts w:ascii="Times New Roman" w:eastAsia="宋体"/>
                      <w:b/>
                      <w:bCs/>
                      <w:szCs w:val="21"/>
                    </w:rPr>
                  </w:pPr>
                  <w:r>
                    <w:rPr>
                      <w:rFonts w:ascii="Times New Roman" w:eastAsia="宋体"/>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restart"/>
                  <w:tcBorders>
                    <w:top w:val="single" w:color="auto" w:sz="4" w:space="0"/>
                    <w:left w:val="single" w:color="auto" w:sz="4" w:space="0"/>
                    <w:right w:val="single" w:color="auto" w:sz="4" w:space="0"/>
                  </w:tcBorders>
                  <w:vAlign w:val="center"/>
                </w:tcPr>
                <w:p>
                  <w:pPr>
                    <w:pStyle w:val="61"/>
                    <w:spacing w:before="24" w:after="24" w:line="240" w:lineRule="auto"/>
                    <w:rPr>
                      <w:rFonts w:ascii="Times New Roman" w:eastAsia="宋体"/>
                      <w:bCs/>
                      <w:szCs w:val="21"/>
                    </w:rPr>
                  </w:pPr>
                  <w:r>
                    <w:rPr>
                      <w:rFonts w:ascii="Times New Roman" w:eastAsia="宋体"/>
                      <w:bCs/>
                      <w:szCs w:val="21"/>
                    </w:rPr>
                    <w:t>主体工程</w:t>
                  </w:r>
                </w:p>
              </w:tc>
              <w:tc>
                <w:tcPr>
                  <w:tcW w:w="2678" w:type="dxa"/>
                  <w:tcBorders>
                    <w:top w:val="single" w:color="auto" w:sz="4" w:space="0"/>
                    <w:left w:val="single" w:color="auto" w:sz="4" w:space="0"/>
                    <w:right w:val="single" w:color="auto" w:sz="4" w:space="0"/>
                  </w:tcBorders>
                  <w:vAlign w:val="center"/>
                </w:tcPr>
                <w:p>
                  <w:pPr>
                    <w:jc w:val="center"/>
                    <w:rPr>
                      <w:szCs w:val="21"/>
                      <w:highlight w:val="yellow"/>
                    </w:rPr>
                  </w:pPr>
                  <w:r>
                    <w:rPr>
                      <w:bCs/>
                      <w:szCs w:val="21"/>
                    </w:rPr>
                    <w:t>组装</w:t>
                  </w:r>
                  <w:r>
                    <w:rPr>
                      <w:rFonts w:hint="eastAsia"/>
                      <w:bCs/>
                      <w:szCs w:val="21"/>
                    </w:rPr>
                    <w:t>区</w:t>
                  </w:r>
                </w:p>
              </w:tc>
              <w:tc>
                <w:tcPr>
                  <w:tcW w:w="6778" w:type="dxa"/>
                  <w:tcBorders>
                    <w:top w:val="single" w:color="auto" w:sz="4" w:space="0"/>
                    <w:left w:val="single" w:color="auto" w:sz="4" w:space="0"/>
                    <w:right w:val="single" w:color="auto" w:sz="4" w:space="0"/>
                  </w:tcBorders>
                  <w:vAlign w:val="center"/>
                </w:tcPr>
                <w:p>
                  <w:pPr>
                    <w:jc w:val="center"/>
                    <w:rPr>
                      <w:b/>
                      <w:bCs/>
                      <w:szCs w:val="21"/>
                      <w:highlight w:val="yellow"/>
                    </w:rPr>
                  </w:pPr>
                  <w:r>
                    <w:rPr>
                      <w:rFonts w:hint="eastAsia"/>
                      <w:bCs/>
                      <w:szCs w:val="21"/>
                    </w:rPr>
                    <w:t>组装区</w:t>
                  </w:r>
                  <w:r>
                    <w:rPr>
                      <w:bCs/>
                      <w:szCs w:val="21"/>
                    </w:rPr>
                    <w:t>，建筑面积约600m</w:t>
                  </w:r>
                  <w:r>
                    <w:rPr>
                      <w:bCs/>
                      <w:szCs w:val="21"/>
                      <w:vertAlign w:val="superscript"/>
                    </w:rPr>
                    <w:t>2</w:t>
                  </w:r>
                  <w:r>
                    <w:rPr>
                      <w:bCs/>
                      <w:szCs w:val="21"/>
                    </w:rPr>
                    <w:t>，</w:t>
                  </w:r>
                  <w:r>
                    <w:rPr>
                      <w:rFonts w:hint="eastAsia"/>
                      <w:bCs/>
                      <w:szCs w:val="21"/>
                    </w:rPr>
                    <w:t>设有贴标机、传送组装台、捆扎机、液压车等设备，</w:t>
                  </w:r>
                  <w:r>
                    <w:rPr>
                      <w:bCs/>
                      <w:szCs w:val="21"/>
                    </w:rPr>
                    <w:t>用于产品组装</w:t>
                  </w:r>
                  <w:r>
                    <w:rPr>
                      <w:rFonts w:hint="eastAsia"/>
                      <w:bCs/>
                      <w:szCs w:val="21"/>
                    </w:rPr>
                    <w:t>、打包</w:t>
                  </w:r>
                </w:p>
              </w:tc>
              <w:tc>
                <w:tcPr>
                  <w:tcW w:w="2133" w:type="dxa"/>
                  <w:vMerge w:val="restart"/>
                  <w:tcBorders>
                    <w:top w:val="single" w:color="auto" w:sz="4" w:space="0"/>
                    <w:left w:val="single" w:color="auto" w:sz="4" w:space="0"/>
                    <w:right w:val="single" w:color="auto" w:sz="4" w:space="0"/>
                  </w:tcBorders>
                  <w:vAlign w:val="center"/>
                </w:tcPr>
                <w:p>
                  <w:pPr>
                    <w:jc w:val="center"/>
                    <w:rPr>
                      <w:szCs w:val="21"/>
                    </w:rPr>
                  </w:pPr>
                  <w:r>
                    <w:rPr>
                      <w:rFonts w:hint="eastAsia"/>
                      <w:szCs w:val="21"/>
                    </w:rPr>
                    <w:t>年产电极片100万片、除氧模块1万件、储能功能催化材料100kg</w:t>
                  </w:r>
                </w:p>
              </w:tc>
              <w:tc>
                <w:tcPr>
                  <w:tcW w:w="980" w:type="dxa"/>
                  <w:vMerge w:val="restart"/>
                  <w:tcBorders>
                    <w:top w:val="single" w:color="auto" w:sz="4" w:space="0"/>
                    <w:left w:val="single" w:color="auto" w:sz="4" w:space="0"/>
                    <w:right w:val="single" w:color="auto" w:sz="4" w:space="0"/>
                  </w:tcBorders>
                  <w:vAlign w:val="center"/>
                </w:tcPr>
                <w:p>
                  <w:pPr>
                    <w:pStyle w:val="61"/>
                    <w:spacing w:before="24" w:after="24" w:line="240" w:lineRule="auto"/>
                    <w:rPr>
                      <w:rFonts w:ascii="Times New Roman" w:eastAsia="宋体"/>
                      <w:bCs/>
                      <w:szCs w:val="21"/>
                      <w:highlight w:val="yellow"/>
                    </w:rPr>
                  </w:pPr>
                  <w:r>
                    <w:rPr>
                      <w:rFonts w:ascii="Times New Roman" w:eastAsia="宋体"/>
                      <w:bCs/>
                      <w:szCs w:val="21"/>
                    </w:rPr>
                    <w:t>依托现有厂房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c>
                <w:tcPr>
                  <w:tcW w:w="2678" w:type="dxa"/>
                  <w:tcBorders>
                    <w:top w:val="single" w:color="auto" w:sz="4" w:space="0"/>
                    <w:left w:val="single" w:color="auto" w:sz="4" w:space="0"/>
                    <w:right w:val="single" w:color="auto" w:sz="4" w:space="0"/>
                  </w:tcBorders>
                  <w:vAlign w:val="center"/>
                </w:tcPr>
                <w:p>
                  <w:pPr>
                    <w:jc w:val="center"/>
                    <w:rPr>
                      <w:szCs w:val="21"/>
                    </w:rPr>
                  </w:pPr>
                  <w:r>
                    <w:rPr>
                      <w:rFonts w:hint="eastAsia"/>
                      <w:bCs/>
                      <w:szCs w:val="21"/>
                    </w:rPr>
                    <w:t>生产1区域</w:t>
                  </w:r>
                </w:p>
              </w:tc>
              <w:tc>
                <w:tcPr>
                  <w:tcW w:w="6778" w:type="dxa"/>
                  <w:tcBorders>
                    <w:top w:val="single" w:color="auto" w:sz="4" w:space="0"/>
                    <w:left w:val="single" w:color="auto" w:sz="4" w:space="0"/>
                    <w:right w:val="single" w:color="auto" w:sz="4" w:space="0"/>
                  </w:tcBorders>
                  <w:vAlign w:val="center"/>
                </w:tcPr>
                <w:p>
                  <w:pPr>
                    <w:jc w:val="center"/>
                    <w:rPr>
                      <w:szCs w:val="21"/>
                    </w:rPr>
                  </w:pPr>
                  <w:r>
                    <w:rPr>
                      <w:rFonts w:hint="eastAsia"/>
                      <w:bCs/>
                      <w:szCs w:val="21"/>
                    </w:rPr>
                    <w:t>生产1区域</w:t>
                  </w:r>
                  <w:r>
                    <w:rPr>
                      <w:bCs/>
                      <w:szCs w:val="21"/>
                    </w:rPr>
                    <w:t>，建筑面积约</w:t>
                  </w:r>
                  <w:r>
                    <w:rPr>
                      <w:rFonts w:hint="eastAsia"/>
                      <w:bCs/>
                      <w:szCs w:val="21"/>
                    </w:rPr>
                    <w:t>158</w:t>
                  </w:r>
                  <w:r>
                    <w:rPr>
                      <w:bCs/>
                      <w:szCs w:val="21"/>
                    </w:rPr>
                    <w:t>.3m</w:t>
                  </w:r>
                  <w:r>
                    <w:rPr>
                      <w:bCs/>
                      <w:szCs w:val="21"/>
                      <w:vertAlign w:val="superscript"/>
                    </w:rPr>
                    <w:t>2</w:t>
                  </w:r>
                  <w:r>
                    <w:rPr>
                      <w:bCs/>
                      <w:szCs w:val="21"/>
                    </w:rPr>
                    <w:t>，设有酸洗槽、</w:t>
                  </w:r>
                  <w:r>
                    <w:rPr>
                      <w:rFonts w:hint="eastAsia"/>
                      <w:bCs/>
                      <w:szCs w:val="21"/>
                    </w:rPr>
                    <w:t>低温防腐烤箱、滤芯高温实验烤箱</w:t>
                  </w:r>
                  <w:r>
                    <w:rPr>
                      <w:bCs/>
                      <w:szCs w:val="21"/>
                    </w:rPr>
                    <w:t>等设备，用于酸洗、烘干等工艺</w:t>
                  </w:r>
                </w:p>
              </w:tc>
              <w:tc>
                <w:tcPr>
                  <w:tcW w:w="2133" w:type="dxa"/>
                  <w:vMerge w:val="continue"/>
                  <w:tcBorders>
                    <w:left w:val="single" w:color="auto" w:sz="4" w:space="0"/>
                    <w:right w:val="single" w:color="auto" w:sz="4" w:space="0"/>
                  </w:tcBorders>
                  <w:vAlign w:val="center"/>
                </w:tcPr>
                <w:p>
                  <w:pPr>
                    <w:jc w:val="center"/>
                    <w:rPr>
                      <w:szCs w:val="21"/>
                    </w:rPr>
                  </w:pPr>
                </w:p>
              </w:tc>
              <w:tc>
                <w:tcPr>
                  <w:tcW w:w="980"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c>
                <w:tcPr>
                  <w:tcW w:w="2678" w:type="dxa"/>
                  <w:tcBorders>
                    <w:top w:val="single" w:color="auto" w:sz="4" w:space="0"/>
                    <w:left w:val="single" w:color="auto" w:sz="4" w:space="0"/>
                    <w:right w:val="single" w:color="auto" w:sz="4" w:space="0"/>
                  </w:tcBorders>
                  <w:vAlign w:val="center"/>
                </w:tcPr>
                <w:p>
                  <w:pPr>
                    <w:jc w:val="center"/>
                    <w:rPr>
                      <w:szCs w:val="21"/>
                    </w:rPr>
                  </w:pPr>
                  <w:r>
                    <w:rPr>
                      <w:rFonts w:hint="eastAsia"/>
                      <w:bCs/>
                      <w:szCs w:val="21"/>
                    </w:rPr>
                    <w:t>生产2区域</w:t>
                  </w:r>
                </w:p>
              </w:tc>
              <w:tc>
                <w:tcPr>
                  <w:tcW w:w="6778" w:type="dxa"/>
                  <w:tcBorders>
                    <w:top w:val="single" w:color="auto" w:sz="4" w:space="0"/>
                    <w:left w:val="single" w:color="auto" w:sz="4" w:space="0"/>
                    <w:right w:val="single" w:color="auto" w:sz="4" w:space="0"/>
                  </w:tcBorders>
                  <w:vAlign w:val="center"/>
                </w:tcPr>
                <w:p>
                  <w:pPr>
                    <w:jc w:val="center"/>
                    <w:rPr>
                      <w:szCs w:val="21"/>
                    </w:rPr>
                  </w:pPr>
                  <w:r>
                    <w:rPr>
                      <w:rFonts w:hint="eastAsia"/>
                      <w:bCs/>
                      <w:szCs w:val="21"/>
                    </w:rPr>
                    <w:t>生产2区域</w:t>
                  </w:r>
                  <w:r>
                    <w:rPr>
                      <w:bCs/>
                      <w:szCs w:val="21"/>
                    </w:rPr>
                    <w:t>，建筑面积69.5m</w:t>
                  </w:r>
                  <w:r>
                    <w:rPr>
                      <w:bCs/>
                      <w:szCs w:val="21"/>
                      <w:vertAlign w:val="superscript"/>
                    </w:rPr>
                    <w:t>2</w:t>
                  </w:r>
                  <w:r>
                    <w:rPr>
                      <w:bCs/>
                      <w:szCs w:val="21"/>
                    </w:rPr>
                    <w:t>，</w:t>
                  </w:r>
                  <w:r>
                    <w:rPr>
                      <w:rFonts w:hint="eastAsia"/>
                      <w:bCs/>
                      <w:szCs w:val="21"/>
                    </w:rPr>
                    <w:t>设有空压机、喷砂机、马</w:t>
                  </w:r>
                  <w:r>
                    <w:rPr>
                      <w:rFonts w:hint="eastAsia"/>
                      <w:bCs/>
                      <w:szCs w:val="21"/>
                      <w:lang w:eastAsia="zh-CN"/>
                    </w:rPr>
                    <w:t>费</w:t>
                  </w:r>
                  <w:r>
                    <w:rPr>
                      <w:rFonts w:hint="eastAsia"/>
                      <w:bCs/>
                      <w:szCs w:val="21"/>
                    </w:rPr>
                    <w:t>炉、管式炉、激光切割机等设备，</w:t>
                  </w:r>
                  <w:r>
                    <w:rPr>
                      <w:bCs/>
                      <w:szCs w:val="21"/>
                    </w:rPr>
                    <w:t>主要用于电极片生产</w:t>
                  </w:r>
                  <w:r>
                    <w:rPr>
                      <w:rFonts w:hint="eastAsia"/>
                      <w:bCs/>
                      <w:szCs w:val="21"/>
                    </w:rPr>
                    <w:t>过程的喷砂等工艺</w:t>
                  </w:r>
                </w:p>
              </w:tc>
              <w:tc>
                <w:tcPr>
                  <w:tcW w:w="2133" w:type="dxa"/>
                  <w:vMerge w:val="continue"/>
                  <w:tcBorders>
                    <w:left w:val="single" w:color="auto" w:sz="4" w:space="0"/>
                    <w:right w:val="single" w:color="auto" w:sz="4" w:space="0"/>
                  </w:tcBorders>
                  <w:vAlign w:val="center"/>
                </w:tcPr>
                <w:p>
                  <w:pPr>
                    <w:jc w:val="center"/>
                    <w:rPr>
                      <w:szCs w:val="21"/>
                    </w:rPr>
                  </w:pPr>
                </w:p>
              </w:tc>
              <w:tc>
                <w:tcPr>
                  <w:tcW w:w="980"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c>
                <w:tcPr>
                  <w:tcW w:w="2678" w:type="dxa"/>
                  <w:tcBorders>
                    <w:top w:val="single" w:color="auto" w:sz="4" w:space="0"/>
                    <w:left w:val="single" w:color="auto" w:sz="4" w:space="0"/>
                    <w:right w:val="single" w:color="auto" w:sz="4" w:space="0"/>
                  </w:tcBorders>
                  <w:vAlign w:val="center"/>
                </w:tcPr>
                <w:p>
                  <w:pPr>
                    <w:jc w:val="center"/>
                    <w:rPr>
                      <w:szCs w:val="21"/>
                    </w:rPr>
                  </w:pPr>
                  <w:r>
                    <w:rPr>
                      <w:rFonts w:hint="eastAsia"/>
                      <w:bCs/>
                      <w:szCs w:val="21"/>
                    </w:rPr>
                    <w:t>生产3区域</w:t>
                  </w:r>
                </w:p>
              </w:tc>
              <w:tc>
                <w:tcPr>
                  <w:tcW w:w="6778" w:type="dxa"/>
                  <w:tcBorders>
                    <w:top w:val="single" w:color="auto" w:sz="4" w:space="0"/>
                    <w:left w:val="single" w:color="auto" w:sz="4" w:space="0"/>
                    <w:right w:val="single" w:color="auto" w:sz="4" w:space="0"/>
                  </w:tcBorders>
                  <w:vAlign w:val="center"/>
                </w:tcPr>
                <w:p>
                  <w:pPr>
                    <w:jc w:val="center"/>
                    <w:rPr>
                      <w:szCs w:val="21"/>
                    </w:rPr>
                  </w:pPr>
                  <w:r>
                    <w:rPr>
                      <w:rFonts w:hint="eastAsia"/>
                      <w:bCs/>
                      <w:szCs w:val="21"/>
                    </w:rPr>
                    <w:t>生产3区域</w:t>
                  </w:r>
                  <w:r>
                    <w:rPr>
                      <w:bCs/>
                      <w:szCs w:val="21"/>
                    </w:rPr>
                    <w:t>，建筑面积约86.8m</w:t>
                  </w:r>
                  <w:r>
                    <w:rPr>
                      <w:bCs/>
                      <w:szCs w:val="21"/>
                      <w:vertAlign w:val="superscript"/>
                    </w:rPr>
                    <w:t>2</w:t>
                  </w:r>
                  <w:r>
                    <w:rPr>
                      <w:bCs/>
                      <w:szCs w:val="21"/>
                    </w:rPr>
                    <w:t>，</w:t>
                  </w:r>
                  <w:r>
                    <w:rPr>
                      <w:rFonts w:hint="eastAsia"/>
                      <w:bCs/>
                      <w:szCs w:val="21"/>
                    </w:rPr>
                    <w:t>作为预留车间</w:t>
                  </w:r>
                </w:p>
              </w:tc>
              <w:tc>
                <w:tcPr>
                  <w:tcW w:w="2133" w:type="dxa"/>
                  <w:vMerge w:val="continue"/>
                  <w:tcBorders>
                    <w:left w:val="single" w:color="auto" w:sz="4" w:space="0"/>
                    <w:right w:val="single" w:color="auto" w:sz="4" w:space="0"/>
                  </w:tcBorders>
                  <w:vAlign w:val="center"/>
                </w:tcPr>
                <w:p>
                  <w:pPr>
                    <w:jc w:val="center"/>
                    <w:rPr>
                      <w:szCs w:val="21"/>
                    </w:rPr>
                  </w:pPr>
                </w:p>
              </w:tc>
              <w:tc>
                <w:tcPr>
                  <w:tcW w:w="980"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c>
                <w:tcPr>
                  <w:tcW w:w="2678" w:type="dxa"/>
                  <w:tcBorders>
                    <w:top w:val="single" w:color="auto" w:sz="4" w:space="0"/>
                    <w:left w:val="single" w:color="auto" w:sz="4" w:space="0"/>
                    <w:right w:val="single" w:color="auto" w:sz="4" w:space="0"/>
                  </w:tcBorders>
                  <w:vAlign w:val="center"/>
                </w:tcPr>
                <w:p>
                  <w:pPr>
                    <w:jc w:val="center"/>
                    <w:rPr>
                      <w:szCs w:val="21"/>
                    </w:rPr>
                  </w:pPr>
                  <w:r>
                    <w:rPr>
                      <w:rFonts w:hint="eastAsia"/>
                      <w:bCs/>
                      <w:szCs w:val="21"/>
                    </w:rPr>
                    <w:t>煅烧间</w:t>
                  </w:r>
                </w:p>
              </w:tc>
              <w:tc>
                <w:tcPr>
                  <w:tcW w:w="6778" w:type="dxa"/>
                  <w:tcBorders>
                    <w:top w:val="single" w:color="auto" w:sz="4" w:space="0"/>
                    <w:left w:val="single" w:color="auto" w:sz="4" w:space="0"/>
                    <w:right w:val="single" w:color="auto" w:sz="4" w:space="0"/>
                  </w:tcBorders>
                  <w:vAlign w:val="center"/>
                </w:tcPr>
                <w:p>
                  <w:pPr>
                    <w:jc w:val="center"/>
                    <w:rPr>
                      <w:szCs w:val="21"/>
                    </w:rPr>
                  </w:pPr>
                  <w:r>
                    <w:rPr>
                      <w:rFonts w:hint="eastAsia"/>
                      <w:bCs/>
                      <w:szCs w:val="21"/>
                    </w:rPr>
                    <w:t>煅烧间</w:t>
                  </w:r>
                  <w:r>
                    <w:rPr>
                      <w:bCs/>
                      <w:szCs w:val="21"/>
                    </w:rPr>
                    <w:t>，建筑面积约90m</w:t>
                  </w:r>
                  <w:r>
                    <w:rPr>
                      <w:bCs/>
                      <w:szCs w:val="21"/>
                      <w:vertAlign w:val="superscript"/>
                    </w:rPr>
                    <w:t>2</w:t>
                  </w:r>
                  <w:r>
                    <w:rPr>
                      <w:bCs/>
                      <w:szCs w:val="21"/>
                    </w:rPr>
                    <w:t>，设有小型管式炉</w:t>
                  </w:r>
                  <w:r>
                    <w:rPr>
                      <w:rFonts w:hint="eastAsia"/>
                      <w:bCs/>
                      <w:szCs w:val="21"/>
                    </w:rPr>
                    <w:t>、实验台</w:t>
                  </w:r>
                  <w:r>
                    <w:rPr>
                      <w:bCs/>
                      <w:szCs w:val="21"/>
                    </w:rPr>
                    <w:t>等设备，用于高温烧结等工艺</w:t>
                  </w:r>
                </w:p>
              </w:tc>
              <w:tc>
                <w:tcPr>
                  <w:tcW w:w="2133" w:type="dxa"/>
                  <w:vMerge w:val="continue"/>
                  <w:tcBorders>
                    <w:left w:val="single" w:color="auto" w:sz="4" w:space="0"/>
                    <w:right w:val="single" w:color="auto" w:sz="4" w:space="0"/>
                  </w:tcBorders>
                  <w:vAlign w:val="center"/>
                </w:tcPr>
                <w:p>
                  <w:pPr>
                    <w:jc w:val="center"/>
                    <w:rPr>
                      <w:szCs w:val="21"/>
                    </w:rPr>
                  </w:pPr>
                </w:p>
              </w:tc>
              <w:tc>
                <w:tcPr>
                  <w:tcW w:w="980"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c>
                <w:tcPr>
                  <w:tcW w:w="2678" w:type="dxa"/>
                  <w:tcBorders>
                    <w:top w:val="single" w:color="auto" w:sz="4" w:space="0"/>
                    <w:left w:val="single" w:color="auto" w:sz="4" w:space="0"/>
                    <w:right w:val="single" w:color="auto" w:sz="4" w:space="0"/>
                  </w:tcBorders>
                  <w:vAlign w:val="center"/>
                </w:tcPr>
                <w:p>
                  <w:pPr>
                    <w:jc w:val="center"/>
                    <w:rPr>
                      <w:szCs w:val="21"/>
                    </w:rPr>
                  </w:pPr>
                  <w:r>
                    <w:rPr>
                      <w:bCs/>
                      <w:szCs w:val="21"/>
                    </w:rPr>
                    <w:t>研发实验室</w:t>
                  </w:r>
                </w:p>
              </w:tc>
              <w:tc>
                <w:tcPr>
                  <w:tcW w:w="6778" w:type="dxa"/>
                  <w:tcBorders>
                    <w:top w:val="single" w:color="auto" w:sz="4" w:space="0"/>
                    <w:left w:val="single" w:color="auto" w:sz="4" w:space="0"/>
                    <w:right w:val="single" w:color="auto" w:sz="4" w:space="0"/>
                  </w:tcBorders>
                  <w:vAlign w:val="center"/>
                </w:tcPr>
                <w:p>
                  <w:pPr>
                    <w:jc w:val="center"/>
                    <w:rPr>
                      <w:szCs w:val="21"/>
                    </w:rPr>
                  </w:pPr>
                  <w:r>
                    <w:rPr>
                      <w:bCs/>
                      <w:szCs w:val="21"/>
                    </w:rPr>
                    <w:t>研发实验室，建筑面积约</w:t>
                  </w:r>
                  <w:r>
                    <w:rPr>
                      <w:rFonts w:hint="eastAsia"/>
                      <w:bCs/>
                      <w:szCs w:val="21"/>
                    </w:rPr>
                    <w:t>172</w:t>
                  </w:r>
                  <w:r>
                    <w:rPr>
                      <w:bCs/>
                      <w:szCs w:val="21"/>
                    </w:rPr>
                    <w:t>m</w:t>
                  </w:r>
                  <w:r>
                    <w:rPr>
                      <w:bCs/>
                      <w:szCs w:val="21"/>
                      <w:vertAlign w:val="superscript"/>
                    </w:rPr>
                    <w:t>2</w:t>
                  </w:r>
                  <w:r>
                    <w:rPr>
                      <w:bCs/>
                      <w:szCs w:val="21"/>
                    </w:rPr>
                    <w:t>，设有</w:t>
                  </w:r>
                  <w:r>
                    <w:rPr>
                      <w:rFonts w:hint="eastAsia"/>
                      <w:bCs/>
                      <w:szCs w:val="21"/>
                    </w:rPr>
                    <w:t>球磨机</w:t>
                  </w:r>
                  <w:r>
                    <w:rPr>
                      <w:bCs/>
                      <w:szCs w:val="21"/>
                    </w:rPr>
                    <w:t>、油浴锅</w:t>
                  </w:r>
                  <w:r>
                    <w:rPr>
                      <w:rFonts w:hint="eastAsia"/>
                      <w:bCs/>
                      <w:szCs w:val="21"/>
                    </w:rPr>
                    <w:t>、喷涂机、锟压机、涂布机、烘箱、电化学工作站</w:t>
                  </w:r>
                  <w:r>
                    <w:rPr>
                      <w:bCs/>
                      <w:szCs w:val="21"/>
                    </w:rPr>
                    <w:t>等设备，用于</w:t>
                  </w:r>
                  <w:r>
                    <w:rPr>
                      <w:rFonts w:hint="eastAsia"/>
                      <w:bCs/>
                      <w:szCs w:val="21"/>
                    </w:rPr>
                    <w:t>催化剂</w:t>
                  </w:r>
                  <w:r>
                    <w:rPr>
                      <w:bCs/>
                      <w:szCs w:val="21"/>
                    </w:rPr>
                    <w:t>研发</w:t>
                  </w:r>
                </w:p>
              </w:tc>
              <w:tc>
                <w:tcPr>
                  <w:tcW w:w="2133" w:type="dxa"/>
                  <w:vMerge w:val="continue"/>
                  <w:tcBorders>
                    <w:left w:val="single" w:color="auto" w:sz="4" w:space="0"/>
                    <w:right w:val="single" w:color="auto" w:sz="4" w:space="0"/>
                  </w:tcBorders>
                  <w:vAlign w:val="center"/>
                </w:tcPr>
                <w:p>
                  <w:pPr>
                    <w:jc w:val="center"/>
                    <w:rPr>
                      <w:szCs w:val="21"/>
                    </w:rPr>
                  </w:pPr>
                </w:p>
              </w:tc>
              <w:tc>
                <w:tcPr>
                  <w:tcW w:w="980"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restart"/>
                  <w:tcBorders>
                    <w:top w:val="single" w:color="auto" w:sz="4" w:space="0"/>
                    <w:left w:val="single" w:color="auto" w:sz="4" w:space="0"/>
                    <w:right w:val="single" w:color="auto" w:sz="4" w:space="0"/>
                  </w:tcBorders>
                  <w:vAlign w:val="center"/>
                </w:tcPr>
                <w:p>
                  <w:pPr>
                    <w:pStyle w:val="61"/>
                    <w:spacing w:before="24" w:after="24" w:line="240" w:lineRule="auto"/>
                    <w:rPr>
                      <w:rFonts w:ascii="Times New Roman" w:eastAsia="宋体"/>
                      <w:bCs/>
                      <w:szCs w:val="21"/>
                      <w:highlight w:val="green"/>
                    </w:rPr>
                  </w:pPr>
                  <w:r>
                    <w:rPr>
                      <w:rFonts w:ascii="Times New Roman" w:eastAsia="宋体"/>
                      <w:bCs/>
                      <w:szCs w:val="21"/>
                    </w:rPr>
                    <w:t>辅助工程</w:t>
                  </w:r>
                </w:p>
              </w:tc>
              <w:tc>
                <w:tcPr>
                  <w:tcW w:w="2678" w:type="dxa"/>
                  <w:tcBorders>
                    <w:top w:val="single" w:color="auto" w:sz="4" w:space="0"/>
                    <w:left w:val="single" w:color="auto" w:sz="4" w:space="0"/>
                    <w:right w:val="single" w:color="auto" w:sz="4" w:space="0"/>
                  </w:tcBorders>
                  <w:vAlign w:val="center"/>
                </w:tcPr>
                <w:p>
                  <w:pPr>
                    <w:jc w:val="center"/>
                    <w:rPr>
                      <w:szCs w:val="21"/>
                    </w:rPr>
                  </w:pPr>
                  <w:r>
                    <w:rPr>
                      <w:bCs/>
                      <w:szCs w:val="21"/>
                    </w:rPr>
                    <w:t>办公室</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bCs/>
                      <w:szCs w:val="21"/>
                    </w:rPr>
                    <w:t>建筑面积169.6m</w:t>
                  </w:r>
                  <w:r>
                    <w:rPr>
                      <w:bCs/>
                      <w:szCs w:val="21"/>
                      <w:vertAlign w:val="superscript"/>
                    </w:rPr>
                    <w:t>2</w:t>
                  </w:r>
                  <w:r>
                    <w:rPr>
                      <w:bCs/>
                      <w:szCs w:val="21"/>
                    </w:rPr>
                    <w:t>，用于员工办公、会议</w:t>
                  </w:r>
                </w:p>
              </w:tc>
              <w:tc>
                <w:tcPr>
                  <w:tcW w:w="980" w:type="dxa"/>
                  <w:vMerge w:val="continue"/>
                  <w:tcBorders>
                    <w:left w:val="single" w:color="auto" w:sz="4" w:space="0"/>
                    <w:right w:val="single" w:color="auto" w:sz="4" w:space="0"/>
                  </w:tcBorders>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997"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c>
                <w:tcPr>
                  <w:tcW w:w="2678" w:type="dxa"/>
                  <w:tcBorders>
                    <w:top w:val="single" w:color="auto" w:sz="4" w:space="0"/>
                    <w:left w:val="single" w:color="auto" w:sz="4" w:space="0"/>
                    <w:right w:val="single" w:color="auto" w:sz="4" w:space="0"/>
                  </w:tcBorders>
                  <w:vAlign w:val="center"/>
                </w:tcPr>
                <w:p>
                  <w:pPr>
                    <w:jc w:val="center"/>
                    <w:rPr>
                      <w:szCs w:val="21"/>
                    </w:rPr>
                  </w:pPr>
                  <w:r>
                    <w:rPr>
                      <w:bCs/>
                      <w:szCs w:val="21"/>
                    </w:rPr>
                    <w:t>超净间</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bCs/>
                      <w:szCs w:val="21"/>
                    </w:rPr>
                    <w:t>建筑面积24m</w:t>
                  </w:r>
                  <w:r>
                    <w:rPr>
                      <w:bCs/>
                      <w:szCs w:val="21"/>
                      <w:vertAlign w:val="superscript"/>
                    </w:rPr>
                    <w:t>2</w:t>
                  </w:r>
                  <w:r>
                    <w:rPr>
                      <w:bCs/>
                      <w:szCs w:val="21"/>
                    </w:rPr>
                    <w:t>，</w:t>
                  </w:r>
                  <w:r>
                    <w:rPr>
                      <w:rFonts w:hint="eastAsia"/>
                      <w:bCs/>
                      <w:szCs w:val="21"/>
                      <w:lang w:eastAsia="zh-CN"/>
                    </w:rPr>
                    <w:t>超净间要求无菌无尘，为</w:t>
                  </w:r>
                  <w:r>
                    <w:rPr>
                      <w:rFonts w:hint="eastAsia"/>
                      <w:bCs/>
                      <w:szCs w:val="21"/>
                      <w:lang w:val="en-US" w:eastAsia="zh-CN"/>
                    </w:rPr>
                    <w:t>10000级</w:t>
                  </w:r>
                  <w:r>
                    <w:rPr>
                      <w:rFonts w:hint="eastAsia"/>
                      <w:bCs/>
                      <w:szCs w:val="21"/>
                      <w:lang w:eastAsia="zh-CN"/>
                    </w:rPr>
                    <w:t>洁净车间</w:t>
                  </w:r>
                  <w:r>
                    <w:rPr>
                      <w:rFonts w:hint="eastAsia"/>
                      <w:bCs/>
                      <w:szCs w:val="21"/>
                      <w:lang w:val="en-US" w:eastAsia="zh-CN"/>
                    </w:rPr>
                    <w:t>，</w:t>
                  </w:r>
                  <w:r>
                    <w:rPr>
                      <w:rFonts w:hint="eastAsia"/>
                      <w:bCs/>
                      <w:szCs w:val="21"/>
                    </w:rPr>
                    <w:t>设有低温实验箱、生化培养箱等设备，</w:t>
                  </w:r>
                  <w:r>
                    <w:rPr>
                      <w:bCs/>
                      <w:szCs w:val="21"/>
                    </w:rPr>
                    <w:t>用于实验</w:t>
                  </w:r>
                  <w:r>
                    <w:rPr>
                      <w:rFonts w:hint="eastAsia"/>
                      <w:bCs/>
                      <w:szCs w:val="21"/>
                    </w:rPr>
                    <w:t>、检验产品性能</w:t>
                  </w:r>
                </w:p>
              </w:tc>
              <w:tc>
                <w:tcPr>
                  <w:tcW w:w="980" w:type="dxa"/>
                  <w:vMerge w:val="continue"/>
                  <w:tcBorders>
                    <w:left w:val="single" w:color="auto" w:sz="4" w:space="0"/>
                    <w:right w:val="single" w:color="auto" w:sz="4" w:space="0"/>
                  </w:tcBorders>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restart"/>
                  <w:tcBorders>
                    <w:left w:val="single" w:color="auto" w:sz="4" w:space="0"/>
                    <w:right w:val="single" w:color="auto" w:sz="4" w:space="0"/>
                  </w:tcBorders>
                  <w:vAlign w:val="center"/>
                </w:tcPr>
                <w:p>
                  <w:pPr>
                    <w:pStyle w:val="61"/>
                    <w:spacing w:before="24" w:after="24" w:line="240" w:lineRule="auto"/>
                    <w:rPr>
                      <w:rFonts w:ascii="Times New Roman" w:eastAsia="宋体"/>
                      <w:bCs/>
                      <w:szCs w:val="21"/>
                      <w:highlight w:val="green"/>
                    </w:rPr>
                  </w:pPr>
                  <w:r>
                    <w:rPr>
                      <w:rFonts w:ascii="Times New Roman" w:eastAsia="宋体"/>
                      <w:bCs/>
                      <w:szCs w:val="21"/>
                    </w:rPr>
                    <w:t>贮运工程</w:t>
                  </w:r>
                </w:p>
              </w:tc>
              <w:tc>
                <w:tcPr>
                  <w:tcW w:w="2678" w:type="dxa"/>
                  <w:tcBorders>
                    <w:top w:val="single" w:color="auto" w:sz="4" w:space="0"/>
                    <w:left w:val="single" w:color="auto" w:sz="4" w:space="0"/>
                    <w:right w:val="single" w:color="auto" w:sz="4" w:space="0"/>
                  </w:tcBorders>
                  <w:vAlign w:val="center"/>
                </w:tcPr>
                <w:p>
                  <w:pPr>
                    <w:jc w:val="center"/>
                    <w:rPr>
                      <w:b/>
                      <w:bCs/>
                      <w:szCs w:val="21"/>
                    </w:rPr>
                  </w:pPr>
                  <w:r>
                    <w:rPr>
                      <w:bCs/>
                      <w:szCs w:val="21"/>
                    </w:rPr>
                    <w:t>原料仓库</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jc w:val="center"/>
                    <w:rPr>
                      <w:b/>
                      <w:bCs/>
                      <w:szCs w:val="21"/>
                    </w:rPr>
                  </w:pPr>
                  <w:r>
                    <w:rPr>
                      <w:bCs/>
                      <w:szCs w:val="21"/>
                    </w:rPr>
                    <w:t>建筑面积28.8m</w:t>
                  </w:r>
                  <w:r>
                    <w:rPr>
                      <w:bCs/>
                      <w:szCs w:val="21"/>
                      <w:vertAlign w:val="superscript"/>
                    </w:rPr>
                    <w:t>2</w:t>
                  </w:r>
                  <w:r>
                    <w:rPr>
                      <w:bCs/>
                      <w:szCs w:val="21"/>
                    </w:rPr>
                    <w:t>，用于原材料储存</w:t>
                  </w:r>
                </w:p>
              </w:tc>
              <w:tc>
                <w:tcPr>
                  <w:tcW w:w="980" w:type="dxa"/>
                  <w:vMerge w:val="restart"/>
                  <w:tcBorders>
                    <w:left w:val="single" w:color="auto" w:sz="4" w:space="0"/>
                    <w:right w:val="single" w:color="auto" w:sz="4" w:space="0"/>
                  </w:tcBorders>
                  <w:vAlign w:val="center"/>
                </w:tcPr>
                <w:p>
                  <w:pPr>
                    <w:pStyle w:val="61"/>
                    <w:spacing w:before="24" w:after="24" w:line="240" w:lineRule="auto"/>
                    <w:rPr>
                      <w:rFonts w:ascii="Times New Roman" w:eastAsia="宋体"/>
                      <w:bCs/>
                      <w:szCs w:val="21"/>
                      <w:highlight w:val="yellow"/>
                    </w:rPr>
                  </w:pPr>
                  <w:r>
                    <w:rPr>
                      <w:rFonts w:ascii="Times New Roman" w:eastAsia="宋体"/>
                      <w:bCs/>
                      <w:szCs w:val="21"/>
                    </w:rPr>
                    <w:t>依托现有厂房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c>
                <w:tcPr>
                  <w:tcW w:w="2678" w:type="dxa"/>
                  <w:tcBorders>
                    <w:top w:val="single" w:color="auto" w:sz="4" w:space="0"/>
                    <w:left w:val="single" w:color="auto" w:sz="4" w:space="0"/>
                    <w:right w:val="single" w:color="auto" w:sz="4" w:space="0"/>
                  </w:tcBorders>
                  <w:vAlign w:val="center"/>
                </w:tcPr>
                <w:p>
                  <w:pPr>
                    <w:jc w:val="center"/>
                    <w:rPr>
                      <w:szCs w:val="21"/>
                    </w:rPr>
                  </w:pPr>
                  <w:r>
                    <w:rPr>
                      <w:bCs/>
                      <w:szCs w:val="21"/>
                    </w:rPr>
                    <w:t>研发仓库</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bCs/>
                      <w:szCs w:val="21"/>
                    </w:rPr>
                    <w:t>建筑面积48m</w:t>
                  </w:r>
                  <w:r>
                    <w:rPr>
                      <w:bCs/>
                      <w:szCs w:val="21"/>
                      <w:vertAlign w:val="superscript"/>
                    </w:rPr>
                    <w:t>2</w:t>
                  </w:r>
                  <w:r>
                    <w:rPr>
                      <w:bCs/>
                      <w:szCs w:val="21"/>
                    </w:rPr>
                    <w:t>，用于研发原材料储存</w:t>
                  </w:r>
                </w:p>
              </w:tc>
              <w:tc>
                <w:tcPr>
                  <w:tcW w:w="980"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restart"/>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r>
                    <w:rPr>
                      <w:rFonts w:ascii="Times New Roman" w:eastAsia="宋体"/>
                      <w:bCs/>
                      <w:szCs w:val="21"/>
                    </w:rPr>
                    <w:t>公用工程</w:t>
                  </w:r>
                </w:p>
              </w:tc>
              <w:tc>
                <w:tcPr>
                  <w:tcW w:w="2678" w:type="dxa"/>
                  <w:tcBorders>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供水</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本项目用水为市政供水管网供给，新鲜水用量为</w:t>
                  </w:r>
                  <w:r>
                    <w:rPr>
                      <w:rFonts w:hint="eastAsia"/>
                      <w:szCs w:val="21"/>
                    </w:rPr>
                    <w:t>3.933</w:t>
                  </w:r>
                  <w:r>
                    <w:rPr>
                      <w:szCs w:val="21"/>
                    </w:rPr>
                    <w:t>m</w:t>
                  </w:r>
                  <w:r>
                    <w:rPr>
                      <w:szCs w:val="21"/>
                      <w:vertAlign w:val="superscript"/>
                    </w:rPr>
                    <w:t>3</w:t>
                  </w:r>
                  <w:r>
                    <w:rPr>
                      <w:szCs w:val="21"/>
                    </w:rPr>
                    <w:t>/d（</w:t>
                  </w:r>
                  <w:r>
                    <w:rPr>
                      <w:rFonts w:hint="eastAsia"/>
                      <w:szCs w:val="21"/>
                    </w:rPr>
                    <w:t>1022.398</w:t>
                  </w:r>
                  <w:r>
                    <w:rPr>
                      <w:szCs w:val="21"/>
                    </w:rPr>
                    <w:t>m</w:t>
                  </w:r>
                  <w:r>
                    <w:rPr>
                      <w:szCs w:val="21"/>
                      <w:vertAlign w:val="superscript"/>
                    </w:rPr>
                    <w:t>3</w:t>
                  </w:r>
                  <w:r>
                    <w:rPr>
                      <w:szCs w:val="21"/>
                    </w:rPr>
                    <w:t>/a）。主要为职工生活用水、</w:t>
                  </w:r>
                  <w:r>
                    <w:rPr>
                      <w:rFonts w:hint="eastAsia"/>
                      <w:szCs w:val="21"/>
                    </w:rPr>
                    <w:t>盐酸配比用水</w:t>
                  </w:r>
                  <w:r>
                    <w:rPr>
                      <w:szCs w:val="21"/>
                    </w:rPr>
                    <w:t>、</w:t>
                  </w:r>
                  <w:r>
                    <w:rPr>
                      <w:rFonts w:hint="eastAsia"/>
                      <w:szCs w:val="21"/>
                    </w:rPr>
                    <w:t>酸洗后</w:t>
                  </w:r>
                  <w:r>
                    <w:rPr>
                      <w:szCs w:val="21"/>
                    </w:rPr>
                    <w:t>清洗用水和实验用水。</w:t>
                  </w:r>
                </w:p>
              </w:tc>
              <w:tc>
                <w:tcPr>
                  <w:tcW w:w="980" w:type="dxa"/>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r>
                    <w:rPr>
                      <w:rFonts w:ascii="Times New Roman" w:eastAsia="宋体"/>
                      <w:bCs/>
                      <w:szCs w:val="21"/>
                    </w:rPr>
                    <w:t>依托现有供水管网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p>
              </w:tc>
              <w:tc>
                <w:tcPr>
                  <w:tcW w:w="2678" w:type="dxa"/>
                  <w:tcBorders>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排水</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本项目采用雨、污分流的排水体制。雨水进入市政雨水管网，废水</w:t>
                  </w:r>
                  <w:r>
                    <w:rPr>
                      <w:rFonts w:hint="eastAsia"/>
                      <w:szCs w:val="21"/>
                    </w:rPr>
                    <w:t>处理</w:t>
                  </w:r>
                  <w:r>
                    <w:rPr>
                      <w:szCs w:val="21"/>
                    </w:rPr>
                    <w:t>达到</w:t>
                  </w:r>
                  <w:r>
                    <w:rPr>
                      <w:rFonts w:hint="eastAsia"/>
                      <w:szCs w:val="21"/>
                    </w:rPr>
                    <w:t>《电子工业水污染物排放标准》（GB39731 -2020）和</w:t>
                  </w:r>
                  <w:r>
                    <w:rPr>
                      <w:szCs w:val="21"/>
                    </w:rPr>
                    <w:t>西部组团污水处理厂接管标准后，排入高新区市政污水管网，最终进入西部组团污水处理厂。项目废水经西部组团污水处理厂处理后，处理达到《巢湖流域城镇污水处理厂和工业行业主要水污染排放限值》（DB34/2710-2016）要求后排入派河。</w:t>
                  </w:r>
                </w:p>
              </w:tc>
              <w:tc>
                <w:tcPr>
                  <w:tcW w:w="980" w:type="dxa"/>
                  <w:tcBorders>
                    <w:left w:val="single" w:color="auto" w:sz="4" w:space="0"/>
                    <w:right w:val="single" w:color="auto" w:sz="4" w:space="0"/>
                  </w:tcBorders>
                  <w:vAlign w:val="center"/>
                </w:tcPr>
                <w:p>
                  <w:pPr>
                    <w:pStyle w:val="61"/>
                    <w:spacing w:before="24" w:after="24" w:line="240" w:lineRule="auto"/>
                    <w:rPr>
                      <w:rFonts w:ascii="Times New Roman" w:eastAsia="宋体"/>
                      <w:bCs/>
                      <w:szCs w:val="21"/>
                    </w:rPr>
                  </w:pPr>
                  <w:r>
                    <w:rPr>
                      <w:rFonts w:ascii="Times New Roman" w:eastAsia="宋体"/>
                      <w:bCs/>
                      <w:szCs w:val="21"/>
                    </w:rPr>
                    <w:t>化粪池、雨污管网依托</w:t>
                  </w:r>
                  <w:r>
                    <w:rPr>
                      <w:rFonts w:hint="eastAsia" w:ascii="Times New Roman" w:eastAsia="宋体"/>
                      <w:bCs/>
                      <w:szCs w:val="21"/>
                    </w:rPr>
                    <w:t>园区</w:t>
                  </w:r>
                  <w:r>
                    <w:rPr>
                      <w:rFonts w:ascii="Times New Roman" w:eastAsia="宋体"/>
                      <w:bCs/>
                      <w:szCs w:val="21"/>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bottom w:val="single" w:color="auto" w:sz="4" w:space="0"/>
                    <w:right w:val="single" w:color="auto" w:sz="4" w:space="0"/>
                  </w:tcBorders>
                  <w:vAlign w:val="center"/>
                </w:tcPr>
                <w:p>
                  <w:pPr>
                    <w:jc w:val="center"/>
                    <w:rPr>
                      <w:bCs/>
                      <w:szCs w:val="21"/>
                      <w:highlight w:val="green"/>
                    </w:rPr>
                  </w:pPr>
                </w:p>
              </w:tc>
              <w:tc>
                <w:tcPr>
                  <w:tcW w:w="2678" w:type="dxa"/>
                  <w:tcBorders>
                    <w:top w:val="single" w:color="auto" w:sz="4" w:space="0"/>
                    <w:left w:val="single" w:color="auto" w:sz="4" w:space="0"/>
                    <w:right w:val="single" w:color="auto" w:sz="4" w:space="0"/>
                  </w:tcBorders>
                  <w:vAlign w:val="center"/>
                </w:tcPr>
                <w:p>
                  <w:pPr>
                    <w:jc w:val="center"/>
                    <w:rPr>
                      <w:bCs/>
                      <w:szCs w:val="21"/>
                    </w:rPr>
                  </w:pPr>
                  <w:r>
                    <w:rPr>
                      <w:bCs/>
                      <w:szCs w:val="21"/>
                    </w:rPr>
                    <w:t>供电</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jc w:val="left"/>
                    <w:rPr>
                      <w:bCs/>
                      <w:szCs w:val="21"/>
                    </w:rPr>
                  </w:pPr>
                  <w:r>
                    <w:rPr>
                      <w:bCs/>
                      <w:szCs w:val="21"/>
                    </w:rPr>
                    <w:t>本项目用电由市政供电管网供应。</w:t>
                  </w:r>
                </w:p>
              </w:tc>
              <w:tc>
                <w:tcPr>
                  <w:tcW w:w="9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r>
                    <w:rPr>
                      <w:kern w:val="0"/>
                      <w:szCs w:val="21"/>
                    </w:rPr>
                    <w:t>依托现有供电管网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restart"/>
                  <w:tcBorders>
                    <w:top w:val="single" w:color="auto" w:sz="4" w:space="0"/>
                    <w:left w:val="single" w:color="auto" w:sz="4" w:space="0"/>
                    <w:right w:val="single" w:color="auto" w:sz="4" w:space="0"/>
                  </w:tcBorders>
                  <w:vAlign w:val="center"/>
                </w:tcPr>
                <w:p>
                  <w:pPr>
                    <w:pStyle w:val="61"/>
                    <w:spacing w:before="24" w:after="24" w:line="240" w:lineRule="auto"/>
                    <w:rPr>
                      <w:rFonts w:ascii="Times New Roman" w:eastAsia="宋体"/>
                      <w:bCs/>
                      <w:szCs w:val="21"/>
                      <w:highlight w:val="green"/>
                    </w:rPr>
                  </w:pPr>
                  <w:r>
                    <w:rPr>
                      <w:rFonts w:ascii="Times New Roman" w:eastAsia="宋体"/>
                      <w:bCs/>
                      <w:szCs w:val="21"/>
                    </w:rPr>
                    <w:t>环保工程</w:t>
                  </w:r>
                </w:p>
              </w:tc>
              <w:tc>
                <w:tcPr>
                  <w:tcW w:w="2678" w:type="dxa"/>
                  <w:tcBorders>
                    <w:top w:val="single" w:color="auto" w:sz="4" w:space="0"/>
                    <w:left w:val="single" w:color="auto" w:sz="4" w:space="0"/>
                    <w:right w:val="single" w:color="auto" w:sz="4" w:space="0"/>
                  </w:tcBorders>
                  <w:vAlign w:val="center"/>
                </w:tcPr>
                <w:p>
                  <w:pPr>
                    <w:pStyle w:val="61"/>
                    <w:spacing w:before="24" w:after="24" w:line="240" w:lineRule="auto"/>
                    <w:rPr>
                      <w:rFonts w:ascii="Times New Roman" w:eastAsia="宋体"/>
                      <w:bCs/>
                      <w:szCs w:val="21"/>
                    </w:rPr>
                  </w:pPr>
                  <w:r>
                    <w:rPr>
                      <w:rFonts w:ascii="Times New Roman" w:eastAsia="宋体"/>
                      <w:bCs/>
                      <w:szCs w:val="21"/>
                    </w:rPr>
                    <w:t>废气</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pStyle w:val="71"/>
                    <w:widowControl/>
                    <w:snapToGrid/>
                    <w:jc w:val="left"/>
                    <w:rPr>
                      <w:bCs/>
                      <w:color w:val="auto"/>
                    </w:rPr>
                  </w:pPr>
                  <w:r>
                    <w:rPr>
                      <w:bCs/>
                      <w:color w:val="auto"/>
                    </w:rPr>
                    <w:t>本项目废气主要为</w:t>
                  </w:r>
                  <w:r>
                    <w:rPr>
                      <w:rFonts w:hint="eastAsia"/>
                      <w:bCs/>
                      <w:color w:val="auto"/>
                    </w:rPr>
                    <w:t>电极片生产过程中喷砂产生的粉尘，酸洗产生的酸洗</w:t>
                  </w:r>
                  <w:r>
                    <w:rPr>
                      <w:bCs/>
                      <w:color w:val="auto"/>
                    </w:rPr>
                    <w:t>废气</w:t>
                  </w:r>
                  <w:r>
                    <w:rPr>
                      <w:rFonts w:hint="eastAsia"/>
                      <w:bCs/>
                      <w:color w:val="auto"/>
                    </w:rPr>
                    <w:t>，涂覆及低温烘干过程产生的酸性废气和有机废气</w:t>
                  </w:r>
                  <w:r>
                    <w:rPr>
                      <w:bCs/>
                      <w:color w:val="auto"/>
                    </w:rPr>
                    <w:t>；</w:t>
                  </w:r>
                  <w:r>
                    <w:rPr>
                      <w:rFonts w:hint="eastAsia"/>
                      <w:bCs/>
                      <w:color w:val="auto"/>
                    </w:rPr>
                    <w:t>实验室研发过程产生的有机废气</w:t>
                  </w:r>
                  <w:r>
                    <w:rPr>
                      <w:bCs/>
                      <w:color w:val="auto"/>
                    </w:rPr>
                    <w:t>。</w:t>
                  </w:r>
                </w:p>
                <w:p>
                  <w:pPr>
                    <w:pStyle w:val="71"/>
                    <w:widowControl/>
                    <w:snapToGrid/>
                    <w:jc w:val="both"/>
                    <w:rPr>
                      <w:bCs/>
                      <w:color w:val="auto"/>
                    </w:rPr>
                  </w:pPr>
                  <w:r>
                    <w:rPr>
                      <w:bCs/>
                      <w:color w:val="auto"/>
                    </w:rPr>
                    <w:t>①</w:t>
                  </w:r>
                  <w:r>
                    <w:rPr>
                      <w:rFonts w:hint="eastAsia"/>
                      <w:bCs/>
                      <w:color w:val="auto"/>
                    </w:rPr>
                    <w:t>喷砂产生的粉尘通过设备自带除尘器处理后，车间内无组织排放，此过程粉尘产生量较小</w:t>
                  </w:r>
                  <w:r>
                    <w:rPr>
                      <w:bCs/>
                      <w:color w:val="auto"/>
                    </w:rPr>
                    <w:t>；</w:t>
                  </w:r>
                </w:p>
                <w:p>
                  <w:pPr>
                    <w:pStyle w:val="71"/>
                    <w:widowControl/>
                    <w:snapToGrid/>
                    <w:jc w:val="left"/>
                    <w:rPr>
                      <w:bCs/>
                      <w:color w:val="auto"/>
                    </w:rPr>
                  </w:pPr>
                  <w:r>
                    <w:rPr>
                      <w:bCs/>
                      <w:color w:val="auto"/>
                    </w:rPr>
                    <w:t>②</w:t>
                  </w:r>
                  <w:r>
                    <w:rPr>
                      <w:rFonts w:hint="eastAsia"/>
                      <w:bCs/>
                      <w:color w:val="auto"/>
                    </w:rPr>
                    <w:t>酸洗产生的酸性废气</w:t>
                  </w:r>
                  <w:r>
                    <w:rPr>
                      <w:bCs/>
                      <w:color w:val="auto"/>
                    </w:rPr>
                    <w:t>由</w:t>
                  </w:r>
                  <w:r>
                    <w:rPr>
                      <w:rFonts w:hint="eastAsia"/>
                      <w:bCs/>
                      <w:color w:val="auto"/>
                    </w:rPr>
                    <w:t>酸洗池上方集气罩收集后通过</w:t>
                  </w:r>
                  <w:r>
                    <w:rPr>
                      <w:bCs/>
                      <w:color w:val="auto"/>
                    </w:rPr>
                    <w:t>管道与</w:t>
                  </w:r>
                  <w:r>
                    <w:rPr>
                      <w:rFonts w:hint="eastAsia"/>
                      <w:bCs/>
                      <w:color w:val="auto"/>
                    </w:rPr>
                    <w:t>生产1区域涂覆及低温烘干过程产生的酸性废气和有机废气经密闭车间负压收集后</w:t>
                  </w:r>
                  <w:r>
                    <w:rPr>
                      <w:bCs/>
                      <w:color w:val="auto"/>
                    </w:rPr>
                    <w:t>共用</w:t>
                  </w:r>
                  <w:r>
                    <w:rPr>
                      <w:rFonts w:hint="eastAsia"/>
                      <w:bCs/>
                      <w:color w:val="auto"/>
                    </w:rPr>
                    <w:t>1套碱喷淋塔+</w:t>
                  </w:r>
                  <w:r>
                    <w:rPr>
                      <w:rFonts w:hint="eastAsia"/>
                      <w:bCs/>
                      <w:color w:val="auto"/>
                      <w:lang w:eastAsia="zh-CN"/>
                    </w:rPr>
                    <w:t>除湿棉</w:t>
                  </w:r>
                  <w:r>
                    <w:rPr>
                      <w:rFonts w:hint="eastAsia"/>
                      <w:bCs/>
                      <w:color w:val="auto"/>
                    </w:rPr>
                    <w:t>+二级活性炭吸附装置</w:t>
                  </w:r>
                  <w:r>
                    <w:rPr>
                      <w:bCs/>
                      <w:color w:val="auto"/>
                    </w:rPr>
                    <w:t>处理后</w:t>
                  </w:r>
                  <w:r>
                    <w:rPr>
                      <w:rFonts w:hint="eastAsia"/>
                      <w:bCs/>
                      <w:color w:val="auto"/>
                    </w:rPr>
                    <w:t>通过楼顶22.5m高</w:t>
                  </w:r>
                  <w:r>
                    <w:rPr>
                      <w:bCs/>
                      <w:color w:val="auto"/>
                    </w:rPr>
                    <w:t>排气筒排放（DA001）</w:t>
                  </w:r>
                  <w:r>
                    <w:rPr>
                      <w:rFonts w:hint="eastAsia"/>
                      <w:bCs/>
                      <w:color w:val="auto"/>
                    </w:rPr>
                    <w:t>；</w:t>
                  </w:r>
                </w:p>
                <w:p>
                  <w:pPr>
                    <w:pStyle w:val="71"/>
                    <w:widowControl/>
                    <w:snapToGrid/>
                    <w:jc w:val="both"/>
                    <w:rPr>
                      <w:bCs/>
                      <w:color w:val="auto"/>
                    </w:rPr>
                  </w:pPr>
                  <w:r>
                    <w:rPr>
                      <w:bCs/>
                      <w:color w:val="auto"/>
                    </w:rPr>
                    <w:t>③</w:t>
                  </w:r>
                  <w:r>
                    <w:rPr>
                      <w:rFonts w:hint="eastAsia"/>
                      <w:bCs/>
                      <w:color w:val="auto"/>
                    </w:rPr>
                    <w:t>实验室产生的有机废气通过万向集气罩收集后</w:t>
                  </w:r>
                  <w:r>
                    <w:rPr>
                      <w:bCs/>
                      <w:color w:val="auto"/>
                    </w:rPr>
                    <w:t>与</w:t>
                  </w:r>
                  <w:r>
                    <w:rPr>
                      <w:rFonts w:hint="eastAsia"/>
                      <w:bCs/>
                      <w:color w:val="auto"/>
                    </w:rPr>
                    <w:t>生产1区域废气</w:t>
                  </w:r>
                  <w:r>
                    <w:rPr>
                      <w:bCs/>
                      <w:color w:val="auto"/>
                    </w:rPr>
                    <w:t>共用</w:t>
                  </w:r>
                  <w:r>
                    <w:rPr>
                      <w:rFonts w:hint="eastAsia"/>
                      <w:bCs/>
                      <w:color w:val="auto"/>
                    </w:rPr>
                    <w:t>1套碱喷淋塔+</w:t>
                  </w:r>
                  <w:r>
                    <w:rPr>
                      <w:rFonts w:hint="eastAsia"/>
                      <w:bCs/>
                      <w:color w:val="auto"/>
                      <w:lang w:eastAsia="zh-CN"/>
                    </w:rPr>
                    <w:t>除湿棉</w:t>
                  </w:r>
                  <w:r>
                    <w:rPr>
                      <w:rFonts w:hint="eastAsia"/>
                      <w:bCs/>
                      <w:color w:val="auto"/>
                    </w:rPr>
                    <w:t>+二级活性炭吸附装置</w:t>
                  </w:r>
                  <w:r>
                    <w:rPr>
                      <w:bCs/>
                      <w:color w:val="auto"/>
                    </w:rPr>
                    <w:t>处理后</w:t>
                  </w:r>
                  <w:r>
                    <w:rPr>
                      <w:rFonts w:hint="eastAsia"/>
                      <w:bCs/>
                      <w:color w:val="auto"/>
                    </w:rPr>
                    <w:t>通过楼顶22.5m高</w:t>
                  </w:r>
                  <w:r>
                    <w:rPr>
                      <w:bCs/>
                      <w:color w:val="auto"/>
                    </w:rPr>
                    <w:t>排气筒排放（DA001）；</w:t>
                  </w:r>
                </w:p>
              </w:tc>
              <w:tc>
                <w:tcPr>
                  <w:tcW w:w="980" w:type="dxa"/>
                  <w:tcBorders>
                    <w:top w:val="single" w:color="auto" w:sz="4" w:space="0"/>
                    <w:left w:val="single" w:color="auto" w:sz="4" w:space="0"/>
                    <w:bottom w:val="single" w:color="auto" w:sz="4" w:space="0"/>
                    <w:right w:val="single" w:color="auto" w:sz="4" w:space="0"/>
                  </w:tcBorders>
                  <w:vAlign w:val="center"/>
                </w:tcPr>
                <w:p>
                  <w:pPr>
                    <w:pStyle w:val="71"/>
                    <w:widowControl/>
                    <w:snapToGrid/>
                    <w:rPr>
                      <w:bCs/>
                      <w:color w:val="auto"/>
                    </w:rPr>
                  </w:pPr>
                  <w:r>
                    <w:rPr>
                      <w:bCs/>
                      <w:color w:val="auto"/>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jc w:val="center"/>
                    <w:rPr>
                      <w:bCs/>
                      <w:szCs w:val="21"/>
                      <w:highlight w:val="green"/>
                    </w:rPr>
                  </w:pPr>
                </w:p>
              </w:tc>
              <w:tc>
                <w:tcPr>
                  <w:tcW w:w="2678" w:type="dxa"/>
                  <w:tcBorders>
                    <w:top w:val="single" w:color="auto" w:sz="4" w:space="0"/>
                    <w:left w:val="single" w:color="auto" w:sz="4" w:space="0"/>
                    <w:bottom w:val="single" w:color="auto" w:sz="4" w:space="0"/>
                    <w:right w:val="single" w:color="auto" w:sz="4" w:space="0"/>
                  </w:tcBorders>
                  <w:vAlign w:val="center"/>
                </w:tcPr>
                <w:p>
                  <w:pPr>
                    <w:pStyle w:val="61"/>
                    <w:spacing w:before="24" w:after="24" w:line="240" w:lineRule="auto"/>
                    <w:rPr>
                      <w:rFonts w:ascii="Times New Roman" w:eastAsia="宋体"/>
                      <w:bCs/>
                      <w:szCs w:val="21"/>
                    </w:rPr>
                  </w:pPr>
                  <w:r>
                    <w:rPr>
                      <w:rFonts w:ascii="Times New Roman" w:eastAsia="宋体"/>
                      <w:bCs/>
                      <w:szCs w:val="21"/>
                    </w:rPr>
                    <w:t>废水</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rPr>
                      <w:bCs/>
                      <w:szCs w:val="21"/>
                    </w:rPr>
                  </w:pPr>
                  <w:r>
                    <w:rPr>
                      <w:rFonts w:hint="eastAsia"/>
                      <w:szCs w:val="21"/>
                      <w:lang w:eastAsia="zh-CN"/>
                    </w:rPr>
                    <w:t>办公</w:t>
                  </w:r>
                  <w:r>
                    <w:rPr>
                      <w:szCs w:val="21"/>
                    </w:rPr>
                    <w:t>生活污水</w:t>
                  </w:r>
                  <w:r>
                    <w:rPr>
                      <w:rFonts w:hint="eastAsia"/>
                      <w:szCs w:val="21"/>
                    </w:rPr>
                    <w:t>与车间保洁废水</w:t>
                  </w:r>
                  <w:r>
                    <w:rPr>
                      <w:szCs w:val="21"/>
                    </w:rPr>
                    <w:t>经</w:t>
                  </w:r>
                  <w:r>
                    <w:rPr>
                      <w:rFonts w:hint="eastAsia"/>
                      <w:szCs w:val="21"/>
                    </w:rPr>
                    <w:t>园区</w:t>
                  </w:r>
                  <w:r>
                    <w:rPr>
                      <w:szCs w:val="21"/>
                    </w:rPr>
                    <w:t>现有化粪池预处理后满足</w:t>
                  </w:r>
                  <w:r>
                    <w:rPr>
                      <w:rFonts w:hint="eastAsia"/>
                      <w:szCs w:val="21"/>
                    </w:rPr>
                    <w:t>《电子工业水污染物排放标准》（GB39731-2020）和</w:t>
                  </w:r>
                  <w:r>
                    <w:rPr>
                      <w:szCs w:val="21"/>
                    </w:rPr>
                    <w:t>西部组团污水处理厂接管标准经市政污水管网进入西部组团污水处理厂深度处理后最终排入派河</w:t>
                  </w:r>
                </w:p>
              </w:tc>
              <w:tc>
                <w:tcPr>
                  <w:tcW w:w="980"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依托园区现有化粪池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jc w:val="center"/>
                    <w:rPr>
                      <w:bCs/>
                      <w:szCs w:val="21"/>
                      <w:highlight w:val="green"/>
                    </w:rPr>
                  </w:pPr>
                </w:p>
              </w:tc>
              <w:tc>
                <w:tcPr>
                  <w:tcW w:w="2678" w:type="dxa"/>
                  <w:tcBorders>
                    <w:top w:val="single" w:color="auto" w:sz="4" w:space="0"/>
                    <w:left w:val="single" w:color="auto" w:sz="4" w:space="0"/>
                    <w:bottom w:val="single" w:color="auto" w:sz="4" w:space="0"/>
                    <w:right w:val="single" w:color="auto" w:sz="4" w:space="0"/>
                  </w:tcBorders>
                  <w:vAlign w:val="center"/>
                </w:tcPr>
                <w:p>
                  <w:pPr>
                    <w:pStyle w:val="61"/>
                    <w:spacing w:before="24" w:after="24" w:line="240" w:lineRule="auto"/>
                    <w:rPr>
                      <w:rFonts w:ascii="Times New Roman" w:eastAsia="宋体"/>
                      <w:bCs/>
                      <w:szCs w:val="21"/>
                    </w:rPr>
                  </w:pPr>
                  <w:r>
                    <w:rPr>
                      <w:rFonts w:ascii="Times New Roman" w:eastAsia="宋体"/>
                      <w:bCs/>
                      <w:szCs w:val="21"/>
                    </w:rPr>
                    <w:t>噪声</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jc w:val="left"/>
                    <w:rPr>
                      <w:bCs/>
                      <w:szCs w:val="21"/>
                    </w:rPr>
                  </w:pPr>
                  <w:r>
                    <w:rPr>
                      <w:bCs/>
                      <w:szCs w:val="21"/>
                    </w:rPr>
                    <w:t>对噪声较高的设备采取厂房隔声和基础减振等措施；同时合理布置厂区功能；</w:t>
                  </w:r>
                </w:p>
              </w:tc>
              <w:tc>
                <w:tcPr>
                  <w:tcW w:w="980"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7" w:type="dxa"/>
                  <w:vMerge w:val="continue"/>
                  <w:tcBorders>
                    <w:left w:val="single" w:color="auto" w:sz="4" w:space="0"/>
                    <w:right w:val="single" w:color="auto" w:sz="4" w:space="0"/>
                  </w:tcBorders>
                  <w:vAlign w:val="center"/>
                </w:tcPr>
                <w:p>
                  <w:pPr>
                    <w:jc w:val="center"/>
                    <w:rPr>
                      <w:bCs/>
                      <w:szCs w:val="21"/>
                      <w:highlight w:val="green"/>
                    </w:rPr>
                  </w:pPr>
                </w:p>
              </w:tc>
              <w:tc>
                <w:tcPr>
                  <w:tcW w:w="2678" w:type="dxa"/>
                  <w:tcBorders>
                    <w:top w:val="single" w:color="auto" w:sz="4" w:space="0"/>
                    <w:left w:val="single" w:color="auto" w:sz="4" w:space="0"/>
                    <w:bottom w:val="single" w:color="auto" w:sz="4" w:space="0"/>
                    <w:right w:val="single" w:color="auto" w:sz="4" w:space="0"/>
                  </w:tcBorders>
                  <w:vAlign w:val="center"/>
                </w:tcPr>
                <w:p>
                  <w:pPr>
                    <w:pStyle w:val="61"/>
                    <w:spacing w:before="24" w:after="24" w:line="240" w:lineRule="auto"/>
                    <w:rPr>
                      <w:rFonts w:ascii="Times New Roman" w:eastAsia="宋体"/>
                      <w:bCs/>
                      <w:szCs w:val="21"/>
                    </w:rPr>
                  </w:pPr>
                  <w:r>
                    <w:rPr>
                      <w:rFonts w:ascii="Times New Roman" w:eastAsia="宋体"/>
                      <w:bCs/>
                      <w:szCs w:val="21"/>
                    </w:rPr>
                    <w:t>固废</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pStyle w:val="71"/>
                    <w:widowControl/>
                    <w:snapToGrid/>
                    <w:jc w:val="both"/>
                    <w:rPr>
                      <w:color w:val="auto"/>
                    </w:rPr>
                  </w:pPr>
                  <w:r>
                    <w:rPr>
                      <w:color w:val="auto"/>
                    </w:rPr>
                    <w:t>拟建项目产生的一般固体废物主要有职工生活垃圾、废包装材料（未沾染危险品）、废过滤介质、</w:t>
                  </w:r>
                  <w:r>
                    <w:rPr>
                      <w:rFonts w:hint="eastAsia"/>
                      <w:color w:val="auto"/>
                    </w:rPr>
                    <w:t>边角料及</w:t>
                  </w:r>
                  <w:r>
                    <w:rPr>
                      <w:color w:val="auto"/>
                    </w:rPr>
                    <w:t>不合格品；危险废物主要为废包装材料（直接沾染危险品）、设备清洗废液、实验废液、</w:t>
                  </w:r>
                  <w:r>
                    <w:rPr>
                      <w:rFonts w:hint="eastAsia"/>
                      <w:color w:val="auto"/>
                    </w:rPr>
                    <w:t>喷淋塔废液、</w:t>
                  </w:r>
                  <w:r>
                    <w:rPr>
                      <w:color w:val="auto"/>
                    </w:rPr>
                    <w:t>废气吸附装置更换的</w:t>
                  </w:r>
                  <w:r>
                    <w:rPr>
                      <w:rFonts w:hint="eastAsia"/>
                      <w:color w:val="auto"/>
                    </w:rPr>
                    <w:t>废</w:t>
                  </w:r>
                  <w:r>
                    <w:rPr>
                      <w:rFonts w:hint="eastAsia"/>
                      <w:color w:val="auto"/>
                      <w:lang w:eastAsia="zh-CN"/>
                    </w:rPr>
                    <w:t>除湿棉</w:t>
                  </w:r>
                  <w:r>
                    <w:rPr>
                      <w:rFonts w:hint="eastAsia"/>
                      <w:color w:val="auto"/>
                    </w:rPr>
                    <w:t>、</w:t>
                  </w:r>
                  <w:r>
                    <w:rPr>
                      <w:color w:val="auto"/>
                    </w:rPr>
                    <w:t>废活性炭。</w:t>
                  </w:r>
                  <w:r>
                    <w:rPr>
                      <w:rFonts w:hint="eastAsia"/>
                      <w:color w:val="auto"/>
                    </w:rPr>
                    <w:t>危废间</w:t>
                  </w:r>
                  <w:r>
                    <w:rPr>
                      <w:color w:val="auto"/>
                    </w:rPr>
                    <w:t>位于</w:t>
                  </w:r>
                  <w:r>
                    <w:rPr>
                      <w:rFonts w:hint="eastAsia"/>
                      <w:color w:val="auto"/>
                    </w:rPr>
                    <w:t>2C-3（2号楼3楼C区）中部西</w:t>
                  </w:r>
                  <w:r>
                    <w:rPr>
                      <w:color w:val="auto"/>
                    </w:rPr>
                    <w:t>侧，建筑面积为</w:t>
                  </w:r>
                  <w:r>
                    <w:rPr>
                      <w:rFonts w:hint="eastAsia"/>
                      <w:color w:val="auto"/>
                    </w:rPr>
                    <w:t>20</w:t>
                  </w:r>
                  <w:r>
                    <w:rPr>
                      <w:color w:val="auto"/>
                    </w:rPr>
                    <w:t>m</w:t>
                  </w:r>
                  <w:r>
                    <w:rPr>
                      <w:color w:val="auto"/>
                      <w:vertAlign w:val="superscript"/>
                    </w:rPr>
                    <w:t>2</w:t>
                  </w:r>
                  <w:r>
                    <w:rPr>
                      <w:color w:val="auto"/>
                    </w:rPr>
                    <w:t>，主要用于危险固废在厂区的临时暂存场所</w:t>
                  </w:r>
                  <w:r>
                    <w:rPr>
                      <w:rFonts w:hint="eastAsia"/>
                      <w:color w:val="auto"/>
                    </w:rPr>
                    <w:t>。</w:t>
                  </w:r>
                </w:p>
                <w:p>
                  <w:pPr>
                    <w:pStyle w:val="71"/>
                    <w:widowControl/>
                    <w:snapToGrid/>
                    <w:jc w:val="both"/>
                    <w:rPr>
                      <w:color w:val="auto"/>
                    </w:rPr>
                  </w:pPr>
                  <w:r>
                    <w:rPr>
                      <w:color w:val="auto"/>
                    </w:rPr>
                    <w:t>①生活垃圾：由企业集中收集，交由当地环卫部门统一清运处理；</w:t>
                  </w:r>
                </w:p>
                <w:p>
                  <w:pPr>
                    <w:pStyle w:val="71"/>
                    <w:widowControl/>
                    <w:snapToGrid/>
                    <w:jc w:val="both"/>
                    <w:rPr>
                      <w:color w:val="auto"/>
                    </w:rPr>
                  </w:pPr>
                  <w:r>
                    <w:rPr>
                      <w:color w:val="auto"/>
                    </w:rPr>
                    <w:t>②废包装材料（未沾染危险品）：收集后由物资公司回收再利用；</w:t>
                  </w:r>
                </w:p>
                <w:p>
                  <w:pPr>
                    <w:pStyle w:val="71"/>
                    <w:widowControl/>
                    <w:snapToGrid/>
                    <w:jc w:val="both"/>
                    <w:rPr>
                      <w:color w:val="auto"/>
                    </w:rPr>
                  </w:pPr>
                  <w:r>
                    <w:rPr>
                      <w:rFonts w:hint="eastAsia" w:ascii="宋体" w:hAnsi="宋体" w:cs="宋体"/>
                      <w:color w:val="auto"/>
                    </w:rPr>
                    <w:t>③</w:t>
                  </w:r>
                  <w:r>
                    <w:rPr>
                      <w:rFonts w:hint="eastAsia"/>
                      <w:color w:val="auto"/>
                    </w:rPr>
                    <w:t>不合格品：收集后</w:t>
                  </w:r>
                  <w:r>
                    <w:rPr>
                      <w:rFonts w:hint="eastAsia"/>
                      <w:color w:val="auto"/>
                      <w:lang w:eastAsia="zh-CN"/>
                    </w:rPr>
                    <w:t>委托有资质单位处置</w:t>
                  </w:r>
                  <w:r>
                    <w:rPr>
                      <w:rFonts w:hint="eastAsia"/>
                      <w:color w:val="auto"/>
                    </w:rPr>
                    <w:t>；</w:t>
                  </w:r>
                </w:p>
                <w:p>
                  <w:pPr>
                    <w:pStyle w:val="71"/>
                    <w:widowControl/>
                    <w:snapToGrid/>
                    <w:jc w:val="both"/>
                    <w:rPr>
                      <w:bCs/>
                      <w:color w:val="auto"/>
                    </w:rPr>
                  </w:pPr>
                  <w:r>
                    <w:rPr>
                      <w:rFonts w:hint="eastAsia" w:ascii="宋体" w:hAnsi="宋体" w:cs="宋体"/>
                      <w:color w:val="auto"/>
                    </w:rPr>
                    <w:t>④</w:t>
                  </w:r>
                  <w:r>
                    <w:rPr>
                      <w:color w:val="auto"/>
                    </w:rPr>
                    <w:t>废包装材料（直接沾染危险品）、清洗废液、实验废液、</w:t>
                  </w:r>
                  <w:r>
                    <w:rPr>
                      <w:rFonts w:hint="eastAsia"/>
                      <w:color w:val="auto"/>
                    </w:rPr>
                    <w:t>喷淋塔废液、废</w:t>
                  </w:r>
                  <w:r>
                    <w:rPr>
                      <w:rFonts w:hint="eastAsia"/>
                      <w:color w:val="auto"/>
                      <w:lang w:eastAsia="zh-CN"/>
                    </w:rPr>
                    <w:t>除湿棉</w:t>
                  </w:r>
                  <w:r>
                    <w:rPr>
                      <w:rFonts w:hint="eastAsia"/>
                      <w:color w:val="auto"/>
                    </w:rPr>
                    <w:t>、</w:t>
                  </w:r>
                  <w:r>
                    <w:rPr>
                      <w:color w:val="auto"/>
                    </w:rPr>
                    <w:t>废活性炭：由企业集中收集后储存于危废间，定期委托有资质单位处理。</w:t>
                  </w:r>
                </w:p>
              </w:tc>
              <w:tc>
                <w:tcPr>
                  <w:tcW w:w="980" w:type="dxa"/>
                  <w:tcBorders>
                    <w:top w:val="single" w:color="auto" w:sz="4" w:space="0"/>
                    <w:left w:val="single" w:color="auto" w:sz="4" w:space="0"/>
                    <w:bottom w:val="single" w:color="auto" w:sz="4" w:space="0"/>
                    <w:right w:val="single" w:color="auto" w:sz="4" w:space="0"/>
                  </w:tcBorders>
                  <w:vAlign w:val="center"/>
                </w:tcPr>
                <w:p>
                  <w:pPr>
                    <w:pStyle w:val="71"/>
                    <w:widowControl/>
                    <w:snapToGrid/>
                    <w:rPr>
                      <w:color w:val="auto"/>
                    </w:rPr>
                  </w:pPr>
                  <w:r>
                    <w:rPr>
                      <w:color w:val="auto"/>
                    </w:rPr>
                    <w:t>新增垃圾桶、危废间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7" w:type="dxa"/>
                  <w:vMerge w:val="continue"/>
                  <w:tcBorders>
                    <w:left w:val="single" w:color="auto" w:sz="4" w:space="0"/>
                    <w:right w:val="single" w:color="auto" w:sz="4" w:space="0"/>
                  </w:tcBorders>
                  <w:vAlign w:val="center"/>
                </w:tcPr>
                <w:p>
                  <w:pPr>
                    <w:jc w:val="center"/>
                    <w:rPr>
                      <w:bCs/>
                      <w:szCs w:val="21"/>
                      <w:highlight w:val="green"/>
                    </w:rPr>
                  </w:pPr>
                </w:p>
              </w:tc>
              <w:tc>
                <w:tcPr>
                  <w:tcW w:w="2678" w:type="dxa"/>
                  <w:tcBorders>
                    <w:top w:val="single" w:color="auto" w:sz="4" w:space="0"/>
                    <w:left w:val="single" w:color="auto" w:sz="4" w:space="0"/>
                    <w:bottom w:val="single" w:color="auto" w:sz="4" w:space="0"/>
                    <w:right w:val="single" w:color="auto" w:sz="4" w:space="0"/>
                  </w:tcBorders>
                  <w:vAlign w:val="center"/>
                </w:tcPr>
                <w:p>
                  <w:pPr>
                    <w:pStyle w:val="61"/>
                    <w:spacing w:before="24" w:after="24" w:line="240" w:lineRule="auto"/>
                    <w:rPr>
                      <w:rFonts w:ascii="Times New Roman" w:eastAsia="宋体"/>
                      <w:bCs/>
                      <w:szCs w:val="21"/>
                    </w:rPr>
                  </w:pPr>
                  <w:r>
                    <w:rPr>
                      <w:rFonts w:ascii="Times New Roman" w:eastAsia="宋体"/>
                      <w:bCs/>
                      <w:szCs w:val="21"/>
                    </w:rPr>
                    <w:t>地下水</w:t>
                  </w:r>
                  <w:r>
                    <w:rPr>
                      <w:rFonts w:hint="eastAsia" w:ascii="Times New Roman" w:eastAsia="宋体"/>
                      <w:bCs/>
                      <w:szCs w:val="21"/>
                    </w:rPr>
                    <w:t>及土壤</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Cs w:val="21"/>
                      <w:lang w:eastAsia="zh-CN"/>
                    </w:rPr>
                  </w:pPr>
                  <w:r>
                    <w:rPr>
                      <w:rFonts w:hint="eastAsia"/>
                      <w:szCs w:val="21"/>
                    </w:rPr>
                    <w:t>组装区、生产2区域、生产3区域、煅烧间、研发实验室、超净间</w:t>
                  </w:r>
                  <w:r>
                    <w:rPr>
                      <w:kern w:val="0"/>
                      <w:szCs w:val="21"/>
                    </w:rPr>
                    <w:t>进行一般防渗（等效黏土防渗层Mb≥1.5m，渗透系数K≤1×10</w:t>
                  </w:r>
                  <w:r>
                    <w:rPr>
                      <w:kern w:val="0"/>
                      <w:szCs w:val="21"/>
                      <w:vertAlign w:val="superscript"/>
                    </w:rPr>
                    <w:t>-7</w:t>
                  </w:r>
                  <w:r>
                    <w:rPr>
                      <w:kern w:val="0"/>
                      <w:szCs w:val="21"/>
                    </w:rPr>
                    <w:t>cm/s</w:t>
                  </w:r>
                  <w:r>
                    <w:t>）</w:t>
                  </w:r>
                  <w:r>
                    <w:rPr>
                      <w:kern w:val="0"/>
                      <w:szCs w:val="21"/>
                    </w:rPr>
                    <w:t>；</w:t>
                  </w:r>
                  <w:r>
                    <w:rPr>
                      <w:rFonts w:hint="eastAsia"/>
                      <w:kern w:val="0"/>
                      <w:szCs w:val="21"/>
                    </w:rPr>
                    <w:t>危废间、生产1区域、原料仓库</w:t>
                  </w:r>
                  <w:r>
                    <w:rPr>
                      <w:kern w:val="0"/>
                      <w:szCs w:val="21"/>
                    </w:rPr>
                    <w:t>进行重点防渗（等效黏土防渗层Mb≥6.0m，</w:t>
                  </w:r>
                  <w:r>
                    <w:t>渗透系数</w:t>
                  </w:r>
                  <w:r>
                    <w:rPr>
                      <w:kern w:val="0"/>
                      <w:szCs w:val="21"/>
                    </w:rPr>
                    <w:t>K≤1×10</w:t>
                  </w:r>
                  <w:r>
                    <w:rPr>
                      <w:kern w:val="0"/>
                      <w:szCs w:val="21"/>
                      <w:vertAlign w:val="superscript"/>
                    </w:rPr>
                    <w:t>-10</w:t>
                  </w:r>
                  <w:r>
                    <w:rPr>
                      <w:kern w:val="0"/>
                      <w:szCs w:val="21"/>
                    </w:rPr>
                    <w:t>cm/s）</w:t>
                  </w:r>
                  <w:r>
                    <w:rPr>
                      <w:szCs w:val="21"/>
                    </w:rPr>
                    <w:t>。</w:t>
                  </w:r>
                  <w:r>
                    <w:rPr>
                      <w:rFonts w:hint="eastAsia"/>
                    </w:rPr>
                    <w:t>拟建项目位于</w:t>
                  </w:r>
                  <w:r>
                    <w:rPr>
                      <w:rFonts w:hint="eastAsia"/>
                      <w:lang w:eastAsia="zh-CN"/>
                    </w:rPr>
                    <w:t>明珠产业园</w:t>
                  </w:r>
                  <w:r>
                    <w:rPr>
                      <w:rFonts w:hint="eastAsia"/>
                    </w:rPr>
                    <w:t>2C-3（2号楼3楼C区</w:t>
                  </w:r>
                  <w:r>
                    <w:rPr>
                      <w:rFonts w:hint="eastAsia"/>
                      <w:lang w:eastAsia="zh-CN"/>
                    </w:rPr>
                    <w:t>）</w:t>
                  </w:r>
                  <w:r>
                    <w:rPr>
                      <w:rFonts w:hint="eastAsia"/>
                    </w:rPr>
                    <w:t>，不存在地下水和土壤污染途径</w:t>
                  </w:r>
                  <w:r>
                    <w:rPr>
                      <w:rFonts w:hint="eastAsia"/>
                      <w:lang w:eastAsia="zh-CN"/>
                    </w:rPr>
                    <w:t>。</w:t>
                  </w:r>
                </w:p>
              </w:tc>
              <w:tc>
                <w:tcPr>
                  <w:tcW w:w="980" w:type="dxa"/>
                  <w:tcBorders>
                    <w:top w:val="single" w:color="auto" w:sz="4" w:space="0"/>
                    <w:left w:val="single" w:color="auto" w:sz="4" w:space="0"/>
                    <w:bottom w:val="single" w:color="auto" w:sz="4" w:space="0"/>
                    <w:right w:val="single" w:color="auto" w:sz="4" w:space="0"/>
                  </w:tcBorders>
                  <w:vAlign w:val="center"/>
                </w:tcPr>
                <w:p>
                  <w:pPr>
                    <w:pStyle w:val="9"/>
                    <w:ind w:left="0" w:leftChars="0"/>
                    <w:jc w:val="center"/>
                    <w:rPr>
                      <w:sz w:val="21"/>
                      <w:szCs w:val="21"/>
                    </w:rPr>
                  </w:pPr>
                  <w:r>
                    <w:rPr>
                      <w:sz w:val="21"/>
                      <w:szCs w:val="21"/>
                    </w:rPr>
                    <w:t>新建防渗措施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7" w:type="dxa"/>
                  <w:vMerge w:val="continue"/>
                  <w:tcBorders>
                    <w:left w:val="single" w:color="auto" w:sz="4" w:space="0"/>
                    <w:right w:val="single" w:color="auto" w:sz="4" w:space="0"/>
                  </w:tcBorders>
                  <w:vAlign w:val="center"/>
                </w:tcPr>
                <w:p>
                  <w:pPr>
                    <w:jc w:val="center"/>
                    <w:rPr>
                      <w:bCs/>
                      <w:szCs w:val="21"/>
                      <w:highlight w:val="green"/>
                    </w:rPr>
                  </w:pPr>
                </w:p>
              </w:tc>
              <w:tc>
                <w:tcPr>
                  <w:tcW w:w="2678" w:type="dxa"/>
                  <w:tcBorders>
                    <w:top w:val="single" w:color="auto" w:sz="4" w:space="0"/>
                    <w:left w:val="single" w:color="auto" w:sz="4" w:space="0"/>
                    <w:bottom w:val="single" w:color="auto" w:sz="4" w:space="0"/>
                    <w:right w:val="single" w:color="auto" w:sz="4" w:space="0"/>
                  </w:tcBorders>
                  <w:vAlign w:val="center"/>
                </w:tcPr>
                <w:p>
                  <w:pPr>
                    <w:pStyle w:val="61"/>
                    <w:spacing w:before="24" w:after="24" w:line="240" w:lineRule="auto"/>
                  </w:pPr>
                  <w:r>
                    <w:rPr>
                      <w:rFonts w:hint="eastAsia" w:ascii="Times New Roman" w:eastAsia="宋体"/>
                      <w:bCs/>
                      <w:szCs w:val="21"/>
                    </w:rPr>
                    <w:t>环境风险</w:t>
                  </w:r>
                </w:p>
              </w:tc>
              <w:tc>
                <w:tcPr>
                  <w:tcW w:w="89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①建立健全危废间、</w:t>
                  </w:r>
                  <w:r>
                    <w:rPr>
                      <w:rFonts w:hint="eastAsia"/>
                      <w:kern w:val="0"/>
                      <w:szCs w:val="21"/>
                    </w:rPr>
                    <w:t>生产1区域、原料仓库</w:t>
                  </w:r>
                  <w:r>
                    <w:rPr>
                      <w:rFonts w:hint="eastAsia"/>
                    </w:rPr>
                    <w:t>的火灾防范制度，配备灭火设施；</w:t>
                  </w:r>
                </w:p>
                <w:p>
                  <w:pPr>
                    <w:adjustRightInd w:val="0"/>
                    <w:snapToGrid w:val="0"/>
                    <w:jc w:val="left"/>
                  </w:pPr>
                  <w:r>
                    <w:rPr>
                      <w:rFonts w:hint="eastAsia"/>
                    </w:rPr>
                    <w:t>②建立化学品采购、存储、厂内运输、领用、使用、废弃等全路径管理制度，防止化学品发生物料泄漏；</w:t>
                  </w:r>
                </w:p>
                <w:p>
                  <w:pPr>
                    <w:jc w:val="left"/>
                    <w:rPr>
                      <w:szCs w:val="21"/>
                      <w:lang w:val="zh-CN"/>
                    </w:rPr>
                  </w:pPr>
                  <w:r>
                    <w:rPr>
                      <w:rFonts w:hint="eastAsia"/>
                    </w:rPr>
                    <w:t>③加强对废气设施的运行管理、维护保养当废气处理措施发生故障，造成废气事故性排放，项目应立即停产，排除事故故障，待确保废气治理措施正常运转后再恢复研发生产。</w:t>
                  </w:r>
                </w:p>
              </w:tc>
              <w:tc>
                <w:tcPr>
                  <w:tcW w:w="980" w:type="dxa"/>
                  <w:tcBorders>
                    <w:top w:val="single" w:color="auto" w:sz="4" w:space="0"/>
                    <w:left w:val="single" w:color="auto" w:sz="4" w:space="0"/>
                    <w:bottom w:val="single" w:color="auto" w:sz="4" w:space="0"/>
                    <w:right w:val="single" w:color="auto" w:sz="4" w:space="0"/>
                  </w:tcBorders>
                  <w:vAlign w:val="center"/>
                </w:tcPr>
                <w:p>
                  <w:pPr>
                    <w:pStyle w:val="9"/>
                    <w:spacing w:after="0"/>
                    <w:ind w:left="0" w:leftChars="0"/>
                    <w:jc w:val="center"/>
                    <w:rPr>
                      <w:sz w:val="21"/>
                      <w:szCs w:val="21"/>
                    </w:rPr>
                  </w:pPr>
                  <w:r>
                    <w:rPr>
                      <w:rFonts w:hint="eastAsia"/>
                      <w:sz w:val="21"/>
                      <w:szCs w:val="21"/>
                    </w:rPr>
                    <w:t>新增</w:t>
                  </w:r>
                </w:p>
              </w:tc>
            </w:tr>
          </w:tbl>
          <w:p>
            <w:pPr>
              <w:pStyle w:val="20"/>
              <w:jc w:val="center"/>
              <w:rPr>
                <w:rFonts w:ascii="Times New Roman" w:hAnsi="Times New Roman" w:eastAsia="黑体"/>
                <w:snapToGrid w:val="0"/>
                <w:sz w:val="36"/>
                <w:szCs w:val="36"/>
              </w:rPr>
            </w:pPr>
          </w:p>
        </w:tc>
      </w:tr>
    </w:tbl>
    <w:p>
      <w:pPr>
        <w:pStyle w:val="20"/>
        <w:jc w:val="center"/>
        <w:rPr>
          <w:rFonts w:ascii="Times New Roman" w:hAnsi="Times New Roman" w:eastAsia="黑体"/>
          <w:snapToGrid w:val="0"/>
          <w:color w:val="000000"/>
          <w:sz w:val="36"/>
          <w:szCs w:val="36"/>
        </w:rPr>
        <w:sectPr>
          <w:pgSz w:w="16838" w:h="11906" w:orient="landscape"/>
          <w:pgMar w:top="1418" w:right="1418" w:bottom="1418" w:left="1418" w:header="851" w:footer="851" w:gutter="0"/>
          <w:cols w:space="720" w:num="1"/>
          <w:docGrid w:linePitch="312" w:charSpace="0"/>
        </w:sectPr>
      </w:pP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8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adjustRightInd w:val="0"/>
              <w:snapToGrid w:val="0"/>
              <w:jc w:val="center"/>
              <w:rPr>
                <w:b/>
                <w:color w:val="000000"/>
                <w:szCs w:val="21"/>
              </w:rPr>
            </w:pPr>
            <w:r>
              <w:rPr>
                <w:b/>
                <w:color w:val="000000"/>
                <w:szCs w:val="21"/>
              </w:rPr>
              <w:t>建设内容</w:t>
            </w:r>
          </w:p>
        </w:tc>
        <w:tc>
          <w:tcPr>
            <w:tcW w:w="8861" w:type="dxa"/>
          </w:tcPr>
          <w:p>
            <w:pPr>
              <w:widowControl/>
              <w:adjustRightInd w:val="0"/>
              <w:snapToGrid w:val="0"/>
              <w:spacing w:line="360" w:lineRule="auto"/>
              <w:ind w:firstLine="482" w:firstLineChars="200"/>
              <w:rPr>
                <w:rFonts w:hint="default" w:ascii="Times New Roman" w:hAnsi="Times New Roman" w:cs="Times New Roman"/>
                <w:b/>
                <w:bCs/>
                <w:color w:val="000000"/>
                <w:sz w:val="24"/>
              </w:rPr>
            </w:pPr>
            <w:r>
              <w:rPr>
                <w:rFonts w:hint="default" w:ascii="Times New Roman" w:hAnsi="Times New Roman" w:cs="Times New Roman"/>
                <w:b/>
                <w:bCs/>
                <w:color w:val="000000"/>
                <w:sz w:val="24"/>
              </w:rPr>
              <w:t>（二）主要产品及产能</w:t>
            </w:r>
          </w:p>
          <w:p>
            <w:pPr>
              <w:widowControl/>
              <w:adjustRightInd w:val="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本项目产品及产能见下表。</w:t>
            </w:r>
          </w:p>
          <w:p>
            <w:pPr>
              <w:widowControl/>
              <w:numPr>
                <w:ilvl w:val="0"/>
                <w:numId w:val="1"/>
              </w:num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 xml:space="preserve">  项目产品及产能一览表</w:t>
            </w:r>
          </w:p>
          <w:tbl>
            <w:tblPr>
              <w:tblStyle w:val="2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94"/>
              <w:gridCol w:w="1999"/>
              <w:gridCol w:w="2126"/>
              <w:gridCol w:w="2268"/>
              <w:gridCol w:w="117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b/>
                      <w:szCs w:val="21"/>
                    </w:rPr>
                  </w:pPr>
                  <w:r>
                    <w:rPr>
                      <w:rFonts w:hint="default" w:ascii="Times New Roman" w:hAnsi="Times New Roman" w:cs="Times New Roman"/>
                      <w:b/>
                      <w:szCs w:val="21"/>
                    </w:rPr>
                    <w:t>序号</w:t>
                  </w:r>
                </w:p>
              </w:tc>
              <w:tc>
                <w:tcPr>
                  <w:tcW w:w="1999"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b/>
                      <w:szCs w:val="21"/>
                    </w:rPr>
                  </w:pPr>
                  <w:r>
                    <w:rPr>
                      <w:rFonts w:hint="default" w:ascii="Times New Roman" w:hAnsi="Times New Roman" w:cs="Times New Roman"/>
                      <w:b/>
                      <w:szCs w:val="21"/>
                    </w:rPr>
                    <w:t>产品名称</w:t>
                  </w:r>
                </w:p>
              </w:tc>
              <w:tc>
                <w:tcPr>
                  <w:tcW w:w="212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b/>
                      <w:szCs w:val="21"/>
                    </w:rPr>
                  </w:pPr>
                  <w:r>
                    <w:rPr>
                      <w:rFonts w:hint="default" w:ascii="Times New Roman" w:hAnsi="Times New Roman" w:cs="Times New Roman"/>
                      <w:b/>
                      <w:szCs w:val="21"/>
                    </w:rPr>
                    <w:t>形态（片剂、颗粒、胶囊或针剂等）</w:t>
                  </w:r>
                </w:p>
              </w:tc>
              <w:tc>
                <w:tcPr>
                  <w:tcW w:w="22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b/>
                      <w:szCs w:val="21"/>
                    </w:rPr>
                  </w:pPr>
                  <w:r>
                    <w:rPr>
                      <w:rFonts w:hint="default" w:ascii="Times New Roman" w:hAnsi="Times New Roman" w:cs="Times New Roman"/>
                      <w:b/>
                      <w:szCs w:val="21"/>
                    </w:rPr>
                    <w:t>年研发生产量</w:t>
                  </w:r>
                </w:p>
              </w:tc>
              <w:tc>
                <w:tcPr>
                  <w:tcW w:w="11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b/>
                      <w:szCs w:val="21"/>
                    </w:rPr>
                  </w:pPr>
                  <w:r>
                    <w:rPr>
                      <w:rFonts w:hint="default" w:ascii="Times New Roman" w:hAnsi="Times New Roman" w:cs="Times New Roman"/>
                      <w:b/>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999"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color w:val="FF0000"/>
                      <w:szCs w:val="21"/>
                    </w:rPr>
                  </w:pPr>
                  <w:r>
                    <w:rPr>
                      <w:rFonts w:hint="default" w:ascii="Times New Roman" w:hAnsi="Times New Roman" w:cs="Times New Roman"/>
                      <w:color w:val="FF0000"/>
                      <w:szCs w:val="21"/>
                    </w:rPr>
                    <w:t>电极片</w:t>
                  </w:r>
                </w:p>
              </w:tc>
              <w:tc>
                <w:tcPr>
                  <w:tcW w:w="212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color w:val="FF0000"/>
                      <w:szCs w:val="21"/>
                    </w:rPr>
                  </w:pPr>
                  <w:r>
                    <w:rPr>
                      <w:rFonts w:hint="default" w:ascii="Times New Roman" w:hAnsi="Times New Roman" w:cs="Times New Roman"/>
                      <w:color w:val="FF0000"/>
                      <w:szCs w:val="21"/>
                    </w:rPr>
                    <w:t>固体片状</w:t>
                  </w:r>
                </w:p>
              </w:tc>
              <w:tc>
                <w:tcPr>
                  <w:tcW w:w="22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color w:val="FF0000"/>
                      <w:szCs w:val="21"/>
                    </w:rPr>
                  </w:pPr>
                  <w:r>
                    <w:rPr>
                      <w:rFonts w:hint="default" w:ascii="Times New Roman" w:hAnsi="Times New Roman" w:cs="Times New Roman"/>
                      <w:color w:val="FF0000"/>
                      <w:szCs w:val="21"/>
                    </w:rPr>
                    <w:t>100万片</w:t>
                  </w:r>
                </w:p>
              </w:tc>
              <w:tc>
                <w:tcPr>
                  <w:tcW w:w="1174" w:type="dxa"/>
                  <w:vMerge w:val="restart"/>
                  <w:tcBorders>
                    <w:top w:val="single" w:color="auto" w:sz="4" w:space="0"/>
                    <w:left w:val="single" w:color="auto" w:sz="4" w:space="0"/>
                    <w:right w:val="single" w:color="auto" w:sz="4" w:space="0"/>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研发生产可外售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999"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trike/>
                      <w:color w:val="FF0000"/>
                      <w:szCs w:val="21"/>
                    </w:rPr>
                  </w:pPr>
                  <w:r>
                    <w:rPr>
                      <w:rFonts w:hint="default" w:ascii="Times New Roman" w:hAnsi="Times New Roman" w:cs="Times New Roman"/>
                      <w:color w:val="FF0000"/>
                      <w:szCs w:val="21"/>
                    </w:rPr>
                    <w:t>除氧模块</w:t>
                  </w:r>
                </w:p>
              </w:tc>
              <w:tc>
                <w:tcPr>
                  <w:tcW w:w="212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trike/>
                      <w:color w:val="FF0000"/>
                      <w:szCs w:val="21"/>
                    </w:rPr>
                  </w:pPr>
                  <w:r>
                    <w:rPr>
                      <w:rFonts w:hint="default" w:ascii="Times New Roman" w:hAnsi="Times New Roman" w:cs="Times New Roman"/>
                      <w:color w:val="FF0000"/>
                      <w:szCs w:val="21"/>
                    </w:rPr>
                    <w:t>固体</w:t>
                  </w:r>
                </w:p>
              </w:tc>
              <w:tc>
                <w:tcPr>
                  <w:tcW w:w="22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trike/>
                      <w:color w:val="FF0000"/>
                      <w:szCs w:val="21"/>
                    </w:rPr>
                  </w:pPr>
                  <w:r>
                    <w:rPr>
                      <w:rFonts w:hint="default" w:ascii="Times New Roman" w:hAnsi="Times New Roman" w:cs="Times New Roman"/>
                      <w:color w:val="FF0000"/>
                      <w:szCs w:val="21"/>
                    </w:rPr>
                    <w:t>1万件</w:t>
                  </w:r>
                </w:p>
              </w:tc>
              <w:tc>
                <w:tcPr>
                  <w:tcW w:w="1174" w:type="dxa"/>
                  <w:vMerge w:val="continue"/>
                  <w:tcBorders>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trike/>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999"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trike/>
                      <w:color w:val="FF0000"/>
                      <w:szCs w:val="21"/>
                    </w:rPr>
                  </w:pPr>
                  <w:r>
                    <w:rPr>
                      <w:rFonts w:hint="default" w:ascii="Times New Roman" w:hAnsi="Times New Roman" w:cs="Times New Roman"/>
                      <w:color w:val="FF0000"/>
                      <w:szCs w:val="21"/>
                    </w:rPr>
                    <w:t>储能功能催化材料</w:t>
                  </w:r>
                </w:p>
              </w:tc>
              <w:tc>
                <w:tcPr>
                  <w:tcW w:w="212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trike/>
                      <w:color w:val="FF0000"/>
                      <w:szCs w:val="21"/>
                    </w:rPr>
                  </w:pPr>
                  <w:r>
                    <w:rPr>
                      <w:rFonts w:hint="default" w:ascii="Times New Roman" w:hAnsi="Times New Roman" w:cs="Times New Roman"/>
                      <w:color w:val="FF0000"/>
                      <w:szCs w:val="21"/>
                    </w:rPr>
                    <w:t>粉末</w:t>
                  </w:r>
                </w:p>
              </w:tc>
              <w:tc>
                <w:tcPr>
                  <w:tcW w:w="22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strike/>
                      <w:color w:val="FF0000"/>
                      <w:szCs w:val="21"/>
                      <w:lang w:val="en-US" w:eastAsia="zh-CN"/>
                    </w:rPr>
                  </w:pPr>
                  <w:r>
                    <w:rPr>
                      <w:rFonts w:hint="default" w:ascii="Times New Roman" w:hAnsi="Times New Roman" w:cs="Times New Roman"/>
                      <w:color w:val="FF0000"/>
                      <w:szCs w:val="21"/>
                    </w:rPr>
                    <w:t>100kg</w:t>
                  </w:r>
                  <w:r>
                    <w:rPr>
                      <w:rFonts w:hint="default" w:ascii="Times New Roman" w:hAnsi="Times New Roman" w:cs="Times New Roman"/>
                      <w:color w:val="FF0000"/>
                      <w:szCs w:val="21"/>
                      <w:lang w:eastAsia="zh-CN"/>
                    </w:rPr>
                    <w:t>，年生产</w:t>
                  </w:r>
                  <w:r>
                    <w:rPr>
                      <w:rFonts w:hint="default" w:ascii="Times New Roman" w:hAnsi="Times New Roman" w:cs="Times New Roman"/>
                      <w:color w:val="FF0000"/>
                      <w:szCs w:val="21"/>
                      <w:lang w:val="en-US" w:eastAsia="zh-CN"/>
                    </w:rPr>
                    <w:t>10批次，每批次10kg</w:t>
                  </w:r>
                </w:p>
              </w:tc>
              <w:tc>
                <w:tcPr>
                  <w:tcW w:w="11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strike/>
                      <w:szCs w:val="21"/>
                    </w:rPr>
                  </w:pPr>
                  <w:r>
                    <w:rPr>
                      <w:rFonts w:hint="default" w:ascii="Times New Roman" w:hAnsi="Times New Roman" w:cs="Times New Roman"/>
                      <w:szCs w:val="21"/>
                    </w:rPr>
                    <w:t>研发生产不外售，用于除氧模块的前端材料</w:t>
                  </w:r>
                </w:p>
              </w:tc>
            </w:tr>
          </w:tbl>
          <w:p>
            <w:pPr>
              <w:widowControl/>
              <w:adjustRightInd w:val="0"/>
              <w:snapToGrid w:val="0"/>
              <w:spacing w:line="360" w:lineRule="auto"/>
              <w:ind w:firstLine="480" w:firstLineChars="200"/>
              <w:rPr>
                <w:rFonts w:hint="default" w:ascii="Times New Roman" w:hAnsi="Times New Roman" w:eastAsia="宋体" w:cs="Times New Roman"/>
                <w:b w:val="0"/>
                <w:bCs w:val="0"/>
                <w:color w:val="000000"/>
                <w:sz w:val="24"/>
                <w:lang w:eastAsia="zh-CN"/>
              </w:rPr>
            </w:pPr>
            <w:r>
              <w:rPr>
                <w:rFonts w:hint="default" w:ascii="Times New Roman" w:hAnsi="Times New Roman" w:cs="Times New Roman"/>
                <w:b w:val="0"/>
                <w:bCs w:val="0"/>
                <w:color w:val="000000"/>
                <w:sz w:val="24"/>
                <w:lang w:eastAsia="zh-CN"/>
              </w:rPr>
              <w:t>储能功能催化材料的理化性质：主要成分为炭黑基底材料，主要化学成分为石墨型碳，黑色粉末状，无气味无毒，耐热、耐寒性优良，是用于储能功能材料的关键功能材料。</w:t>
            </w:r>
          </w:p>
          <w:p>
            <w:pPr>
              <w:widowControl/>
              <w:adjustRightInd w:val="0"/>
              <w:snapToGrid w:val="0"/>
              <w:spacing w:line="360" w:lineRule="auto"/>
              <w:ind w:firstLine="482" w:firstLineChars="200"/>
              <w:rPr>
                <w:rFonts w:hint="default" w:ascii="Times New Roman" w:hAnsi="Times New Roman" w:cs="Times New Roman"/>
                <w:b/>
                <w:bCs/>
                <w:color w:val="000000"/>
                <w:sz w:val="24"/>
              </w:rPr>
            </w:pPr>
            <w:r>
              <w:rPr>
                <w:rFonts w:hint="default" w:ascii="Times New Roman" w:hAnsi="Times New Roman" w:cs="Times New Roman"/>
                <w:b/>
                <w:bCs/>
                <w:color w:val="000000"/>
                <w:sz w:val="24"/>
              </w:rPr>
              <w:t>（三）主要原辅料及用量</w:t>
            </w:r>
          </w:p>
          <w:p>
            <w:pPr>
              <w:widowControl/>
              <w:adjustRightInd w:val="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本项目主要原辅料用量见下表。</w:t>
            </w:r>
          </w:p>
          <w:p>
            <w:pPr>
              <w:widowControl/>
              <w:numPr>
                <w:ilvl w:val="0"/>
                <w:numId w:val="1"/>
              </w:num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 xml:space="preserve">  项目原辅料及年耗量一览表</w:t>
            </w:r>
          </w:p>
          <w:tbl>
            <w:tblPr>
              <w:tblStyle w:val="2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91"/>
              <w:gridCol w:w="938"/>
              <w:gridCol w:w="1117"/>
              <w:gridCol w:w="1052"/>
              <w:gridCol w:w="846"/>
              <w:gridCol w:w="1165"/>
              <w:gridCol w:w="1133"/>
              <w:gridCol w:w="489"/>
              <w:gridCol w:w="14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序号</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color w:val="auto"/>
                      <w:sz w:val="21"/>
                      <w:szCs w:val="21"/>
                      <w:lang w:eastAsia="zh-CN"/>
                    </w:rPr>
                  </w:pPr>
                  <w:r>
                    <w:rPr>
                      <w:rFonts w:hint="default" w:ascii="Times New Roman" w:hAnsi="Times New Roman" w:cs="Times New Roman"/>
                      <w:b/>
                      <w:color w:val="auto"/>
                      <w:sz w:val="21"/>
                      <w:szCs w:val="21"/>
                      <w:lang w:eastAsia="zh-CN"/>
                    </w:rPr>
                    <w:t>产品种类</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名称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年用量（kg）</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color w:val="auto"/>
                      <w:sz w:val="21"/>
                      <w:szCs w:val="21"/>
                      <w:lang w:eastAsia="zh-CN"/>
                    </w:rPr>
                  </w:pPr>
                  <w:r>
                    <w:rPr>
                      <w:rFonts w:hint="default" w:ascii="Times New Roman" w:hAnsi="Times New Roman" w:cs="Times New Roman"/>
                      <w:b/>
                      <w:color w:val="auto"/>
                      <w:sz w:val="21"/>
                      <w:szCs w:val="21"/>
                      <w:lang w:eastAsia="zh-CN"/>
                    </w:rPr>
                    <w:t>最大储存量</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形态</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来源</w:t>
                  </w:r>
                </w:p>
              </w:tc>
              <w:tc>
                <w:tcPr>
                  <w:tcW w:w="4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color w:val="auto"/>
                      <w:sz w:val="21"/>
                      <w:szCs w:val="21"/>
                      <w:lang w:eastAsia="zh-CN"/>
                    </w:rPr>
                  </w:pPr>
                  <w:r>
                    <w:rPr>
                      <w:rFonts w:hint="default" w:ascii="Times New Roman" w:hAnsi="Times New Roman" w:cs="Times New Roman"/>
                      <w:b/>
                      <w:color w:val="auto"/>
                      <w:sz w:val="21"/>
                      <w:szCs w:val="21"/>
                      <w:lang w:eastAsia="zh-CN"/>
                    </w:rPr>
                    <w:t>贮存位置</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color w:val="auto"/>
                      <w:sz w:val="21"/>
                      <w:szCs w:val="21"/>
                      <w:lang w:eastAsia="zh-CN"/>
                    </w:rPr>
                  </w:pPr>
                  <w:r>
                    <w:rPr>
                      <w:rFonts w:hint="default" w:ascii="Times New Roman" w:hAnsi="Times New Roman" w:cs="Times New Roman"/>
                      <w:b/>
                      <w:color w:val="auto"/>
                      <w:sz w:val="21"/>
                      <w:szCs w:val="21"/>
                      <w:lang w:eastAsia="zh-CN"/>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w:t>
                  </w:r>
                </w:p>
              </w:tc>
              <w:tc>
                <w:tcPr>
                  <w:tcW w:w="0" w:type="auto"/>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除氧模块</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碳酸钾</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原料仓库</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bCs/>
                      <w:color w:val="auto"/>
                      <w:sz w:val="21"/>
                      <w:szCs w:val="21"/>
                    </w:rPr>
                    <w:t>除氧测试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储能功能催化材料</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100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本项目实验室研发产品</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Cs/>
                      <w:color w:val="auto"/>
                      <w:sz w:val="21"/>
                      <w:szCs w:val="21"/>
                      <w:lang w:eastAsia="zh-CN"/>
                    </w:rPr>
                  </w:pPr>
                  <w:r>
                    <w:rPr>
                      <w:rFonts w:hint="default" w:ascii="Times New Roman" w:hAnsi="Times New Roman" w:cs="Times New Roman"/>
                      <w:bCs/>
                      <w:color w:val="auto"/>
                      <w:sz w:val="21"/>
                      <w:szCs w:val="21"/>
                      <w:lang w:eastAsia="zh-CN"/>
                    </w:rPr>
                    <w:t>除氧模块原料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炭黑</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粉末</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bCs/>
                      <w:color w:val="auto"/>
                      <w:sz w:val="21"/>
                      <w:szCs w:val="21"/>
                      <w:lang w:eastAsia="zh-CN"/>
                    </w:rPr>
                    <w:t>除氧模块原料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4</w:t>
                  </w:r>
                </w:p>
              </w:tc>
              <w:tc>
                <w:tcPr>
                  <w:tcW w:w="0" w:type="auto"/>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PTFE乳液</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液体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氧阴极研发辅料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5</w:t>
                  </w:r>
                </w:p>
              </w:tc>
              <w:tc>
                <w:tcPr>
                  <w:tcW w:w="0" w:type="auto"/>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电极片</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37%浓盐酸</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液体，37%浓盐酸</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电极片生产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6</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氯铱酸</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液体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用于金属盐及金属盐溶液的配制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7</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氯化钌</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用于金属盐及金属盐溶液的配制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8</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草酸</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250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酸洗工艺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9</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正丁醇</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液体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涂液浆料配置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10</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异丙醇</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液体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涂液浆料配置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11</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金刚砂</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50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固体</w:t>
                  </w:r>
                  <w:r>
                    <w:rPr>
                      <w:rFonts w:hint="default" w:ascii="Times New Roman" w:hAnsi="Times New Roman" w:cs="Times New Roman"/>
                      <w:color w:val="auto"/>
                      <w:sz w:val="21"/>
                      <w:szCs w:val="21"/>
                      <w:lang w:eastAsia="zh-CN"/>
                    </w:rPr>
                    <w:t>，粒径</w:t>
                  </w:r>
                  <w:r>
                    <w:rPr>
                      <w:rFonts w:hint="default" w:ascii="Times New Roman" w:hAnsi="Times New Roman" w:cs="Times New Roman"/>
                      <w:color w:val="auto"/>
                      <w:sz w:val="21"/>
                      <w:szCs w:val="21"/>
                      <w:lang w:val="en-US" w:eastAsia="zh-CN"/>
                    </w:rPr>
                    <w:t>18~24目</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喷砂机喷砂原料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12</w:t>
                  </w:r>
                </w:p>
              </w:tc>
              <w:tc>
                <w:tcPr>
                  <w:tcW w:w="0" w:type="auto"/>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TP270钛板</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1000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100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固体片状</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电极片生产原料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13</w:t>
                  </w:r>
                </w:p>
              </w:tc>
              <w:tc>
                <w:tcPr>
                  <w:tcW w:w="0" w:type="auto"/>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实验室催化材料研发</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皂基</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实验室研发试验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14</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氯化钠</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实验室研发试验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15</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乙醇</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液体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实验室研发试验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16</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纯净水</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500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300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液体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溶液配制、实验室研发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17</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柠檬酸</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实验室研发试验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18</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碳酸氢钠</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实验室研发试验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19</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炭黑</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粉末</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bCs/>
                      <w:color w:val="auto"/>
                      <w:sz w:val="21"/>
                      <w:szCs w:val="21"/>
                      <w:lang w:eastAsia="zh-CN"/>
                    </w:rPr>
                    <w:t>催化剂原料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111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szCs w:val="21"/>
                    </w:rPr>
                    <w:t>硝酸铁</w:t>
                  </w:r>
                </w:p>
              </w:tc>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szCs w:val="21"/>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Cs/>
                      <w:color w:val="auto"/>
                      <w:sz w:val="21"/>
                      <w:szCs w:val="21"/>
                      <w:lang w:eastAsia="zh-CN"/>
                    </w:rPr>
                  </w:pPr>
                  <w:r>
                    <w:rPr>
                      <w:rFonts w:hint="default" w:ascii="Times New Roman" w:hAnsi="Times New Roman" w:cs="Times New Roman"/>
                      <w:szCs w:val="21"/>
                    </w:rPr>
                    <w:t>催化剂制备与试验</w:t>
                  </w:r>
                  <w:r>
                    <w:rPr>
                      <w:rFonts w:hint="default" w:ascii="Times New Roman" w:hAnsi="Times New Roman" w:cs="Times New Roman"/>
                      <w:szCs w:val="21"/>
                      <w:lang w:eastAsia="zh-CN"/>
                    </w:rPr>
                    <w:t>辅料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20</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氯铱酸</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val="en-US"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液体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用于金属盐及金属盐溶液的配制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21</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氯化钌</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用于金属盐及金属盐溶液的配制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i w:val="0"/>
                      <w:iCs w:val="0"/>
                      <w:color w:val="auto"/>
                      <w:kern w:val="0"/>
                      <w:sz w:val="21"/>
                      <w:szCs w:val="21"/>
                      <w:u w:val="none"/>
                      <w:lang w:val="en-US" w:eastAsia="zh-CN" w:bidi="ar"/>
                    </w:rPr>
                    <w:t>22</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氢氧化钠</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固体</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吸收高温烧结产生废气</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w:t>
                  </w:r>
                  <w:r>
                    <w:rPr>
                      <w:rFonts w:hint="default" w:ascii="Times New Roman" w:hAnsi="Times New Roman" w:cs="Times New Roman"/>
                      <w:i w:val="0"/>
                      <w:iCs w:val="0"/>
                      <w:color w:val="auto"/>
                      <w:kern w:val="0"/>
                      <w:sz w:val="21"/>
                      <w:szCs w:val="21"/>
                      <w:u w:val="none"/>
                      <w:lang w:val="en-US" w:eastAsia="zh-CN" w:bidi="ar"/>
                    </w:rPr>
                    <w:t>3</w:t>
                  </w:r>
                </w:p>
              </w:tc>
              <w:tc>
                <w:tcPr>
                  <w:tcW w:w="0" w:type="auto"/>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氢气</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80L</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40L</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气体钢瓶，40L/瓶</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外购</w:t>
                  </w:r>
                </w:p>
              </w:tc>
              <w:tc>
                <w:tcPr>
                  <w:tcW w:w="489"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催化剂性能检验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w:t>
                  </w:r>
                  <w:r>
                    <w:rPr>
                      <w:rFonts w:hint="default" w:ascii="Times New Roman" w:hAnsi="Times New Roman" w:cs="Times New Roman"/>
                      <w:i w:val="0"/>
                      <w:iCs w:val="0"/>
                      <w:color w:val="auto"/>
                      <w:kern w:val="0"/>
                      <w:sz w:val="21"/>
                      <w:szCs w:val="21"/>
                      <w:u w:val="none"/>
                      <w:lang w:val="en-US" w:eastAsia="zh-CN" w:bidi="ar"/>
                    </w:rPr>
                    <w:t>4</w:t>
                  </w:r>
                </w:p>
              </w:tc>
              <w:tc>
                <w:tcPr>
                  <w:tcW w:w="0" w:type="auto"/>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氮气</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800L</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120L</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气体钢瓶，40L/瓶</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外购</w:t>
                  </w:r>
                </w:p>
              </w:tc>
              <w:tc>
                <w:tcPr>
                  <w:tcW w:w="489"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高温烧结保护气</w:t>
                  </w:r>
                </w:p>
              </w:tc>
            </w:tr>
          </w:tbl>
          <w:p>
            <w:pPr>
              <w:widowControl/>
              <w:rPr>
                <w:rFonts w:hint="default" w:ascii="Times New Roman" w:hAnsi="Times New Roman" w:cs="Times New Roman"/>
                <w:b/>
                <w:color w:val="000000"/>
                <w:kern w:val="0"/>
                <w:szCs w:val="21"/>
              </w:rPr>
            </w:pPr>
          </w:p>
          <w:p>
            <w:pPr>
              <w:pStyle w:val="62"/>
              <w:ind w:firstLine="420"/>
              <w:jc w:val="both"/>
              <w:rPr>
                <w:rFonts w:hint="default" w:ascii="Times New Roman" w:hAnsi="Times New Roman" w:cs="Times New Roman"/>
                <w:color w:val="000000"/>
              </w:rPr>
            </w:pPr>
            <w:r>
              <w:rPr>
                <w:rFonts w:hint="default" w:ascii="Times New Roman" w:hAnsi="Times New Roman" w:cs="Times New Roman"/>
                <w:color w:val="000000"/>
              </w:rPr>
              <w:t>主要原辅料成分理化性质如下：</w:t>
            </w:r>
          </w:p>
          <w:p>
            <w:pPr>
              <w:widowControl/>
              <w:numPr>
                <w:ilvl w:val="0"/>
                <w:numId w:val="1"/>
              </w:num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 xml:space="preserve">  主要原辅材料理化性质一览表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7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outlineLvl w:val="0"/>
                    <w:rPr>
                      <w:rFonts w:hint="default" w:ascii="Times New Roman" w:hAnsi="Times New Roman" w:cs="Times New Roman"/>
                      <w:b/>
                      <w:color w:val="000000"/>
                      <w:szCs w:val="21"/>
                    </w:rPr>
                  </w:pPr>
                  <w:r>
                    <w:rPr>
                      <w:rFonts w:hint="default" w:ascii="Times New Roman" w:hAnsi="Times New Roman" w:cs="Times New Roman"/>
                      <w:b/>
                      <w:color w:val="000000"/>
                      <w:szCs w:val="21"/>
                    </w:rPr>
                    <w:t>名称</w:t>
                  </w:r>
                </w:p>
              </w:tc>
              <w:tc>
                <w:tcPr>
                  <w:tcW w:w="7060" w:type="dxa"/>
                  <w:vAlign w:val="center"/>
                </w:tcPr>
                <w:p>
                  <w:pPr>
                    <w:jc w:val="center"/>
                    <w:outlineLvl w:val="0"/>
                    <w:rPr>
                      <w:rFonts w:hint="default" w:ascii="Times New Roman" w:hAnsi="Times New Roman" w:cs="Times New Roman"/>
                      <w:b/>
                      <w:color w:val="000000"/>
                      <w:szCs w:val="21"/>
                    </w:rPr>
                  </w:pPr>
                  <w:r>
                    <w:rPr>
                      <w:rFonts w:hint="default" w:ascii="Times New Roman" w:hAnsi="Times New Roman" w:cs="Times New Roman"/>
                      <w:b/>
                      <w:color w:val="000000"/>
                      <w:szCs w:val="21"/>
                    </w:rPr>
                    <w:t>主要物理化学性质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乙醇</w:t>
                  </w:r>
                </w:p>
              </w:tc>
              <w:tc>
                <w:tcPr>
                  <w:tcW w:w="7060" w:type="dxa"/>
                  <w:vAlign w:val="center"/>
                </w:tcPr>
                <w:p>
                  <w:pPr>
                    <w:jc w:val="center"/>
                    <w:outlineLvl w:val="0"/>
                    <w:rPr>
                      <w:rFonts w:hint="default" w:ascii="Times New Roman" w:hAnsi="Times New Roman" w:cs="Times New Roman"/>
                      <w:color w:val="000000"/>
                      <w:szCs w:val="21"/>
                    </w:rPr>
                  </w:pPr>
                  <w:r>
                    <w:rPr>
                      <w:rFonts w:hint="default" w:ascii="Times New Roman" w:hAnsi="Times New Roman" w:cs="Times New Roman"/>
                      <w:color w:val="000000"/>
                      <w:szCs w:val="21"/>
                    </w:rPr>
                    <w:t>乙醇分子式C</w:t>
                  </w:r>
                  <w:r>
                    <w:rPr>
                      <w:rFonts w:hint="default" w:ascii="Times New Roman" w:hAnsi="Times New Roman" w:cs="Times New Roman"/>
                      <w:color w:val="000000"/>
                      <w:szCs w:val="21"/>
                      <w:vertAlign w:val="subscript"/>
                    </w:rPr>
                    <w:t>2</w:t>
                  </w:r>
                  <w:r>
                    <w:rPr>
                      <w:rFonts w:hint="default" w:ascii="Times New Roman" w:hAnsi="Times New Roman" w:cs="Times New Roman"/>
                      <w:color w:val="000000"/>
                      <w:szCs w:val="21"/>
                    </w:rPr>
                    <w:t>H</w:t>
                  </w:r>
                  <w:r>
                    <w:rPr>
                      <w:rFonts w:hint="default" w:ascii="Times New Roman" w:hAnsi="Times New Roman" w:cs="Times New Roman"/>
                      <w:color w:val="000000"/>
                      <w:szCs w:val="21"/>
                      <w:vertAlign w:val="subscript"/>
                    </w:rPr>
                    <w:t>6</w:t>
                  </w:r>
                  <w:r>
                    <w:rPr>
                      <w:rFonts w:hint="default" w:ascii="Times New Roman" w:hAnsi="Times New Roman" w:cs="Times New Roman"/>
                      <w:color w:val="000000"/>
                      <w:szCs w:val="21"/>
                    </w:rPr>
                    <w:t>O，结构简式CH</w:t>
                  </w:r>
                  <w:r>
                    <w:rPr>
                      <w:rFonts w:hint="default" w:ascii="Times New Roman" w:hAnsi="Times New Roman" w:cs="Times New Roman"/>
                      <w:color w:val="000000"/>
                      <w:szCs w:val="21"/>
                      <w:vertAlign w:val="subscript"/>
                    </w:rPr>
                    <w:t>3</w:t>
                  </w:r>
                  <w:r>
                    <w:rPr>
                      <w:rFonts w:hint="default" w:ascii="Times New Roman" w:hAnsi="Times New Roman" w:cs="Times New Roman"/>
                      <w:color w:val="000000"/>
                      <w:szCs w:val="21"/>
                    </w:rPr>
                    <w:t>CH</w:t>
                  </w:r>
                  <w:r>
                    <w:rPr>
                      <w:rFonts w:hint="default" w:ascii="Times New Roman" w:hAnsi="Times New Roman" w:cs="Times New Roman"/>
                      <w:color w:val="000000"/>
                      <w:szCs w:val="21"/>
                      <w:vertAlign w:val="subscript"/>
                    </w:rPr>
                    <w:t>2</w:t>
                  </w:r>
                  <w:r>
                    <w:rPr>
                      <w:rFonts w:hint="default" w:ascii="Times New Roman" w:hAnsi="Times New Roman" w:cs="Times New Roman"/>
                      <w:color w:val="000000"/>
                      <w:szCs w:val="21"/>
                    </w:rPr>
                    <w:t>OH或C</w:t>
                  </w:r>
                  <w:r>
                    <w:rPr>
                      <w:rFonts w:hint="default" w:ascii="Times New Roman" w:hAnsi="Times New Roman" w:cs="Times New Roman"/>
                      <w:color w:val="000000"/>
                      <w:szCs w:val="21"/>
                      <w:vertAlign w:val="subscript"/>
                    </w:rPr>
                    <w:t>2</w:t>
                  </w:r>
                  <w:r>
                    <w:rPr>
                      <w:rFonts w:hint="default" w:ascii="Times New Roman" w:hAnsi="Times New Roman" w:cs="Times New Roman"/>
                      <w:color w:val="000000"/>
                      <w:szCs w:val="21"/>
                    </w:rPr>
                    <w:t>H</w:t>
                  </w:r>
                  <w:r>
                    <w:rPr>
                      <w:rFonts w:hint="default" w:ascii="Times New Roman" w:hAnsi="Times New Roman" w:cs="Times New Roman"/>
                      <w:color w:val="000000"/>
                      <w:szCs w:val="21"/>
                      <w:vertAlign w:val="subscript"/>
                    </w:rPr>
                    <w:t>5</w:t>
                  </w:r>
                  <w:r>
                    <w:rPr>
                      <w:rFonts w:hint="default" w:ascii="Times New Roman" w:hAnsi="Times New Roman" w:cs="Times New Roman"/>
                      <w:color w:val="000000"/>
                      <w:szCs w:val="21"/>
                    </w:rPr>
                    <w:t>OH，俗称</w:t>
                  </w:r>
                  <w:r>
                    <w:rPr>
                      <w:rFonts w:hint="default" w:ascii="Times New Roman" w:hAnsi="Times New Roman" w:cs="Times New Roman"/>
                      <w:color w:val="000000"/>
                      <w:szCs w:val="21"/>
                    </w:rPr>
                    <w:fldChar w:fldCharType="begin"/>
                  </w:r>
                  <w:r>
                    <w:rPr>
                      <w:rFonts w:hint="default" w:ascii="Times New Roman" w:hAnsi="Times New Roman" w:cs="Times New Roman"/>
                      <w:color w:val="000000"/>
                      <w:szCs w:val="21"/>
                    </w:rPr>
                    <w:instrText xml:space="preserve"> HYPERLINK "https://baike.baidu.com/item/%E9%85%92%E7%B2%BE/114404" \t "https://baike.baidu.com/item/_blank" </w:instrText>
                  </w:r>
                  <w:r>
                    <w:rPr>
                      <w:rFonts w:hint="default" w:ascii="Times New Roman" w:hAnsi="Times New Roman" w:cs="Times New Roman"/>
                      <w:color w:val="000000"/>
                      <w:szCs w:val="21"/>
                    </w:rPr>
                    <w:fldChar w:fldCharType="separate"/>
                  </w:r>
                  <w:r>
                    <w:rPr>
                      <w:rFonts w:hint="default" w:ascii="Times New Roman" w:hAnsi="Times New Roman" w:cs="Times New Roman"/>
                      <w:color w:val="000000"/>
                      <w:szCs w:val="21"/>
                    </w:rPr>
                    <w:t>酒精</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。乙醇在常温常压下是一种</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"https://baike.baidu.com/item/%E6%98%93%E7%87%83/9117061"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易燃</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、易</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"https://baike.baidu.com/item/%E6%8C%A5%E5%8F%91/6897869"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挥发</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的无色透明</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"https://baike.baidu.com/item/%E6%B6%B2%E4%BD%93/2078517"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液体</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，低毒性，纯液体不可直接饮用；具有特殊香味，并略带刺激；微甘，并伴有刺激的辛辣滋味。易燃，其蒸气能与空气形成</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"https://baike.baidu.com/item/%E7%88%86%E7%82%B8%E6%80%A7%E6%B7%B7%E5%90%88%E7%89%A9/5537872"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爆炸性混合物</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，能与水以任意比互溶。能与</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"https://baike.baidu.com/item/%E6%B0%AF%E4%BB%BF/521847"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氯仿</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、乙醚、</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"https://baike.baidu.com/item/%E7%94%B2%E9%86%87/1512312"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甲醇</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"https://baike.baidu.com/item/%E4%B8%99%E9%85%AE/955883"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丙酮</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和其他多数</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"https://baike.baidu.com/item/%E6%9C%89%E6%9C%BA%E6%BA%B6%E5%89%82/7921016"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有机溶剂</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混溶。熔点-114℃，沸点78℃，密度789kg/m</w:t>
                  </w:r>
                  <w:r>
                    <w:rPr>
                      <w:rFonts w:hint="default" w:ascii="Times New Roman" w:hAnsi="Times New Roman" w:cs="Times New Roman"/>
                      <w:color w:val="000000"/>
                      <w:szCs w:val="21"/>
                      <w:vertAlign w:val="superscript"/>
                    </w:rPr>
                    <w:t>3</w:t>
                  </w:r>
                  <w:r>
                    <w:rPr>
                      <w:rFonts w:hint="default" w:ascii="Times New Roman" w:hAnsi="Times New Roman" w:cs="Times New Roman"/>
                      <w:color w:val="000000"/>
                      <w:szCs w:val="21"/>
                    </w:rPr>
                    <w:t>（20℃），闪点12℃（开口），爆炸极限3.3%-19%，蒸气压5.333kpa（19℃），解离系数15.9pKa（25℃），粘度1.074mPa·s（20℃），气体密度2.009kg/m</w:t>
                  </w:r>
                  <w:r>
                    <w:rPr>
                      <w:rFonts w:hint="default" w:ascii="Times New Roman" w:hAnsi="Times New Roman" w:cs="Times New Roman"/>
                      <w:color w:val="000000"/>
                      <w:szCs w:val="21"/>
                      <w:vertAlign w:val="superscript"/>
                    </w:rPr>
                    <w:t>3</w:t>
                  </w:r>
                  <w:r>
                    <w:rPr>
                      <w:rFonts w:hint="default" w:ascii="Times New Roman" w:hAnsi="Times New Roman" w:cs="Times New Roman"/>
                      <w:color w:val="000000"/>
                      <w:szCs w:val="21"/>
                    </w:rPr>
                    <w:t>，临界温度516.2K，临界压力6.38Mpa。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cs="Times New Roman"/>
                      <w:bCs/>
                      <w:color w:val="000000"/>
                      <w:szCs w:val="21"/>
                    </w:rPr>
                  </w:pPr>
                  <w:r>
                    <w:rPr>
                      <w:rFonts w:hint="default" w:ascii="Times New Roman" w:hAnsi="Times New Roman" w:cs="Times New Roman"/>
                      <w:color w:val="000000"/>
                      <w:szCs w:val="21"/>
                    </w:rPr>
                    <w:t>氯铱酸</w:t>
                  </w:r>
                </w:p>
              </w:tc>
              <w:tc>
                <w:tcPr>
                  <w:tcW w:w="7060" w:type="dxa"/>
                  <w:vAlign w:val="center"/>
                </w:tcPr>
                <w:p>
                  <w:pPr>
                    <w:jc w:val="center"/>
                    <w:outlineLvl w:val="0"/>
                    <w:rPr>
                      <w:rFonts w:hint="default" w:ascii="Times New Roman" w:hAnsi="Times New Roman" w:cs="Times New Roman"/>
                      <w:color w:val="000000"/>
                      <w:szCs w:val="21"/>
                    </w:rPr>
                  </w:pPr>
                  <w:r>
                    <w:rPr>
                      <w:rFonts w:hint="default" w:ascii="Times New Roman" w:hAnsi="Times New Roman" w:cs="Times New Roman"/>
                      <w:color w:val="000000"/>
                      <w:szCs w:val="21"/>
                    </w:rPr>
                    <w:t>氯铱酸是一种无机化合物，一般含有结晶水，其分子式是H</w:t>
                  </w:r>
                  <w:r>
                    <w:rPr>
                      <w:rFonts w:hint="default" w:ascii="Times New Roman" w:hAnsi="Times New Roman" w:cs="Times New Roman"/>
                      <w:color w:val="000000"/>
                      <w:szCs w:val="21"/>
                      <w:vertAlign w:val="subscript"/>
                    </w:rPr>
                    <w:t>2</w:t>
                  </w:r>
                  <w:r>
                    <w:rPr>
                      <w:rFonts w:hint="default" w:ascii="Times New Roman" w:hAnsi="Times New Roman" w:cs="Times New Roman"/>
                      <w:color w:val="000000"/>
                      <w:szCs w:val="21"/>
                    </w:rPr>
                    <w:t>IrCl</w:t>
                  </w:r>
                  <w:r>
                    <w:rPr>
                      <w:rFonts w:hint="default" w:ascii="Times New Roman" w:hAnsi="Times New Roman" w:cs="Times New Roman"/>
                      <w:color w:val="000000"/>
                      <w:szCs w:val="21"/>
                      <w:vertAlign w:val="subscript"/>
                    </w:rPr>
                    <w:t>6</w:t>
                  </w:r>
                  <w:r>
                    <w:rPr>
                      <w:rFonts w:hint="default" w:ascii="Times New Roman" w:hAnsi="Times New Roman" w:cs="Times New Roman"/>
                      <w:color w:val="000000"/>
                      <w:szCs w:val="21"/>
                    </w:rPr>
                    <w:t>·6H</w:t>
                  </w:r>
                  <w:r>
                    <w:rPr>
                      <w:rFonts w:hint="default" w:ascii="Times New Roman" w:hAnsi="Times New Roman" w:cs="Times New Roman"/>
                      <w:color w:val="000000"/>
                      <w:szCs w:val="21"/>
                      <w:vertAlign w:val="subscript"/>
                    </w:rPr>
                    <w:t>2</w:t>
                  </w:r>
                  <w:r>
                    <w:rPr>
                      <w:rFonts w:hint="default" w:ascii="Times New Roman" w:hAnsi="Times New Roman" w:cs="Times New Roman"/>
                      <w:color w:val="000000"/>
                      <w:szCs w:val="21"/>
                    </w:rPr>
                    <w:t>O。黑棕色或黑色针状结晶、粒状或块状物。易潮解。热至90℃以上失去结晶水，热至150℃到180℃转化为三价铱化合物。溶于水、乙醇和乙醚。</w:t>
                  </w:r>
                  <w:r>
                    <w:rPr>
                      <w:rFonts w:hint="default" w:ascii="Times New Roman" w:hAnsi="Times New Roman" w:eastAsia="Helvetica" w:cs="Times New Roman"/>
                      <w:color w:val="333333"/>
                      <w:szCs w:val="21"/>
                      <w:shd w:val="clear" w:color="auto" w:fill="FFFFFF"/>
                    </w:rPr>
                    <w:t>用于制造涂层电极，是重要的化工催化剂及铱试剂原料</w:t>
                  </w:r>
                  <w:r>
                    <w:rPr>
                      <w:rFonts w:hint="default" w:ascii="Times New Roman" w:hAnsi="Times New Roman" w:cs="Times New Roman"/>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氯化钌</w:t>
                  </w:r>
                </w:p>
              </w:tc>
              <w:tc>
                <w:tcPr>
                  <w:tcW w:w="7060" w:type="dxa"/>
                  <w:vAlign w:val="center"/>
                </w:tcPr>
                <w:p>
                  <w:pPr>
                    <w:jc w:val="center"/>
                    <w:outlineLvl w:val="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氯化钌是一种化学物质，其水合物分子式是RuCl</w:t>
                  </w:r>
                  <w:r>
                    <w:rPr>
                      <w:rFonts w:hint="default" w:ascii="Times New Roman" w:hAnsi="Times New Roman" w:cs="Times New Roman"/>
                      <w:color w:val="000000"/>
                      <w:kern w:val="0"/>
                      <w:szCs w:val="21"/>
                      <w:vertAlign w:val="subscript"/>
                    </w:rPr>
                    <w:t>3</w:t>
                  </w:r>
                  <w:r>
                    <w:rPr>
                      <w:rFonts w:hint="default" w:ascii="Times New Roman" w:hAnsi="Times New Roman" w:cs="Times New Roman"/>
                      <w:color w:val="000000"/>
                      <w:kern w:val="0"/>
                      <w:szCs w:val="21"/>
                    </w:rPr>
                    <w:t>·3H</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O。为带有光泽的晶体颗粒，一般呈灰褐色或暗红色；有腐蚀性，极易潮解；溶于水、醇、丙酮和乙酸乙酯中，在热水中分解。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szCs w:val="21"/>
                    </w:rPr>
                    <w:t>硝酸铁</w:t>
                  </w:r>
                </w:p>
              </w:tc>
              <w:tc>
                <w:tcPr>
                  <w:tcW w:w="7060" w:type="dxa"/>
                  <w:vAlign w:val="center"/>
                </w:tcPr>
                <w:p>
                  <w:pPr>
                    <w:jc w:val="center"/>
                    <w:outlineLvl w:val="0"/>
                    <w:rPr>
                      <w:rFonts w:hint="default" w:ascii="Times New Roman" w:hAnsi="Times New Roman" w:eastAsia="宋体" w:cs="Times New Roman"/>
                      <w:color w:val="auto"/>
                      <w:kern w:val="0"/>
                      <w:sz w:val="21"/>
                      <w:szCs w:val="21"/>
                      <w:lang w:val="en-US" w:eastAsia="zh-CN" w:bidi="ar-SA"/>
                    </w:rPr>
                  </w:pPr>
                  <w:r>
                    <w:rPr>
                      <w:rStyle w:val="84"/>
                      <w:rFonts w:hint="default" w:ascii="Times New Roman" w:hAnsi="Times New Roman" w:cs="Times New Roman"/>
                      <w:color w:val="auto"/>
                      <w:szCs w:val="21"/>
                      <w:shd w:val="clear" w:color="auto" w:fill="FFFFFF"/>
                    </w:rPr>
                    <w:t>灰白色</w:t>
                  </w:r>
                  <w:r>
                    <w:rPr>
                      <w:rStyle w:val="84"/>
                      <w:rFonts w:hint="default" w:ascii="Times New Roman" w:hAnsi="Times New Roman" w:cs="Times New Roman"/>
                      <w:color w:val="auto"/>
                      <w:szCs w:val="21"/>
                      <w:shd w:val="clear" w:color="auto" w:fill="FFFFFF"/>
                    </w:rPr>
                    <w:fldChar w:fldCharType="begin"/>
                  </w:r>
                  <w:r>
                    <w:rPr>
                      <w:rStyle w:val="84"/>
                      <w:rFonts w:hint="default" w:ascii="Times New Roman" w:hAnsi="Times New Roman" w:cs="Times New Roman"/>
                      <w:color w:val="auto"/>
                      <w:szCs w:val="21"/>
                      <w:shd w:val="clear" w:color="auto" w:fill="FFFFFF"/>
                    </w:rPr>
                    <w:instrText xml:space="preserve">HYPERLINK "https://baike.baidu.com/item/%E5%8D%95%E6%96%9C%E6%99%B6%E4%BD%93/1836659?fromModule=lemma_inlink" \t "_blank"</w:instrText>
                  </w:r>
                  <w:r>
                    <w:rPr>
                      <w:rStyle w:val="84"/>
                      <w:rFonts w:hint="default" w:ascii="Times New Roman" w:hAnsi="Times New Roman" w:cs="Times New Roman"/>
                      <w:color w:val="auto"/>
                      <w:szCs w:val="21"/>
                      <w:shd w:val="clear" w:color="auto" w:fill="FFFFFF"/>
                    </w:rPr>
                    <w:fldChar w:fldCharType="separate"/>
                  </w:r>
                  <w:r>
                    <w:rPr>
                      <w:rStyle w:val="30"/>
                      <w:rFonts w:hint="default" w:ascii="Times New Roman" w:hAnsi="Times New Roman" w:cs="Times New Roman"/>
                      <w:color w:val="auto"/>
                      <w:szCs w:val="21"/>
                      <w:shd w:val="clear" w:color="auto" w:fill="FFFFFF"/>
                    </w:rPr>
                    <w:t>单斜晶体</w:t>
                  </w:r>
                  <w:r>
                    <w:rPr>
                      <w:rStyle w:val="84"/>
                      <w:rFonts w:hint="default" w:ascii="Times New Roman" w:hAnsi="Times New Roman" w:cs="Times New Roman"/>
                      <w:color w:val="auto"/>
                      <w:szCs w:val="21"/>
                      <w:shd w:val="clear" w:color="auto" w:fill="FFFFFF"/>
                    </w:rPr>
                    <w:fldChar w:fldCharType="end"/>
                  </w:r>
                  <w:r>
                    <w:rPr>
                      <w:rStyle w:val="84"/>
                      <w:rFonts w:hint="default" w:ascii="Times New Roman" w:hAnsi="Times New Roman" w:cs="Times New Roman"/>
                      <w:color w:val="auto"/>
                      <w:szCs w:val="21"/>
                      <w:shd w:val="clear" w:color="auto" w:fill="FFFFFF"/>
                    </w:rPr>
                    <w:t>，易潮解。</w:t>
                  </w:r>
                  <w:r>
                    <w:rPr>
                      <w:rStyle w:val="84"/>
                      <w:rFonts w:hint="default" w:ascii="Times New Roman" w:hAnsi="Times New Roman" w:cs="Times New Roman"/>
                      <w:color w:val="auto"/>
                      <w:szCs w:val="21"/>
                      <w:shd w:val="clear" w:color="auto" w:fill="FFFFFF"/>
                    </w:rPr>
                    <w:fldChar w:fldCharType="begin"/>
                  </w:r>
                  <w:r>
                    <w:rPr>
                      <w:rStyle w:val="84"/>
                      <w:rFonts w:hint="default" w:ascii="Times New Roman" w:hAnsi="Times New Roman" w:cs="Times New Roman"/>
                      <w:color w:val="auto"/>
                      <w:szCs w:val="21"/>
                      <w:shd w:val="clear" w:color="auto" w:fill="FFFFFF"/>
                    </w:rPr>
                    <w:instrText xml:space="preserve">HYPERLINK "https://baike.baidu.com/item/%E7%9B%B8%E5%AF%B9%E5%AF%86%E5%BA%A6/5064282?fromModule=lemma_inlink" \t "_blank"</w:instrText>
                  </w:r>
                  <w:r>
                    <w:rPr>
                      <w:rStyle w:val="84"/>
                      <w:rFonts w:hint="default" w:ascii="Times New Roman" w:hAnsi="Times New Roman" w:cs="Times New Roman"/>
                      <w:color w:val="auto"/>
                      <w:szCs w:val="21"/>
                      <w:shd w:val="clear" w:color="auto" w:fill="FFFFFF"/>
                    </w:rPr>
                    <w:fldChar w:fldCharType="separate"/>
                  </w:r>
                  <w:r>
                    <w:rPr>
                      <w:rStyle w:val="30"/>
                      <w:rFonts w:hint="default" w:ascii="Times New Roman" w:hAnsi="Times New Roman" w:cs="Times New Roman"/>
                      <w:color w:val="auto"/>
                      <w:szCs w:val="21"/>
                      <w:shd w:val="clear" w:color="auto" w:fill="FFFFFF"/>
                    </w:rPr>
                    <w:t>相对密度</w:t>
                  </w:r>
                  <w:r>
                    <w:rPr>
                      <w:rStyle w:val="84"/>
                      <w:rFonts w:hint="default" w:ascii="Times New Roman" w:hAnsi="Times New Roman" w:cs="Times New Roman"/>
                      <w:color w:val="auto"/>
                      <w:szCs w:val="21"/>
                      <w:shd w:val="clear" w:color="auto" w:fill="FFFFFF"/>
                    </w:rPr>
                    <w:fldChar w:fldCharType="end"/>
                  </w:r>
                  <w:r>
                    <w:rPr>
                      <w:rStyle w:val="84"/>
                      <w:rFonts w:hint="default" w:ascii="Times New Roman" w:hAnsi="Times New Roman" w:cs="Times New Roman"/>
                      <w:color w:val="auto"/>
                      <w:szCs w:val="21"/>
                      <w:shd w:val="clear" w:color="auto" w:fill="FFFFFF"/>
                    </w:rPr>
                    <w:t>1.684，熔点47.2℃，热至125℃时分解，溶于水、</w:t>
                  </w:r>
                  <w:r>
                    <w:rPr>
                      <w:rStyle w:val="84"/>
                      <w:rFonts w:hint="default" w:ascii="Times New Roman" w:hAnsi="Times New Roman" w:cs="Times New Roman"/>
                      <w:color w:val="auto"/>
                      <w:szCs w:val="21"/>
                      <w:shd w:val="clear" w:color="auto" w:fill="FFFFFF"/>
                    </w:rPr>
                    <w:fldChar w:fldCharType="begin"/>
                  </w:r>
                  <w:r>
                    <w:rPr>
                      <w:rStyle w:val="84"/>
                      <w:rFonts w:hint="default" w:ascii="Times New Roman" w:hAnsi="Times New Roman" w:cs="Times New Roman"/>
                      <w:color w:val="auto"/>
                      <w:szCs w:val="21"/>
                      <w:shd w:val="clear" w:color="auto" w:fill="FFFFFF"/>
                    </w:rPr>
                    <w:instrText xml:space="preserve">HYPERLINK "https://baike.baidu.com/item/%E4%B9%99%E9%86%87/135334?fromModule=lemma_inlink" \t "_blank"</w:instrText>
                  </w:r>
                  <w:r>
                    <w:rPr>
                      <w:rStyle w:val="84"/>
                      <w:rFonts w:hint="default" w:ascii="Times New Roman" w:hAnsi="Times New Roman" w:cs="Times New Roman"/>
                      <w:color w:val="auto"/>
                      <w:szCs w:val="21"/>
                      <w:shd w:val="clear" w:color="auto" w:fill="FFFFFF"/>
                    </w:rPr>
                    <w:fldChar w:fldCharType="separate"/>
                  </w:r>
                  <w:r>
                    <w:rPr>
                      <w:rStyle w:val="30"/>
                      <w:rFonts w:hint="default" w:ascii="Times New Roman" w:hAnsi="Times New Roman" w:cs="Times New Roman"/>
                      <w:color w:val="auto"/>
                      <w:szCs w:val="21"/>
                      <w:shd w:val="clear" w:color="auto" w:fill="FFFFFF"/>
                    </w:rPr>
                    <w:t>乙醇</w:t>
                  </w:r>
                  <w:r>
                    <w:rPr>
                      <w:rStyle w:val="84"/>
                      <w:rFonts w:hint="default" w:ascii="Times New Roman" w:hAnsi="Times New Roman" w:cs="Times New Roman"/>
                      <w:color w:val="auto"/>
                      <w:szCs w:val="21"/>
                      <w:shd w:val="clear" w:color="auto" w:fill="FFFFFF"/>
                    </w:rPr>
                    <w:fldChar w:fldCharType="end"/>
                  </w:r>
                  <w:r>
                    <w:rPr>
                      <w:rStyle w:val="84"/>
                      <w:rFonts w:hint="default" w:ascii="Times New Roman" w:hAnsi="Times New Roman" w:cs="Times New Roman"/>
                      <w:color w:val="auto"/>
                      <w:szCs w:val="21"/>
                      <w:shd w:val="clear" w:color="auto" w:fill="FFFFFF"/>
                    </w:rPr>
                    <w:t>和</w:t>
                  </w:r>
                  <w:r>
                    <w:rPr>
                      <w:rStyle w:val="84"/>
                      <w:rFonts w:hint="default" w:ascii="Times New Roman" w:hAnsi="Times New Roman" w:cs="Times New Roman"/>
                      <w:color w:val="auto"/>
                      <w:szCs w:val="21"/>
                      <w:shd w:val="clear" w:color="auto" w:fill="FFFFFF"/>
                    </w:rPr>
                    <w:fldChar w:fldCharType="begin"/>
                  </w:r>
                  <w:r>
                    <w:rPr>
                      <w:rStyle w:val="84"/>
                      <w:rFonts w:hint="default" w:ascii="Times New Roman" w:hAnsi="Times New Roman" w:cs="Times New Roman"/>
                      <w:color w:val="auto"/>
                      <w:szCs w:val="21"/>
                      <w:shd w:val="clear" w:color="auto" w:fill="FFFFFF"/>
                    </w:rPr>
                    <w:instrText xml:space="preserve">HYPERLINK "https://baike.baidu.com/item/%E4%B8%99%E9%85%AE/955883?fromModule=lemma_inlink" \t "_blank"</w:instrText>
                  </w:r>
                  <w:r>
                    <w:rPr>
                      <w:rStyle w:val="84"/>
                      <w:rFonts w:hint="default" w:ascii="Times New Roman" w:hAnsi="Times New Roman" w:cs="Times New Roman"/>
                      <w:color w:val="auto"/>
                      <w:szCs w:val="21"/>
                      <w:shd w:val="clear" w:color="auto" w:fill="FFFFFF"/>
                    </w:rPr>
                    <w:fldChar w:fldCharType="separate"/>
                  </w:r>
                  <w:r>
                    <w:rPr>
                      <w:rStyle w:val="30"/>
                      <w:rFonts w:hint="default" w:ascii="Times New Roman" w:hAnsi="Times New Roman" w:cs="Times New Roman"/>
                      <w:color w:val="auto"/>
                      <w:szCs w:val="21"/>
                      <w:shd w:val="clear" w:color="auto" w:fill="FFFFFF"/>
                    </w:rPr>
                    <w:t>丙酮</w:t>
                  </w:r>
                  <w:r>
                    <w:rPr>
                      <w:rStyle w:val="84"/>
                      <w:rFonts w:hint="default" w:ascii="Times New Roman" w:hAnsi="Times New Roman" w:cs="Times New Roman"/>
                      <w:color w:val="auto"/>
                      <w:szCs w:val="21"/>
                      <w:shd w:val="clear" w:color="auto" w:fill="FFFFFF"/>
                    </w:rPr>
                    <w:fldChar w:fldCharType="end"/>
                  </w:r>
                  <w:r>
                    <w:rPr>
                      <w:rStyle w:val="84"/>
                      <w:rFonts w:hint="default" w:ascii="Times New Roman" w:hAnsi="Times New Roman" w:cs="Times New Roman"/>
                      <w:color w:val="auto"/>
                      <w:szCs w:val="21"/>
                      <w:shd w:val="clear" w:color="auto" w:fill="FFFFFF"/>
                    </w:rPr>
                    <w:t>，易溶于醚，微溶于硝酸。水溶液能被</w:t>
                  </w:r>
                  <w:r>
                    <w:rPr>
                      <w:rStyle w:val="84"/>
                      <w:rFonts w:hint="default" w:ascii="Times New Roman" w:hAnsi="Times New Roman" w:cs="Times New Roman"/>
                      <w:color w:val="auto"/>
                      <w:szCs w:val="21"/>
                      <w:shd w:val="clear" w:color="auto" w:fill="FFFFFF"/>
                    </w:rPr>
                    <w:fldChar w:fldCharType="begin"/>
                  </w:r>
                  <w:r>
                    <w:rPr>
                      <w:rStyle w:val="84"/>
                      <w:rFonts w:hint="default" w:ascii="Times New Roman" w:hAnsi="Times New Roman" w:cs="Times New Roman"/>
                      <w:color w:val="auto"/>
                      <w:szCs w:val="21"/>
                      <w:shd w:val="clear" w:color="auto" w:fill="FFFFFF"/>
                    </w:rPr>
                    <w:instrText xml:space="preserve">HYPERLINK "https://baike.baidu.com/item/%E7%B4%AB%E5%A4%96%E7%BA%BF/95551?fromModule=lemma_inlink" \t "_blank"</w:instrText>
                  </w:r>
                  <w:r>
                    <w:rPr>
                      <w:rStyle w:val="84"/>
                      <w:rFonts w:hint="default" w:ascii="Times New Roman" w:hAnsi="Times New Roman" w:cs="Times New Roman"/>
                      <w:color w:val="auto"/>
                      <w:szCs w:val="21"/>
                      <w:shd w:val="clear" w:color="auto" w:fill="FFFFFF"/>
                    </w:rPr>
                    <w:fldChar w:fldCharType="separate"/>
                  </w:r>
                  <w:r>
                    <w:rPr>
                      <w:rStyle w:val="30"/>
                      <w:rFonts w:hint="default" w:ascii="Times New Roman" w:hAnsi="Times New Roman" w:cs="Times New Roman"/>
                      <w:color w:val="auto"/>
                      <w:szCs w:val="21"/>
                      <w:shd w:val="clear" w:color="auto" w:fill="FFFFFF"/>
                    </w:rPr>
                    <w:t>紫外线</w:t>
                  </w:r>
                  <w:r>
                    <w:rPr>
                      <w:rStyle w:val="84"/>
                      <w:rFonts w:hint="default" w:ascii="Times New Roman" w:hAnsi="Times New Roman" w:cs="Times New Roman"/>
                      <w:color w:val="auto"/>
                      <w:szCs w:val="21"/>
                      <w:shd w:val="clear" w:color="auto" w:fill="FFFFFF"/>
                    </w:rPr>
                    <w:fldChar w:fldCharType="end"/>
                  </w:r>
                  <w:r>
                    <w:rPr>
                      <w:rStyle w:val="84"/>
                      <w:rFonts w:hint="default" w:ascii="Times New Roman" w:hAnsi="Times New Roman" w:cs="Times New Roman"/>
                      <w:color w:val="auto"/>
                      <w:szCs w:val="21"/>
                      <w:shd w:val="clear" w:color="auto" w:fill="FFFFFF"/>
                    </w:rPr>
                    <w:t>分解为</w:t>
                  </w:r>
                  <w:r>
                    <w:rPr>
                      <w:rStyle w:val="84"/>
                      <w:rFonts w:hint="default" w:ascii="Times New Roman" w:hAnsi="Times New Roman" w:cs="Times New Roman"/>
                      <w:color w:val="auto"/>
                      <w:szCs w:val="21"/>
                      <w:shd w:val="clear" w:color="auto" w:fill="FFFFFF"/>
                    </w:rPr>
                    <w:fldChar w:fldCharType="begin"/>
                  </w:r>
                  <w:r>
                    <w:rPr>
                      <w:rStyle w:val="84"/>
                      <w:rFonts w:hint="default" w:ascii="Times New Roman" w:hAnsi="Times New Roman" w:cs="Times New Roman"/>
                      <w:color w:val="auto"/>
                      <w:szCs w:val="21"/>
                      <w:shd w:val="clear" w:color="auto" w:fill="FFFFFF"/>
                    </w:rPr>
                    <w:instrText xml:space="preserve">HYPERLINK "https://baike.baidu.com/item/%E7%A1%9D%E9%85%B8%E4%BA%9A%E9%93%81/10589553?fromModule=lemma_inlink" \t "_blank"</w:instrText>
                  </w:r>
                  <w:r>
                    <w:rPr>
                      <w:rStyle w:val="84"/>
                      <w:rFonts w:hint="default" w:ascii="Times New Roman" w:hAnsi="Times New Roman" w:cs="Times New Roman"/>
                      <w:color w:val="auto"/>
                      <w:szCs w:val="21"/>
                      <w:shd w:val="clear" w:color="auto" w:fill="FFFFFF"/>
                    </w:rPr>
                    <w:fldChar w:fldCharType="separate"/>
                  </w:r>
                  <w:r>
                    <w:rPr>
                      <w:rStyle w:val="30"/>
                      <w:rFonts w:hint="default" w:ascii="Times New Roman" w:hAnsi="Times New Roman" w:cs="Times New Roman"/>
                      <w:color w:val="auto"/>
                      <w:szCs w:val="21"/>
                      <w:shd w:val="clear" w:color="auto" w:fill="FFFFFF"/>
                    </w:rPr>
                    <w:t>硝酸亚铁</w:t>
                  </w:r>
                  <w:r>
                    <w:rPr>
                      <w:rStyle w:val="84"/>
                      <w:rFonts w:hint="default" w:ascii="Times New Roman" w:hAnsi="Times New Roman" w:cs="Times New Roman"/>
                      <w:color w:val="auto"/>
                      <w:szCs w:val="21"/>
                      <w:shd w:val="clear" w:color="auto" w:fill="FFFFFF"/>
                    </w:rPr>
                    <w:fldChar w:fldCharType="end"/>
                  </w:r>
                  <w:r>
                    <w:rPr>
                      <w:rStyle w:val="84"/>
                      <w:rFonts w:hint="default" w:ascii="Times New Roman" w:hAnsi="Times New Roman" w:cs="Times New Roman"/>
                      <w:color w:val="auto"/>
                      <w:szCs w:val="21"/>
                      <w:shd w:val="clear" w:color="auto" w:fill="FFFFFF"/>
                    </w:rPr>
                    <w:t>和氧，故有</w:t>
                  </w:r>
                  <w:r>
                    <w:rPr>
                      <w:rStyle w:val="84"/>
                      <w:rFonts w:hint="default" w:ascii="Times New Roman" w:hAnsi="Times New Roman" w:cs="Times New Roman"/>
                      <w:color w:val="auto"/>
                      <w:szCs w:val="21"/>
                      <w:shd w:val="clear" w:color="auto" w:fill="FFFFFF"/>
                    </w:rPr>
                    <w:fldChar w:fldCharType="begin"/>
                  </w:r>
                  <w:r>
                    <w:rPr>
                      <w:rStyle w:val="84"/>
                      <w:rFonts w:hint="default" w:ascii="Times New Roman" w:hAnsi="Times New Roman" w:cs="Times New Roman"/>
                      <w:color w:val="auto"/>
                      <w:szCs w:val="21"/>
                      <w:shd w:val="clear" w:color="auto" w:fill="FFFFFF"/>
                    </w:rPr>
                    <w:instrText xml:space="preserve">HYPERLINK "https://baike.baidu.com/item/%E6%B0%A7%E5%8C%96%E6%80%A7/4826093?fromModule=lemma_inlink" \t "_blank"</w:instrText>
                  </w:r>
                  <w:r>
                    <w:rPr>
                      <w:rStyle w:val="84"/>
                      <w:rFonts w:hint="default" w:ascii="Times New Roman" w:hAnsi="Times New Roman" w:cs="Times New Roman"/>
                      <w:color w:val="auto"/>
                      <w:szCs w:val="21"/>
                      <w:shd w:val="clear" w:color="auto" w:fill="FFFFFF"/>
                    </w:rPr>
                    <w:fldChar w:fldCharType="separate"/>
                  </w:r>
                  <w:r>
                    <w:rPr>
                      <w:rStyle w:val="30"/>
                      <w:rFonts w:hint="default" w:ascii="Times New Roman" w:hAnsi="Times New Roman" w:cs="Times New Roman"/>
                      <w:color w:val="auto"/>
                      <w:szCs w:val="21"/>
                      <w:shd w:val="clear" w:color="auto" w:fill="FFFFFF"/>
                    </w:rPr>
                    <w:t>氧化性</w:t>
                  </w:r>
                  <w:r>
                    <w:rPr>
                      <w:rStyle w:val="84"/>
                      <w:rFonts w:hint="default" w:ascii="Times New Roman" w:hAnsi="Times New Roman" w:cs="Times New Roman"/>
                      <w:color w:val="auto"/>
                      <w:szCs w:val="21"/>
                      <w:shd w:val="clear" w:color="auto" w:fill="FFFFFF"/>
                    </w:rPr>
                    <w:fldChar w:fldCharType="end"/>
                  </w:r>
                  <w:r>
                    <w:rPr>
                      <w:rStyle w:val="84"/>
                      <w:rFonts w:hint="default" w:ascii="Times New Roman" w:hAnsi="Times New Roman" w:cs="Times New Roman"/>
                      <w:color w:val="auto"/>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cs="Times New Roman"/>
                      <w:bCs/>
                      <w:color w:val="000000"/>
                      <w:szCs w:val="21"/>
                    </w:rPr>
                  </w:pPr>
                  <w:r>
                    <w:rPr>
                      <w:rFonts w:hint="default" w:ascii="Times New Roman" w:hAnsi="Times New Roman" w:cs="Times New Roman"/>
                      <w:szCs w:val="21"/>
                    </w:rPr>
                    <w:t>PTFE乳液</w:t>
                  </w:r>
                </w:p>
              </w:tc>
              <w:tc>
                <w:tcPr>
                  <w:tcW w:w="7060" w:type="dxa"/>
                  <w:vAlign w:val="center"/>
                </w:tcPr>
                <w:p>
                  <w:pPr>
                    <w:jc w:val="center"/>
                    <w:outlineLvl w:val="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聚四氟乙烯（简写为PTFE），俗称“塑料王”，是一种以</w:t>
                  </w:r>
                  <w:r>
                    <w:rPr>
                      <w:rFonts w:hint="default" w:ascii="Times New Roman" w:hAnsi="Times New Roman" w:cs="Times New Roman"/>
                      <w:color w:val="000000"/>
                      <w:kern w:val="0"/>
                      <w:szCs w:val="21"/>
                    </w:rPr>
                    <w:fldChar w:fldCharType="begin"/>
                  </w:r>
                  <w:r>
                    <w:rPr>
                      <w:rFonts w:hint="default" w:ascii="Times New Roman" w:hAnsi="Times New Roman" w:cs="Times New Roman"/>
                      <w:color w:val="000000"/>
                      <w:kern w:val="0"/>
                      <w:szCs w:val="21"/>
                    </w:rPr>
                    <w:instrText xml:space="preserve"> HYPERLINK "https://baike.baidu.com/item/%E5%9B%9B%E6%B0%9F%E4%B9%99%E7%83%AF/2516253" \t "https://baike.baidu.com/item/_blank" </w:instrText>
                  </w:r>
                  <w:r>
                    <w:rPr>
                      <w:rFonts w:hint="default" w:ascii="Times New Roman" w:hAnsi="Times New Roman" w:cs="Times New Roman"/>
                      <w:color w:val="000000"/>
                      <w:kern w:val="0"/>
                      <w:szCs w:val="21"/>
                    </w:rPr>
                    <w:fldChar w:fldCharType="separate"/>
                  </w:r>
                  <w:r>
                    <w:rPr>
                      <w:rFonts w:hint="default" w:ascii="Times New Roman" w:hAnsi="Times New Roman" w:cs="Times New Roman"/>
                      <w:color w:val="000000"/>
                      <w:kern w:val="0"/>
                      <w:szCs w:val="21"/>
                    </w:rPr>
                    <w:t>四氟乙烯</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作为</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"https://baike.baidu.com/item/%E5%8D%95%E4%BD%93/9609955"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kern w:val="0"/>
                      <w:szCs w:val="21"/>
                    </w:rPr>
                    <w:t>单体</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聚合制得的</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"https://baike.baidu.com/item/%E9%AB%98%E5%88%86%E5%AD%90%E8%81%9A%E5%90%88%E7%89%A9/10404353"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kern w:val="0"/>
                      <w:szCs w:val="21"/>
                    </w:rPr>
                    <w:t>高分子聚合物</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。白色蜡状、半透明、耐热、耐寒性优良，可在-180～260ºC长期使用。这种材料具有抗酸抗碱、抗各种</w:t>
                  </w:r>
                  <w:r>
                    <w:rPr>
                      <w:rFonts w:hint="default" w:ascii="Times New Roman" w:hAnsi="Times New Roman" w:cs="Times New Roman"/>
                      <w:color w:val="000000"/>
                      <w:kern w:val="0"/>
                      <w:szCs w:val="21"/>
                    </w:rPr>
                    <w:fldChar w:fldCharType="begin"/>
                  </w:r>
                  <w:r>
                    <w:rPr>
                      <w:rFonts w:hint="default" w:ascii="Times New Roman" w:hAnsi="Times New Roman" w:cs="Times New Roman"/>
                      <w:color w:val="000000"/>
                      <w:kern w:val="0"/>
                      <w:szCs w:val="21"/>
                    </w:rPr>
                    <w:instrText xml:space="preserve"> HYPERLINK "https://baike.baidu.com/item/%E6%9C%89%E6%9C%BA%E6%BA%B6%E5%89%82/7921016" \t "https://baike.baidu.com/item/_blank" </w:instrText>
                  </w:r>
                  <w:r>
                    <w:rPr>
                      <w:rFonts w:hint="default" w:ascii="Times New Roman" w:hAnsi="Times New Roman" w:cs="Times New Roman"/>
                      <w:color w:val="000000"/>
                      <w:kern w:val="0"/>
                      <w:szCs w:val="21"/>
                    </w:rPr>
                    <w:fldChar w:fldCharType="separate"/>
                  </w:r>
                  <w:r>
                    <w:rPr>
                      <w:rFonts w:hint="default" w:ascii="Times New Roman" w:hAnsi="Times New Roman" w:cs="Times New Roman"/>
                      <w:color w:val="000000"/>
                      <w:kern w:val="0"/>
                      <w:szCs w:val="21"/>
                    </w:rPr>
                    <w:t>有机溶剂</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的特点，几乎不溶于所有的溶剂。密度2.2g/cm</w:t>
                  </w:r>
                  <w:r>
                    <w:rPr>
                      <w:rFonts w:hint="default" w:ascii="Times New Roman" w:hAnsi="Times New Roman" w:cs="Times New Roman"/>
                      <w:color w:val="000000"/>
                      <w:kern w:val="0"/>
                      <w:szCs w:val="21"/>
                      <w:vertAlign w:val="superscript"/>
                    </w:rPr>
                    <w:t>3</w:t>
                  </w:r>
                  <w:r>
                    <w:rPr>
                      <w:rFonts w:hint="default" w:ascii="Times New Roman" w:hAnsi="Times New Roman" w:cs="Times New Roman"/>
                      <w:color w:val="000000"/>
                      <w:kern w:val="0"/>
                      <w:szCs w:val="21"/>
                    </w:rPr>
                    <w:t>，折射率1.37（20℃）。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cs="Times New Roman"/>
                      <w:szCs w:val="21"/>
                    </w:rPr>
                  </w:pPr>
                  <w:r>
                    <w:rPr>
                      <w:rFonts w:hint="default" w:ascii="Times New Roman" w:hAnsi="Times New Roman" w:cs="Times New Roman"/>
                      <w:color w:val="000000"/>
                      <w:kern w:val="0"/>
                      <w:szCs w:val="21"/>
                    </w:rPr>
                    <w:t>正丁醇</w:t>
                  </w:r>
                </w:p>
              </w:tc>
              <w:tc>
                <w:tcPr>
                  <w:tcW w:w="7060" w:type="dxa"/>
                  <w:vAlign w:val="center"/>
                </w:tcPr>
                <w:p>
                  <w:pPr>
                    <w:jc w:val="center"/>
                    <w:outlineLvl w:val="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正丁醇，又名1-丁醇，化学式为C</w:t>
                  </w:r>
                  <w:r>
                    <w:rPr>
                      <w:rFonts w:hint="default" w:ascii="Times New Roman" w:hAnsi="Times New Roman" w:cs="Times New Roman"/>
                      <w:color w:val="000000"/>
                      <w:kern w:val="0"/>
                      <w:szCs w:val="21"/>
                      <w:vertAlign w:val="subscript"/>
                    </w:rPr>
                    <w:t>4</w:t>
                  </w:r>
                  <w:r>
                    <w:rPr>
                      <w:rFonts w:hint="default" w:ascii="Times New Roman" w:hAnsi="Times New Roman" w:cs="Times New Roman"/>
                      <w:color w:val="000000"/>
                      <w:kern w:val="0"/>
                      <w:szCs w:val="21"/>
                    </w:rPr>
                    <w:t>H</w:t>
                  </w:r>
                  <w:r>
                    <w:rPr>
                      <w:rFonts w:hint="default" w:ascii="Times New Roman" w:hAnsi="Times New Roman" w:cs="Times New Roman"/>
                      <w:color w:val="000000"/>
                      <w:kern w:val="0"/>
                      <w:szCs w:val="21"/>
                      <w:vertAlign w:val="subscript"/>
                    </w:rPr>
                    <w:t>10</w:t>
                  </w:r>
                  <w:r>
                    <w:rPr>
                      <w:rFonts w:hint="default" w:ascii="Times New Roman" w:hAnsi="Times New Roman" w:cs="Times New Roman"/>
                      <w:color w:val="000000"/>
                      <w:kern w:val="0"/>
                      <w:szCs w:val="21"/>
                    </w:rPr>
                    <w:t>O，为无色透明的液体有机化合物，有酒味。微溶于水，易溶于乙醇、乙醚等多数有机溶剂。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异丙醇</w:t>
                  </w:r>
                </w:p>
              </w:tc>
              <w:tc>
                <w:tcPr>
                  <w:tcW w:w="7060" w:type="dxa"/>
                  <w:vAlign w:val="center"/>
                </w:tcPr>
                <w:p>
                  <w:pPr>
                    <w:jc w:val="center"/>
                    <w:outlineLvl w:val="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异丙醇是一种</w:t>
                  </w:r>
                  <w:r>
                    <w:rPr>
                      <w:rFonts w:hint="default" w:ascii="Times New Roman" w:hAnsi="Times New Roman" w:cs="Times New Roman"/>
                      <w:color w:val="000000"/>
                      <w:kern w:val="0"/>
                      <w:szCs w:val="21"/>
                    </w:rPr>
                    <w:fldChar w:fldCharType="begin"/>
                  </w:r>
                  <w:r>
                    <w:rPr>
                      <w:rFonts w:hint="default" w:ascii="Times New Roman" w:hAnsi="Times New Roman" w:cs="Times New Roman"/>
                      <w:color w:val="000000"/>
                      <w:kern w:val="0"/>
                      <w:szCs w:val="21"/>
                    </w:rPr>
                    <w:instrText xml:space="preserve"> HYPERLINK "https://baike.baidu.com/item/%E6%9C%89%E6%9C%BA%E5%8C%96%E5%90%88%E7%89%A9/2950156" \t "https://baike.baidu.com/item/_blank" </w:instrText>
                  </w:r>
                  <w:r>
                    <w:rPr>
                      <w:rFonts w:hint="default" w:ascii="Times New Roman" w:hAnsi="Times New Roman" w:cs="Times New Roman"/>
                      <w:color w:val="000000"/>
                      <w:kern w:val="0"/>
                      <w:szCs w:val="21"/>
                    </w:rPr>
                    <w:fldChar w:fldCharType="separate"/>
                  </w:r>
                  <w:r>
                    <w:rPr>
                      <w:rFonts w:hint="default" w:ascii="Times New Roman" w:hAnsi="Times New Roman" w:cs="Times New Roman"/>
                      <w:color w:val="000000"/>
                      <w:kern w:val="0"/>
                      <w:szCs w:val="21"/>
                    </w:rPr>
                    <w:t>有机化合物</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，分子式是C</w:t>
                  </w:r>
                  <w:r>
                    <w:rPr>
                      <w:rFonts w:hint="default" w:ascii="Times New Roman" w:hAnsi="Times New Roman" w:cs="Times New Roman"/>
                      <w:color w:val="000000"/>
                      <w:kern w:val="0"/>
                      <w:szCs w:val="21"/>
                      <w:vertAlign w:val="subscript"/>
                    </w:rPr>
                    <w:t>3</w:t>
                  </w:r>
                  <w:r>
                    <w:rPr>
                      <w:rFonts w:hint="default" w:ascii="Times New Roman" w:hAnsi="Times New Roman" w:cs="Times New Roman"/>
                      <w:color w:val="000000"/>
                      <w:kern w:val="0"/>
                      <w:szCs w:val="21"/>
                    </w:rPr>
                    <w:t>H</w:t>
                  </w:r>
                  <w:r>
                    <w:rPr>
                      <w:rFonts w:hint="default" w:ascii="Times New Roman" w:hAnsi="Times New Roman" w:cs="Times New Roman"/>
                      <w:color w:val="000000"/>
                      <w:kern w:val="0"/>
                      <w:szCs w:val="21"/>
                      <w:vertAlign w:val="subscript"/>
                    </w:rPr>
                    <w:t>8</w:t>
                  </w:r>
                  <w:r>
                    <w:rPr>
                      <w:rFonts w:hint="default" w:ascii="Times New Roman" w:hAnsi="Times New Roman" w:cs="Times New Roman"/>
                      <w:color w:val="000000"/>
                      <w:kern w:val="0"/>
                      <w:szCs w:val="21"/>
                    </w:rPr>
                    <w:t>O，是正丙醇的</w:t>
                  </w:r>
                  <w:r>
                    <w:rPr>
                      <w:rFonts w:hint="default" w:ascii="Times New Roman" w:hAnsi="Times New Roman" w:cs="Times New Roman"/>
                      <w:color w:val="000000"/>
                      <w:kern w:val="0"/>
                      <w:szCs w:val="21"/>
                    </w:rPr>
                    <w:fldChar w:fldCharType="begin"/>
                  </w:r>
                  <w:r>
                    <w:rPr>
                      <w:rFonts w:hint="default" w:ascii="Times New Roman" w:hAnsi="Times New Roman" w:cs="Times New Roman"/>
                      <w:color w:val="000000"/>
                      <w:kern w:val="0"/>
                      <w:szCs w:val="21"/>
                    </w:rPr>
                    <w:instrText xml:space="preserve"> HYPERLINK "https://baike.baidu.com/item/%E5%90%8C%E5%88%86%E5%BC%82%E6%9E%84%E4%BD%93/1137110" \t "https://baike.baidu.com/item/_blank" </w:instrText>
                  </w:r>
                  <w:r>
                    <w:rPr>
                      <w:rFonts w:hint="default" w:ascii="Times New Roman" w:hAnsi="Times New Roman" w:cs="Times New Roman"/>
                      <w:color w:val="000000"/>
                      <w:kern w:val="0"/>
                      <w:szCs w:val="21"/>
                    </w:rPr>
                    <w:fldChar w:fldCharType="separate"/>
                  </w:r>
                  <w:r>
                    <w:rPr>
                      <w:rFonts w:hint="default" w:ascii="Times New Roman" w:hAnsi="Times New Roman" w:cs="Times New Roman"/>
                      <w:color w:val="000000"/>
                      <w:kern w:val="0"/>
                      <w:szCs w:val="21"/>
                    </w:rPr>
                    <w:t>同分异构体</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，别名二甲基甲醇、2-丙醇，行业中也作IPA。是无色透明液体，易燃，有似</w:t>
                  </w:r>
                  <w:r>
                    <w:rPr>
                      <w:rFonts w:hint="default" w:ascii="Times New Roman" w:hAnsi="Times New Roman" w:cs="Times New Roman"/>
                      <w:color w:val="000000"/>
                      <w:kern w:val="0"/>
                      <w:szCs w:val="21"/>
                    </w:rPr>
                    <w:fldChar w:fldCharType="begin"/>
                  </w:r>
                  <w:r>
                    <w:rPr>
                      <w:rFonts w:hint="default" w:ascii="Times New Roman" w:hAnsi="Times New Roman" w:cs="Times New Roman"/>
                      <w:color w:val="000000"/>
                      <w:kern w:val="0"/>
                      <w:szCs w:val="21"/>
                    </w:rPr>
                    <w:instrText xml:space="preserve"> HYPERLINK "https://baike.baidu.com/item/%E4%B9%99%E9%86%87/135334" \t "https://baike.baidu.com/item/_blank" </w:instrText>
                  </w:r>
                  <w:r>
                    <w:rPr>
                      <w:rFonts w:hint="default" w:ascii="Times New Roman" w:hAnsi="Times New Roman" w:cs="Times New Roman"/>
                      <w:color w:val="000000"/>
                      <w:kern w:val="0"/>
                      <w:szCs w:val="21"/>
                    </w:rPr>
                    <w:fldChar w:fldCharType="separate"/>
                  </w:r>
                  <w:r>
                    <w:rPr>
                      <w:rFonts w:hint="default" w:ascii="Times New Roman" w:hAnsi="Times New Roman" w:cs="Times New Roman"/>
                      <w:color w:val="000000"/>
                      <w:kern w:val="0"/>
                      <w:szCs w:val="21"/>
                    </w:rPr>
                    <w:t>乙醇</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和</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"https://baike.baidu.com/item/%E4%B8%99%E9%85%AE/955883"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kern w:val="0"/>
                      <w:szCs w:val="21"/>
                    </w:rPr>
                    <w:t>丙酮</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混合物的气味。溶于水，也溶于</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"https://baike.baidu.com/item/%E9%86%87/254166"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kern w:val="0"/>
                      <w:szCs w:val="21"/>
                    </w:rPr>
                    <w:t>醇</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"https://baike.baidu.com/item/%E9%86%9A/1141483"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kern w:val="0"/>
                      <w:szCs w:val="21"/>
                    </w:rPr>
                    <w:t>醚</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"https://baike.baidu.com/item/%E8%8B%AF"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kern w:val="0"/>
                      <w:szCs w:val="21"/>
                    </w:rPr>
                    <w:t>苯</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"https://baike.baidu.com/item/%E6%B0%AF%E4%BB%BF/521847"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kern w:val="0"/>
                      <w:szCs w:val="21"/>
                    </w:rPr>
                    <w:t>氯仿</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等多数</w:t>
                  </w:r>
                  <w:r>
                    <w:rPr>
                      <w:rFonts w:hint="default" w:ascii="Times New Roman" w:hAnsi="Times New Roman" w:cs="Times New Roman"/>
                    </w:rPr>
                    <w:fldChar w:fldCharType="begin"/>
                  </w:r>
                  <w:r>
                    <w:rPr>
                      <w:rFonts w:hint="default" w:ascii="Times New Roman" w:hAnsi="Times New Roman" w:cs="Times New Roman"/>
                    </w:rPr>
                    <w:instrText xml:space="preserve"> HYPERLINK "https://baike.baidu.com/item/%E6%9C%89%E6%9C%BA%E6%BA%B6%E5%89%82/7921016" \t "https://baike.baidu.com/item/_blank" </w:instrText>
                  </w:r>
                  <w:r>
                    <w:rPr>
                      <w:rFonts w:hint="default" w:ascii="Times New Roman" w:hAnsi="Times New Roman" w:cs="Times New Roman"/>
                    </w:rPr>
                    <w:fldChar w:fldCharType="separate"/>
                  </w:r>
                  <w:r>
                    <w:rPr>
                      <w:rFonts w:hint="default" w:ascii="Times New Roman" w:hAnsi="Times New Roman" w:cs="Times New Roman"/>
                      <w:color w:val="000000"/>
                      <w:kern w:val="0"/>
                      <w:szCs w:val="21"/>
                    </w:rPr>
                    <w:t>有机溶剂</w:t>
                  </w:r>
                  <w:r>
                    <w:rPr>
                      <w:rFonts w:hint="default" w:ascii="Times New Roman" w:hAnsi="Times New Roman" w:cs="Times New Roman"/>
                      <w:color w:val="000000"/>
                      <w:kern w:val="0"/>
                      <w:szCs w:val="21"/>
                    </w:rPr>
                    <w:fldChar w:fldCharType="end"/>
                  </w:r>
                  <w:r>
                    <w:rPr>
                      <w:rFonts w:hint="default" w:ascii="Times New Roman" w:hAnsi="Times New Roman" w:cs="Times New Roman"/>
                      <w:color w:val="000000"/>
                      <w:kern w:val="0"/>
                      <w:szCs w:val="21"/>
                    </w:rPr>
                    <w:t>。熔点-87.9℃，沸点82.45℃，密度0.7855g/cm</w:t>
                  </w:r>
                  <w:r>
                    <w:rPr>
                      <w:rFonts w:hint="default" w:ascii="Times New Roman" w:hAnsi="Times New Roman" w:cs="Times New Roman"/>
                      <w:color w:val="000000"/>
                      <w:kern w:val="0"/>
                      <w:szCs w:val="21"/>
                      <w:vertAlign w:val="superscript"/>
                    </w:rPr>
                    <w:t>3</w:t>
                  </w:r>
                  <w:r>
                    <w:rPr>
                      <w:rFonts w:hint="default" w:ascii="Times New Roman" w:hAnsi="Times New Roman" w:cs="Times New Roman"/>
                      <w:color w:val="000000"/>
                      <w:kern w:val="0"/>
                      <w:szCs w:val="21"/>
                    </w:rPr>
                    <w:t>，闪点12℃。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盐酸</w:t>
                  </w:r>
                </w:p>
              </w:tc>
              <w:tc>
                <w:tcPr>
                  <w:tcW w:w="7060" w:type="dxa"/>
                  <w:vAlign w:val="center"/>
                </w:tcPr>
                <w:p>
                  <w:pPr>
                    <w:jc w:val="center"/>
                    <w:outlineLvl w:val="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盐酸是无色液体（工业用盐酸会因有杂质三价铁盐而略显黄色），为氯化氢的水溶液，具有刺激性气味。由于浓盐酸具有挥发性，挥发出的氯化氢气体与空气中的水蒸气作用形成盐酸小液滴，所以会看到白雾。盐酸与水、乙醇任意混溶，氯化氢能溶于许多有机溶剂。浓盐酸稀释有热量放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草酸</w:t>
                  </w:r>
                </w:p>
              </w:tc>
              <w:tc>
                <w:tcPr>
                  <w:tcW w:w="7060" w:type="dxa"/>
                  <w:vAlign w:val="center"/>
                </w:tcPr>
                <w:p>
                  <w:pPr>
                    <w:jc w:val="center"/>
                    <w:outlineLvl w:val="0"/>
                    <w:rPr>
                      <w:rFonts w:hint="default" w:ascii="Times New Roman" w:hAnsi="Times New Roman" w:cs="Times New Roman"/>
                      <w:color w:val="000000"/>
                      <w:kern w:val="0"/>
                      <w:szCs w:val="21"/>
                    </w:rPr>
                  </w:pPr>
                  <w:r>
                    <w:rPr>
                      <w:rFonts w:hint="default" w:ascii="Times New Roman" w:hAnsi="Times New Roman" w:eastAsia="Helvetica" w:cs="Times New Roman"/>
                      <w:color w:val="333333"/>
                      <w:szCs w:val="21"/>
                      <w:shd w:val="clear" w:color="auto" w:fill="FFFFFF"/>
                    </w:rPr>
                    <w:t>草酸是一种有机物，化学式为</w:t>
                  </w:r>
                  <w:r>
                    <w:rPr>
                      <w:rFonts w:hint="default" w:ascii="Times New Roman" w:hAnsi="Times New Roman" w:cs="Times New Roman"/>
                      <w:color w:val="333333"/>
                      <w:szCs w:val="21"/>
                      <w:shd w:val="clear" w:color="auto" w:fill="FFFFFF"/>
                    </w:rPr>
                    <w:t>H</w:t>
                  </w:r>
                  <w:r>
                    <w:rPr>
                      <w:rFonts w:hint="default" w:ascii="Times New Roman" w:hAnsi="Times New Roman" w:cs="Times New Roman"/>
                      <w:color w:val="333333"/>
                      <w:szCs w:val="21"/>
                      <w:shd w:val="clear" w:color="auto" w:fill="FFFFFF"/>
                      <w:vertAlign w:val="subscript"/>
                    </w:rPr>
                    <w:t>2</w:t>
                  </w:r>
                  <w:r>
                    <w:rPr>
                      <w:rFonts w:hint="default" w:ascii="Times New Roman" w:hAnsi="Times New Roman" w:cs="Times New Roman"/>
                      <w:color w:val="333333"/>
                      <w:szCs w:val="21"/>
                      <w:shd w:val="clear" w:color="auto" w:fill="FFFFFF"/>
                    </w:rPr>
                    <w:t>C</w:t>
                  </w:r>
                  <w:r>
                    <w:rPr>
                      <w:rFonts w:hint="default" w:ascii="Times New Roman" w:hAnsi="Times New Roman" w:cs="Times New Roman"/>
                      <w:color w:val="333333"/>
                      <w:szCs w:val="21"/>
                      <w:shd w:val="clear" w:color="auto" w:fill="FFFFFF"/>
                      <w:vertAlign w:val="subscript"/>
                    </w:rPr>
                    <w:t>2</w:t>
                  </w:r>
                  <w:r>
                    <w:rPr>
                      <w:rFonts w:hint="default" w:ascii="Times New Roman" w:hAnsi="Times New Roman" w:cs="Times New Roman"/>
                      <w:color w:val="333333"/>
                      <w:szCs w:val="21"/>
                      <w:shd w:val="clear" w:color="auto" w:fill="FFFFFF"/>
                    </w:rPr>
                    <w:t>O</w:t>
                  </w:r>
                  <w:r>
                    <w:rPr>
                      <w:rFonts w:hint="default" w:ascii="Times New Roman" w:hAnsi="Times New Roman" w:cs="Times New Roman"/>
                      <w:color w:val="333333"/>
                      <w:szCs w:val="21"/>
                      <w:shd w:val="clear" w:color="auto" w:fill="FFFFFF"/>
                      <w:vertAlign w:val="subscript"/>
                    </w:rPr>
                    <w:t>4</w:t>
                  </w:r>
                  <w:r>
                    <w:rPr>
                      <w:rFonts w:hint="default" w:ascii="Times New Roman" w:hAnsi="Times New Roman" w:eastAsia="Helvetica" w:cs="Times New Roman"/>
                      <w:color w:val="333333"/>
                      <w:szCs w:val="21"/>
                      <w:shd w:val="clear" w:color="auto" w:fill="FFFFFF"/>
                    </w:rPr>
                    <w:t>，</w:t>
                  </w:r>
                  <w:r>
                    <w:rPr>
                      <w:rFonts w:hint="default" w:ascii="Times New Roman" w:hAnsi="Times New Roman" w:cs="Times New Roman"/>
                      <w:color w:val="000000"/>
                      <w:kern w:val="0"/>
                      <w:szCs w:val="21"/>
                    </w:rPr>
                    <w:t>无色单斜片状或棱柱体结晶或白色粉末，氧化法草酸无气味，合成法草酸有味。150～160℃升华。在高热干燥空气中能风化。1g溶于7mL水、2mL沸水、2.5mL乙醇、1.8mL沸乙醇、100mL乙醚、5.5mL甘油，不溶于苯、氯仿和石油醚。0.1mol/L溶液的pH为1.3。相对密度（水=1）1.653。熔点189.5℃。低毒，半数致死量（兔，经皮）2000mg/kg</w:t>
                  </w:r>
                  <w:r>
                    <w:rPr>
                      <w:rFonts w:hint="default" w:ascii="Times New Roman" w:hAnsi="Times New Roman" w:cs="Times New Roman"/>
                      <w:color w:val="000000"/>
                      <w:kern w:val="0"/>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73" w:type="dxa"/>
                  <w:vAlign w:val="center"/>
                </w:tcPr>
                <w:p>
                  <w:pPr>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储能功能催化材料</w:t>
                  </w:r>
                </w:p>
              </w:tc>
              <w:tc>
                <w:tcPr>
                  <w:tcW w:w="7060" w:type="dxa"/>
                  <w:vAlign w:val="center"/>
                </w:tcPr>
                <w:p>
                  <w:pPr>
                    <w:jc w:val="center"/>
                    <w:outlineLvl w:val="0"/>
                    <w:rPr>
                      <w:rFonts w:hint="default" w:ascii="Times New Roman" w:hAnsi="Times New Roman" w:eastAsia="Helvetica" w:cs="Times New Roman"/>
                      <w:color w:val="333333"/>
                      <w:szCs w:val="21"/>
                      <w:shd w:val="clear" w:color="auto" w:fill="FFFFFF"/>
                    </w:rPr>
                  </w:pPr>
                  <w:r>
                    <w:rPr>
                      <w:rFonts w:hint="default" w:ascii="Times New Roman" w:hAnsi="Times New Roman" w:cs="Times New Roman"/>
                      <w:color w:val="333333"/>
                      <w:szCs w:val="21"/>
                      <w:shd w:val="clear" w:color="auto" w:fill="FFFFFF"/>
                    </w:rPr>
                    <w:t>主要成分为炭黑基底材料，主要化学成分为石墨型碳，黑色粉末状，无气味无毒，</w:t>
                  </w:r>
                  <w:r>
                    <w:rPr>
                      <w:rFonts w:hint="default" w:ascii="Times New Roman" w:hAnsi="Times New Roman" w:cs="Times New Roman"/>
                      <w:color w:val="000000"/>
                      <w:kern w:val="0"/>
                      <w:szCs w:val="21"/>
                    </w:rPr>
                    <w:t>耐热、耐寒性优良，是用于储能功能材料的关键功能材料。</w:t>
                  </w:r>
                </w:p>
              </w:tc>
            </w:tr>
          </w:tbl>
          <w:p>
            <w:pPr>
              <w:widowControl/>
              <w:rPr>
                <w:rFonts w:hint="default" w:ascii="Times New Roman" w:hAnsi="Times New Roman" w:cs="Times New Roman"/>
                <w:b/>
                <w:color w:val="000000"/>
                <w:kern w:val="0"/>
                <w:szCs w:val="21"/>
              </w:rPr>
            </w:pPr>
          </w:p>
          <w:p>
            <w:pPr>
              <w:widowControl/>
              <w:adjustRightInd w:val="0"/>
              <w:snapToGrid w:val="0"/>
              <w:spacing w:line="360" w:lineRule="auto"/>
              <w:ind w:firstLine="482" w:firstLineChars="200"/>
              <w:rPr>
                <w:rFonts w:hint="default" w:ascii="Times New Roman" w:hAnsi="Times New Roman" w:cs="Times New Roman"/>
                <w:b/>
                <w:bCs/>
                <w:color w:val="000000"/>
                <w:sz w:val="24"/>
              </w:rPr>
            </w:pPr>
            <w:r>
              <w:rPr>
                <w:rFonts w:hint="default" w:ascii="Times New Roman" w:hAnsi="Times New Roman" w:cs="Times New Roman"/>
                <w:b/>
                <w:bCs/>
                <w:color w:val="000000"/>
                <w:sz w:val="24"/>
              </w:rPr>
              <w:t>（四）主要研发与生产设施</w:t>
            </w:r>
          </w:p>
          <w:p>
            <w:pPr>
              <w:pStyle w:val="62"/>
              <w:ind w:firstLine="420"/>
              <w:jc w:val="both"/>
              <w:rPr>
                <w:rFonts w:hint="default" w:ascii="Times New Roman" w:hAnsi="Times New Roman" w:cs="Times New Roman"/>
                <w:b w:val="0"/>
                <w:bCs w:val="0"/>
                <w:color w:val="000000"/>
              </w:rPr>
            </w:pPr>
            <w:r>
              <w:rPr>
                <w:rFonts w:hint="default" w:ascii="Times New Roman" w:hAnsi="Times New Roman" w:cs="Times New Roman"/>
                <w:b w:val="0"/>
                <w:bCs w:val="0"/>
                <w:color w:val="000000"/>
              </w:rPr>
              <w:t>本项目主要研发与生产设施见下表：</w:t>
            </w:r>
          </w:p>
          <w:p>
            <w:pPr>
              <w:widowControl/>
              <w:numPr>
                <w:ilvl w:val="0"/>
                <w:numId w:val="1"/>
              </w:num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 xml:space="preserve">  项目主要研发与生产设施一览表</w:t>
            </w:r>
          </w:p>
          <w:tbl>
            <w:tblPr>
              <w:tblStyle w:val="2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2115"/>
              <w:gridCol w:w="1984"/>
              <w:gridCol w:w="965"/>
              <w:gridCol w:w="1472"/>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Align w:val="center"/>
                </w:tcPr>
                <w:p>
                  <w:pPr>
                    <w:jc w:val="center"/>
                    <w:rPr>
                      <w:rFonts w:hint="default" w:ascii="Times New Roman" w:hAnsi="Times New Roman" w:cs="Times New Roman"/>
                      <w:b/>
                      <w:sz w:val="21"/>
                      <w:szCs w:val="21"/>
                    </w:rPr>
                  </w:pPr>
                  <w:bookmarkStart w:id="3" w:name="_Hlk150935645"/>
                  <w:r>
                    <w:rPr>
                      <w:rFonts w:hint="default" w:ascii="Times New Roman" w:hAnsi="Times New Roman" w:cs="Times New Roman"/>
                      <w:b/>
                      <w:sz w:val="21"/>
                      <w:szCs w:val="21"/>
                    </w:rPr>
                    <w:t>序号</w:t>
                  </w:r>
                </w:p>
              </w:tc>
              <w:tc>
                <w:tcPr>
                  <w:tcW w:w="1225" w:type="pct"/>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名   称</w:t>
                  </w:r>
                </w:p>
              </w:tc>
              <w:tc>
                <w:tcPr>
                  <w:tcW w:w="1149" w:type="pct"/>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型 号</w:t>
                  </w:r>
                </w:p>
              </w:tc>
              <w:tc>
                <w:tcPr>
                  <w:tcW w:w="559" w:type="pct"/>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数量</w:t>
                  </w:r>
                </w:p>
              </w:tc>
              <w:tc>
                <w:tcPr>
                  <w:tcW w:w="853" w:type="pct"/>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用途</w:t>
                  </w:r>
                </w:p>
              </w:tc>
              <w:tc>
                <w:tcPr>
                  <w:tcW w:w="854" w:type="pct"/>
                  <w:vAlign w:val="center"/>
                </w:tcPr>
                <w:p>
                  <w:pPr>
                    <w:jc w:val="center"/>
                    <w:rPr>
                      <w:rFonts w:hint="default" w:ascii="Times New Roman" w:hAnsi="Times New Roman" w:eastAsia="宋体" w:cs="Times New Roman"/>
                      <w:b/>
                      <w:sz w:val="21"/>
                      <w:szCs w:val="21"/>
                      <w:lang w:eastAsia="zh-CN"/>
                    </w:rPr>
                  </w:pPr>
                  <w:r>
                    <w:rPr>
                      <w:rFonts w:hint="default" w:ascii="Times New Roman" w:hAnsi="Times New Roman" w:cs="Times New Roman"/>
                      <w:b/>
                      <w:sz w:val="21"/>
                      <w:szCs w:val="21"/>
                      <w:lang w:eastAsia="zh-CN"/>
                    </w:rPr>
                    <w:t>所在位置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喷砂机</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JCK-9060A</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打磨</w:t>
                  </w:r>
                </w:p>
              </w:tc>
              <w:tc>
                <w:tcPr>
                  <w:tcW w:w="854" w:type="pct"/>
                  <w:vMerge w:val="restar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生产1</w:t>
                  </w:r>
                  <w:r>
                    <w:rPr>
                      <w:rFonts w:hint="default" w:ascii="Times New Roman" w:hAnsi="Times New Roman" w:cs="Times New Roman"/>
                      <w:sz w:val="21"/>
                      <w:szCs w:val="21"/>
                      <w:lang w:eastAsia="zh-CN"/>
                    </w:rPr>
                    <w:t>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酸洗槽</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SK定制</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表面处理</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低温防腐烤箱</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DFKX101012</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烘干</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滤芯高温试验烤箱</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DFKX101012GW</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烘干</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箱式高温烧结炉</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KSL-1200X-5L</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加热</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盐雾试验机</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OLT-40</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耐腐蚀测试</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龙门架</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SK-LMJ</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升降</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w:t>
                  </w:r>
                </w:p>
              </w:tc>
              <w:tc>
                <w:tcPr>
                  <w:tcW w:w="1225"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激光切割机</w:t>
                  </w:r>
                </w:p>
              </w:tc>
              <w:tc>
                <w:tcPr>
                  <w:tcW w:w="114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CMA0604-B-A</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薄膜裁剪</w:t>
                  </w:r>
                </w:p>
              </w:tc>
              <w:tc>
                <w:tcPr>
                  <w:tcW w:w="854" w:type="pct"/>
                  <w:vMerge w:val="restar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生产2</w:t>
                  </w:r>
                  <w:r>
                    <w:rPr>
                      <w:rFonts w:hint="default" w:ascii="Times New Roman" w:hAnsi="Times New Roman" w:cs="Times New Roman"/>
                      <w:sz w:val="21"/>
                      <w:szCs w:val="21"/>
                      <w:lang w:eastAsia="zh-CN"/>
                    </w:rPr>
                    <w:t>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烘箱</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DGH-9036A</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2</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烘干</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电热恒温鼓风干燥箱</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101-00BS</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2</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烘干</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11</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热风循环烘箱</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JMHX</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烘干</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12</w:t>
                  </w:r>
                </w:p>
              </w:tc>
              <w:tc>
                <w:tcPr>
                  <w:tcW w:w="1225"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喷涂机</w:t>
                  </w:r>
                </w:p>
              </w:tc>
              <w:tc>
                <w:tcPr>
                  <w:tcW w:w="114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UAM4000L</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喷涂</w:t>
                  </w:r>
                </w:p>
              </w:tc>
              <w:tc>
                <w:tcPr>
                  <w:tcW w:w="854" w:type="pct"/>
                  <w:vMerge w:val="restar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13</w:t>
                  </w:r>
                </w:p>
              </w:tc>
              <w:tc>
                <w:tcPr>
                  <w:tcW w:w="1225"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油浴锅</w:t>
                  </w:r>
                </w:p>
              </w:tc>
              <w:tc>
                <w:tcPr>
                  <w:tcW w:w="114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DF-101S</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5</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加热</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14</w:t>
                  </w:r>
                </w:p>
              </w:tc>
              <w:tc>
                <w:tcPr>
                  <w:tcW w:w="1225"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小型管式炉</w:t>
                  </w:r>
                </w:p>
              </w:tc>
              <w:tc>
                <w:tcPr>
                  <w:tcW w:w="114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OTF-1200X</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2</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加热</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15</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攻丝机</w:t>
                  </w:r>
                </w:p>
              </w:tc>
              <w:tc>
                <w:tcPr>
                  <w:tcW w:w="1149" w:type="pct"/>
                  <w:vAlign w:val="center"/>
                </w:tcPr>
                <w:p>
                  <w:pPr>
                    <w:tabs>
                      <w:tab w:val="left" w:pos="293"/>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SRM-M16</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攻丝</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16</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小型台钻</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Z4116</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打孔</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17</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离心机</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TGL-15B</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离心</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18</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气相色谱仪</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A91PLUS</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色谱分析</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19</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紫外可见分光光度计</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UV-1780</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光谱分析</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20</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电化学工作站</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CHI760E C16312</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测量电化学</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21</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辊压机</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MSK-HRP-04B</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压片</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22</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电池测试系统</w:t>
                  </w:r>
                </w:p>
              </w:tc>
              <w:tc>
                <w:tcPr>
                  <w:tcW w:w="1149" w:type="pct"/>
                  <w:vAlign w:val="center"/>
                </w:tcPr>
                <w:p>
                  <w:pPr>
                    <w:ind w:firstLine="216"/>
                    <w:jc w:val="center"/>
                    <w:rPr>
                      <w:rFonts w:hint="default" w:ascii="Times New Roman" w:hAnsi="Times New Roman" w:cs="Times New Roman"/>
                      <w:sz w:val="21"/>
                      <w:szCs w:val="21"/>
                    </w:rPr>
                  </w:pPr>
                  <w:r>
                    <w:rPr>
                      <w:rFonts w:hint="default" w:ascii="Times New Roman" w:hAnsi="Times New Roman" w:cs="Times New Roman"/>
                      <w:sz w:val="21"/>
                      <w:szCs w:val="21"/>
                    </w:rPr>
                    <w:t>蓝电20V20A2C/</w:t>
                  </w:r>
                </w:p>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20V40A2C</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2</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电池测试</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23</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冷冻干燥机</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SCIENTZ-10N</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去除水分</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24</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行星球磨机</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YXQM-1L</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球磨</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25</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旋转蒸发器</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RE-52AA</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蒸发</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26</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永磁变频螺杆式空压机</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DY-10ZV</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空气压缩</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27</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真空干燥箱</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DZF-6020</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干燥</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28</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低温试验箱</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DW-25</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低温试验测试</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29</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生化培养箱</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SN-SPX-30B</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仅用于恒温保存</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30</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管式炉</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TL1200</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加热</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31</w:t>
                  </w:r>
                </w:p>
              </w:tc>
              <w:tc>
                <w:tcPr>
                  <w:tcW w:w="1225" w:type="pct"/>
                  <w:vAlign w:val="center"/>
                </w:tcPr>
                <w:p>
                  <w:pPr>
                    <w:tabs>
                      <w:tab w:val="right" w:pos="2204"/>
                    </w:tabs>
                    <w:jc w:val="center"/>
                    <w:rPr>
                      <w:rFonts w:hint="default" w:ascii="Times New Roman" w:hAnsi="Times New Roman" w:cs="Times New Roman"/>
                      <w:sz w:val="21"/>
                      <w:szCs w:val="21"/>
                    </w:rPr>
                  </w:pPr>
                  <w:r>
                    <w:rPr>
                      <w:rFonts w:hint="default" w:ascii="Times New Roman" w:hAnsi="Times New Roman" w:cs="Times New Roman"/>
                      <w:sz w:val="21"/>
                      <w:szCs w:val="21"/>
                    </w:rPr>
                    <w:t>涂布机</w:t>
                  </w:r>
                </w:p>
              </w:tc>
              <w:tc>
                <w:tcPr>
                  <w:tcW w:w="1149" w:type="pct"/>
                  <w:vAlign w:val="center"/>
                </w:tcPr>
                <w:p>
                  <w:pPr>
                    <w:ind w:firstLine="216" w:firstLineChars="0"/>
                    <w:jc w:val="center"/>
                    <w:rPr>
                      <w:rFonts w:hint="default" w:ascii="Times New Roman" w:hAnsi="Times New Roman" w:cs="Times New Roman"/>
                      <w:sz w:val="21"/>
                      <w:szCs w:val="21"/>
                    </w:rPr>
                  </w:pPr>
                  <w:r>
                    <w:rPr>
                      <w:rFonts w:hint="default" w:ascii="Times New Roman" w:hAnsi="Times New Roman" w:cs="Times New Roman"/>
                      <w:sz w:val="21"/>
                      <w:szCs w:val="21"/>
                    </w:rPr>
                    <w:t>MSK-AFA-1VD</w:t>
                  </w:r>
                </w:p>
              </w:tc>
              <w:tc>
                <w:tcPr>
                  <w:tcW w:w="559"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涂布</w:t>
                  </w:r>
                </w:p>
              </w:tc>
              <w:tc>
                <w:tcPr>
                  <w:tcW w:w="854" w:type="pct"/>
                  <w:vMerge w:val="continue"/>
                  <w:vAlign w:val="center"/>
                </w:tcPr>
                <w:p>
                  <w:pPr>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32</w:t>
                  </w:r>
                </w:p>
              </w:tc>
              <w:tc>
                <w:tcPr>
                  <w:tcW w:w="1225" w:type="pct"/>
                  <w:vAlign w:val="center"/>
                </w:tcPr>
                <w:p>
                  <w:pPr>
                    <w:tabs>
                      <w:tab w:val="right" w:pos="2204"/>
                    </w:tabs>
                    <w:jc w:val="center"/>
                    <w:rPr>
                      <w:rFonts w:hint="default" w:ascii="Times New Roman" w:hAnsi="Times New Roman" w:cs="Times New Roman"/>
                      <w:sz w:val="21"/>
                      <w:szCs w:val="21"/>
                    </w:rPr>
                  </w:pPr>
                  <w:r>
                    <w:rPr>
                      <w:rFonts w:hint="default" w:ascii="Times New Roman" w:hAnsi="Times New Roman" w:cs="Times New Roman"/>
                      <w:sz w:val="21"/>
                      <w:szCs w:val="21"/>
                    </w:rPr>
                    <w:t>小型液压机</w:t>
                  </w:r>
                </w:p>
              </w:tc>
              <w:tc>
                <w:tcPr>
                  <w:tcW w:w="1149" w:type="pct"/>
                  <w:vAlign w:val="center"/>
                </w:tcPr>
                <w:p>
                  <w:pPr>
                    <w:ind w:firstLine="216" w:firstLineChars="0"/>
                    <w:jc w:val="center"/>
                    <w:rPr>
                      <w:rFonts w:hint="default" w:ascii="Times New Roman" w:hAnsi="Times New Roman" w:cs="Times New Roman"/>
                      <w:sz w:val="21"/>
                      <w:szCs w:val="21"/>
                    </w:rPr>
                  </w:pPr>
                  <w:r>
                    <w:rPr>
                      <w:rFonts w:hint="default" w:ascii="Times New Roman" w:hAnsi="Times New Roman" w:cs="Times New Roman"/>
                      <w:sz w:val="21"/>
                      <w:szCs w:val="21"/>
                    </w:rPr>
                    <w:t>YYJ</w:t>
                  </w:r>
                </w:p>
              </w:tc>
              <w:tc>
                <w:tcPr>
                  <w:tcW w:w="559"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液压</w:t>
                  </w:r>
                </w:p>
              </w:tc>
              <w:tc>
                <w:tcPr>
                  <w:tcW w:w="854" w:type="pct"/>
                  <w:vMerge w:val="continue"/>
                  <w:vAlign w:val="center"/>
                </w:tcPr>
                <w:p>
                  <w:pPr>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33</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液压车</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YY-3000</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运输货物</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34</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热水器</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RSD-1</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加热</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35</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漩涡搅拌器</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HD2004W</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4</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搅拌</w:t>
                  </w:r>
                </w:p>
              </w:tc>
              <w:tc>
                <w:tcPr>
                  <w:tcW w:w="854" w:type="pct"/>
                  <w:vMerge w:val="continue"/>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36</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传送组装台</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SKCSZZ</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3</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生产</w:t>
                  </w:r>
                </w:p>
              </w:tc>
              <w:tc>
                <w:tcPr>
                  <w:tcW w:w="854"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37</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贴标机</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HB-320</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贴标</w:t>
                  </w:r>
                </w:p>
              </w:tc>
              <w:tc>
                <w:tcPr>
                  <w:tcW w:w="854"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58" w:type="pc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38</w:t>
                  </w:r>
                </w:p>
              </w:tc>
              <w:tc>
                <w:tcPr>
                  <w:tcW w:w="1225" w:type="pct"/>
                  <w:vAlign w:val="center"/>
                </w:tcPr>
                <w:p>
                  <w:pPr>
                    <w:tabs>
                      <w:tab w:val="right" w:pos="2204"/>
                    </w:tabs>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捆扎机</w:t>
                  </w:r>
                </w:p>
              </w:tc>
              <w:tc>
                <w:tcPr>
                  <w:tcW w:w="1149" w:type="pct"/>
                  <w:vAlign w:val="center"/>
                </w:tcPr>
                <w:p>
                  <w:pPr>
                    <w:ind w:firstLine="216"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YS-A2</w:t>
                  </w:r>
                </w:p>
              </w:tc>
              <w:tc>
                <w:tcPr>
                  <w:tcW w:w="559"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853"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打包</w:t>
                  </w:r>
                </w:p>
              </w:tc>
              <w:tc>
                <w:tcPr>
                  <w:tcW w:w="854"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生产</w:t>
                  </w:r>
                </w:p>
              </w:tc>
            </w:tr>
            <w:bookmarkEnd w:id="3"/>
          </w:tbl>
          <w:p>
            <w:pPr>
              <w:widowControl/>
              <w:rPr>
                <w:rFonts w:hint="default" w:ascii="Times New Roman" w:hAnsi="Times New Roman" w:cs="Times New Roman"/>
                <w:b/>
                <w:color w:val="000000"/>
                <w:kern w:val="0"/>
                <w:szCs w:val="21"/>
              </w:rPr>
            </w:pPr>
          </w:p>
          <w:p>
            <w:pPr>
              <w:widowControl/>
              <w:adjustRightInd w:val="0"/>
              <w:snapToGrid w:val="0"/>
              <w:spacing w:line="360" w:lineRule="auto"/>
              <w:ind w:firstLine="482" w:firstLineChars="200"/>
              <w:rPr>
                <w:rFonts w:hint="default" w:ascii="Times New Roman" w:hAnsi="Times New Roman" w:cs="Times New Roman"/>
                <w:b/>
                <w:bCs/>
                <w:color w:val="000000"/>
                <w:sz w:val="24"/>
              </w:rPr>
            </w:pPr>
            <w:r>
              <w:rPr>
                <w:rFonts w:hint="default" w:ascii="Times New Roman" w:hAnsi="Times New Roman" w:cs="Times New Roman"/>
                <w:b/>
                <w:bCs/>
                <w:color w:val="000000"/>
                <w:sz w:val="24"/>
              </w:rPr>
              <w:t>（五）水平衡</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1、废水污染源分析</w:t>
            </w:r>
          </w:p>
          <w:p>
            <w:pPr>
              <w:widowControl/>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本项目用水主要为职工</w:t>
            </w:r>
            <w:r>
              <w:rPr>
                <w:rFonts w:hint="default" w:ascii="Times New Roman" w:hAnsi="Times New Roman" w:cs="Times New Roman"/>
                <w:color w:val="000000"/>
                <w:kern w:val="0"/>
                <w:sz w:val="24"/>
                <w:lang w:bidi="ar"/>
              </w:rPr>
              <w:t>办公</w:t>
            </w:r>
            <w:r>
              <w:rPr>
                <w:rFonts w:hint="default" w:ascii="Times New Roman" w:hAnsi="Times New Roman" w:cs="Times New Roman"/>
                <w:color w:val="000000"/>
                <w:sz w:val="24"/>
              </w:rPr>
              <w:t>生活用水、车间保洁用水、溶液配备用水和喷淋塔用水。</w:t>
            </w:r>
          </w:p>
          <w:p>
            <w:pPr>
              <w:widowControl/>
              <w:spacing w:line="360" w:lineRule="auto"/>
              <w:ind w:firstLine="480" w:firstLineChars="200"/>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①职工办公生活用水</w:t>
            </w:r>
          </w:p>
          <w:p>
            <w:pPr>
              <w:widowControl/>
              <w:spacing w:line="360" w:lineRule="auto"/>
              <w:ind w:firstLine="480" w:firstLineChars="200"/>
              <w:rPr>
                <w:rFonts w:hint="default" w:ascii="Times New Roman" w:hAnsi="Times New Roman" w:cs="Times New Roman"/>
                <w:color w:val="000000"/>
                <w:kern w:val="0"/>
                <w:sz w:val="24"/>
                <w:lang w:bidi="ar"/>
              </w:rPr>
            </w:pPr>
            <w:r>
              <w:rPr>
                <w:rFonts w:hint="default" w:ascii="Times New Roman" w:hAnsi="Times New Roman" w:cs="Times New Roman"/>
                <w:color w:val="000000"/>
                <w:sz w:val="24"/>
              </w:rPr>
              <w:t>本项目劳动定员40人，生活用水按照人均</w:t>
            </w:r>
            <w:r>
              <w:rPr>
                <w:rFonts w:hint="default" w:ascii="Times New Roman" w:hAnsi="Times New Roman" w:cs="Times New Roman"/>
                <w:bCs/>
                <w:color w:val="000000"/>
                <w:sz w:val="24"/>
              </w:rPr>
              <w:t>用水量50L/（d·人）计，年工作日280d，生活用水量为2</w:t>
            </w:r>
            <w:r>
              <w:rPr>
                <w:rFonts w:hint="default" w:ascii="Times New Roman" w:hAnsi="Times New Roman" w:cs="Times New Roman"/>
                <w:color w:val="000000"/>
                <w:sz w:val="24"/>
              </w:rPr>
              <w:t>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/d（560m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/a），排污系数以0.8计，生活污水产生量为1.6m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/d（448m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/a），</w:t>
            </w:r>
            <w:r>
              <w:rPr>
                <w:rFonts w:hint="default" w:ascii="Times New Roman" w:hAnsi="Times New Roman" w:cs="Times New Roman"/>
                <w:bCs/>
                <w:color w:val="000000"/>
                <w:sz w:val="24"/>
                <w:lang w:bidi="ar"/>
              </w:rPr>
              <w:t>废水中主要污染物浓度为COD：300mg/L、BOD</w:t>
            </w:r>
            <w:r>
              <w:rPr>
                <w:rFonts w:hint="default" w:ascii="Times New Roman" w:hAnsi="Times New Roman" w:cs="Times New Roman"/>
                <w:bCs/>
                <w:color w:val="000000"/>
                <w:sz w:val="24"/>
                <w:vertAlign w:val="subscript"/>
                <w:lang w:bidi="ar"/>
              </w:rPr>
              <w:t>5</w:t>
            </w:r>
            <w:r>
              <w:rPr>
                <w:rFonts w:hint="default" w:ascii="Times New Roman" w:hAnsi="Times New Roman" w:cs="Times New Roman"/>
                <w:bCs/>
                <w:color w:val="000000"/>
                <w:sz w:val="24"/>
                <w:lang w:bidi="ar"/>
              </w:rPr>
              <w:t>：150mg/L、SS：120mg/L、NH</w:t>
            </w:r>
            <w:r>
              <w:rPr>
                <w:rFonts w:hint="default" w:ascii="Times New Roman" w:hAnsi="Times New Roman" w:cs="Times New Roman"/>
                <w:bCs/>
                <w:color w:val="000000"/>
                <w:sz w:val="24"/>
                <w:vertAlign w:val="subscript"/>
                <w:lang w:bidi="ar"/>
              </w:rPr>
              <w:t>3</w:t>
            </w:r>
            <w:r>
              <w:rPr>
                <w:rFonts w:hint="default" w:ascii="Times New Roman" w:hAnsi="Times New Roman" w:cs="Times New Roman"/>
                <w:bCs/>
                <w:color w:val="000000"/>
                <w:sz w:val="24"/>
                <w:lang w:bidi="ar"/>
              </w:rPr>
              <w:t>-N：30mg/L、TP：1.5mg/L、TN：35mg/L</w:t>
            </w:r>
            <w:r>
              <w:rPr>
                <w:rFonts w:hint="default" w:ascii="Times New Roman" w:hAnsi="Times New Roman" w:cs="Times New Roman"/>
                <w:bCs/>
                <w:color w:val="000000"/>
                <w:sz w:val="24"/>
              </w:rPr>
              <w:t>，</w:t>
            </w:r>
            <w:r>
              <w:rPr>
                <w:rFonts w:hint="default" w:ascii="Times New Roman" w:hAnsi="Times New Roman" w:cs="Times New Roman"/>
                <w:color w:val="000000"/>
                <w:sz w:val="24"/>
              </w:rPr>
              <w:t>经化粪池预处理后直接进入总排口，用水为市政自来水。</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②车间保洁用水</w:t>
            </w:r>
          </w:p>
          <w:p>
            <w:pPr>
              <w:spacing w:line="360" w:lineRule="auto"/>
              <w:ind w:firstLine="480" w:firstLineChars="200"/>
              <w:rPr>
                <w:rFonts w:hint="default" w:ascii="Times New Roman" w:hAnsi="Times New Roman" w:cs="Times New Roman"/>
                <w:bCs/>
                <w:color w:val="000000"/>
                <w:sz w:val="24"/>
              </w:rPr>
            </w:pPr>
            <w:r>
              <w:rPr>
                <w:rFonts w:hint="default" w:ascii="Times New Roman" w:hAnsi="Times New Roman" w:cs="Times New Roman"/>
                <w:color w:val="000000"/>
                <w:sz w:val="24"/>
              </w:rPr>
              <w:t>厂房建筑面积为2127.61m</w:t>
            </w:r>
            <w:r>
              <w:rPr>
                <w:rFonts w:hint="default" w:ascii="Times New Roman" w:hAnsi="Times New Roman" w:cs="Times New Roman"/>
                <w:color w:val="000000"/>
                <w:sz w:val="24"/>
                <w:vertAlign w:val="superscript"/>
              </w:rPr>
              <w:t>2</w:t>
            </w:r>
            <w:r>
              <w:rPr>
                <w:rFonts w:hint="default" w:ascii="Times New Roman" w:hAnsi="Times New Roman" w:cs="Times New Roman"/>
                <w:color w:val="000000"/>
                <w:sz w:val="24"/>
              </w:rPr>
              <w:t>，保洁用水量按0.5L/m</w:t>
            </w:r>
            <w:r>
              <w:rPr>
                <w:rFonts w:hint="default" w:ascii="Times New Roman" w:hAnsi="Times New Roman" w:cs="Times New Roman"/>
                <w:color w:val="000000"/>
                <w:sz w:val="24"/>
                <w:vertAlign w:val="superscript"/>
              </w:rPr>
              <w:t>2</w:t>
            </w:r>
            <w:r>
              <w:rPr>
                <w:rFonts w:hint="default" w:ascii="Times New Roman" w:hAnsi="Times New Roman" w:cs="Times New Roman"/>
                <w:color w:val="000000"/>
                <w:sz w:val="24"/>
              </w:rPr>
              <w:t>·d计，损耗率按20%，则厂房地面保洁用水量为1.063m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/d（297.865m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/a），厂房地面保洁废水为0.850m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/d（238m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/a）。废水中主要污染物浓度为COD：100mg/L、BOD</w:t>
            </w:r>
            <w:r>
              <w:rPr>
                <w:rFonts w:hint="default" w:ascii="Times New Roman" w:hAnsi="Times New Roman" w:cs="Times New Roman"/>
                <w:color w:val="000000"/>
                <w:sz w:val="24"/>
                <w:vertAlign w:val="subscript"/>
              </w:rPr>
              <w:t>5</w:t>
            </w:r>
            <w:r>
              <w:rPr>
                <w:rFonts w:hint="default" w:ascii="Times New Roman" w:hAnsi="Times New Roman" w:cs="Times New Roman"/>
                <w:color w:val="000000"/>
                <w:sz w:val="24"/>
              </w:rPr>
              <w:t>：30mg/L、SS：200mg/L、NH</w:t>
            </w:r>
            <w:r>
              <w:rPr>
                <w:rFonts w:hint="default" w:ascii="Times New Roman" w:hAnsi="Times New Roman" w:cs="Times New Roman"/>
                <w:color w:val="000000"/>
                <w:sz w:val="24"/>
                <w:vertAlign w:val="subscript"/>
              </w:rPr>
              <w:t>3</w:t>
            </w:r>
            <w:r>
              <w:rPr>
                <w:rFonts w:hint="default" w:ascii="Times New Roman" w:hAnsi="Times New Roman" w:cs="Times New Roman"/>
                <w:color w:val="000000"/>
                <w:sz w:val="24"/>
              </w:rPr>
              <w:t>-N：15mg/L，经明珠产业园化粪池预处理后直接进入总排口，用水为市政自来水。</w:t>
            </w:r>
          </w:p>
          <w:p>
            <w:pPr>
              <w:spacing w:line="360" w:lineRule="auto"/>
              <w:ind w:firstLine="480" w:firstLineChars="200"/>
              <w:rPr>
                <w:rFonts w:hint="default" w:ascii="Times New Roman" w:hAnsi="Times New Roman" w:cs="Times New Roman"/>
                <w:color w:val="000000"/>
                <w:sz w:val="24"/>
                <w:lang w:bidi="ar"/>
              </w:rPr>
            </w:pPr>
            <w:r>
              <w:rPr>
                <w:rFonts w:hint="default" w:ascii="Times New Roman" w:hAnsi="Times New Roman" w:cs="Times New Roman"/>
                <w:color w:val="000000"/>
                <w:sz w:val="24"/>
                <w:lang w:bidi="ar"/>
              </w:rPr>
              <w:t>③草酸溶液配制用水</w:t>
            </w:r>
          </w:p>
          <w:p>
            <w:pPr>
              <w:spacing w:line="360" w:lineRule="auto"/>
              <w:ind w:firstLine="480" w:firstLineChars="200"/>
              <w:rPr>
                <w:rFonts w:hint="default" w:ascii="Times New Roman" w:hAnsi="Times New Roman" w:cs="Times New Roman"/>
                <w:color w:val="000000"/>
                <w:sz w:val="24"/>
                <w:lang w:bidi="ar"/>
              </w:rPr>
            </w:pPr>
            <w:r>
              <w:rPr>
                <w:rFonts w:hint="default" w:ascii="Times New Roman" w:hAnsi="Times New Roman" w:cs="Times New Roman"/>
                <w:color w:val="000000"/>
                <w:sz w:val="24"/>
                <w:lang w:bidi="ar"/>
              </w:rPr>
              <w:t>将外购的草酸固体配备成10%草酸溶液，草酸的年用量为500kg，配备成草酸溶液需要添加4500kg的自来水，草酸溶液在使用后作为危废处理，不产生废水，用水量为4.5m</w:t>
            </w:r>
            <w:r>
              <w:rPr>
                <w:rFonts w:hint="default" w:ascii="Times New Roman" w:hAnsi="Times New Roman" w:cs="Times New Roman"/>
                <w:color w:val="000000"/>
                <w:sz w:val="24"/>
                <w:vertAlign w:val="superscript"/>
                <w:lang w:bidi="ar"/>
              </w:rPr>
              <w:t>3</w:t>
            </w:r>
            <w:r>
              <w:rPr>
                <w:rFonts w:hint="default" w:ascii="Times New Roman" w:hAnsi="Times New Roman" w:cs="Times New Roman"/>
                <w:color w:val="000000"/>
                <w:sz w:val="24"/>
                <w:lang w:bidi="ar"/>
              </w:rPr>
              <w:t>/a（0.016m</w:t>
            </w:r>
            <w:r>
              <w:rPr>
                <w:rFonts w:hint="default" w:ascii="Times New Roman" w:hAnsi="Times New Roman" w:cs="Times New Roman"/>
                <w:color w:val="000000"/>
                <w:sz w:val="24"/>
                <w:vertAlign w:val="superscript"/>
                <w:lang w:bidi="ar"/>
              </w:rPr>
              <w:t>3</w:t>
            </w:r>
            <w:r>
              <w:rPr>
                <w:rFonts w:hint="default" w:ascii="Times New Roman" w:hAnsi="Times New Roman" w:cs="Times New Roman"/>
                <w:color w:val="000000"/>
                <w:sz w:val="24"/>
                <w:lang w:bidi="ar"/>
              </w:rPr>
              <w:t>/d），酸洗废液的产生率为40%则产生量为2t/a（0.007t/d）。酸洗废液</w:t>
            </w:r>
            <w:r>
              <w:rPr>
                <w:rFonts w:hint="default" w:ascii="Times New Roman" w:hAnsi="Times New Roman" w:cs="Times New Roman"/>
                <w:color w:val="000000"/>
                <w:sz w:val="24"/>
              </w:rPr>
              <w:t>经收集后作为危险废物处置，委托有资质单位处理。</w:t>
            </w:r>
          </w:p>
          <w:p>
            <w:pPr>
              <w:spacing w:line="360" w:lineRule="auto"/>
              <w:ind w:firstLine="480" w:firstLineChars="200"/>
              <w:rPr>
                <w:rFonts w:hint="default" w:ascii="Times New Roman" w:hAnsi="Times New Roman" w:cs="Times New Roman"/>
                <w:bCs/>
                <w:color w:val="000000"/>
                <w:sz w:val="24"/>
              </w:rPr>
            </w:pPr>
            <w:r>
              <w:rPr>
                <w:rFonts w:hint="default" w:ascii="Times New Roman" w:hAnsi="Times New Roman" w:cs="Times New Roman"/>
                <w:color w:val="000000"/>
                <w:sz w:val="24"/>
                <w:lang w:bidi="ar"/>
              </w:rPr>
              <w:t>④喷淋塔用水</w:t>
            </w:r>
          </w:p>
          <w:p>
            <w:pPr>
              <w:spacing w:line="360" w:lineRule="auto"/>
              <w:ind w:firstLine="480" w:firstLineChars="200"/>
              <w:rPr>
                <w:rFonts w:hint="default" w:ascii="Times New Roman" w:hAnsi="Times New Roman" w:cs="Times New Roman"/>
                <w:color w:val="000000"/>
                <w:sz w:val="24"/>
                <w:lang w:bidi="ar"/>
              </w:rPr>
            </w:pPr>
            <w:r>
              <w:rPr>
                <w:rFonts w:hint="default" w:ascii="Times New Roman" w:hAnsi="Times New Roman" w:cs="Times New Roman"/>
                <w:color w:val="000000"/>
                <w:sz w:val="24"/>
                <w:lang w:bidi="ar"/>
              </w:rPr>
              <w:t>根据建设单位提供资料，喷淋塔循环水池容积为1t，2天补充一次损耗量，一次补充水量为100L，则补充水量为14m</w:t>
            </w:r>
            <w:r>
              <w:rPr>
                <w:rFonts w:hint="default" w:ascii="Times New Roman" w:hAnsi="Times New Roman" w:cs="Times New Roman"/>
                <w:color w:val="000000"/>
                <w:sz w:val="24"/>
                <w:vertAlign w:val="superscript"/>
                <w:lang w:bidi="ar"/>
              </w:rPr>
              <w:t>3</w:t>
            </w:r>
            <w:r>
              <w:rPr>
                <w:rFonts w:hint="default" w:ascii="Times New Roman" w:hAnsi="Times New Roman" w:cs="Times New Roman"/>
                <w:color w:val="000000"/>
                <w:sz w:val="24"/>
                <w:lang w:bidi="ar"/>
              </w:rPr>
              <w:t>/a（0.05m</w:t>
            </w:r>
            <w:r>
              <w:rPr>
                <w:rFonts w:hint="default" w:ascii="Times New Roman" w:hAnsi="Times New Roman" w:cs="Times New Roman"/>
                <w:color w:val="000000"/>
                <w:sz w:val="24"/>
                <w:vertAlign w:val="superscript"/>
                <w:lang w:bidi="ar"/>
              </w:rPr>
              <w:t>3</w:t>
            </w:r>
            <w:r>
              <w:rPr>
                <w:rFonts w:hint="default" w:ascii="Times New Roman" w:hAnsi="Times New Roman" w:cs="Times New Roman"/>
                <w:color w:val="000000"/>
                <w:sz w:val="24"/>
                <w:lang w:bidi="ar"/>
              </w:rPr>
              <w:t>/d），喷淋塔废水循环使用，定期外排，排放周期半年/次，喷淋塔废水量4.312m</w:t>
            </w:r>
            <w:r>
              <w:rPr>
                <w:rFonts w:hint="default" w:ascii="Times New Roman" w:hAnsi="Times New Roman" w:cs="Times New Roman"/>
                <w:color w:val="000000"/>
                <w:sz w:val="24"/>
                <w:vertAlign w:val="superscript"/>
                <w:lang w:bidi="ar"/>
              </w:rPr>
              <w:t>3</w:t>
            </w:r>
            <w:r>
              <w:rPr>
                <w:rFonts w:hint="default" w:ascii="Times New Roman" w:hAnsi="Times New Roman" w:cs="Times New Roman"/>
                <w:color w:val="000000"/>
                <w:sz w:val="24"/>
                <w:lang w:bidi="ar"/>
              </w:rPr>
              <w:t>/a（0.0154m</w:t>
            </w:r>
            <w:r>
              <w:rPr>
                <w:rFonts w:hint="default" w:ascii="Times New Roman" w:hAnsi="Times New Roman" w:cs="Times New Roman"/>
                <w:color w:val="000000"/>
                <w:sz w:val="24"/>
                <w:vertAlign w:val="superscript"/>
                <w:lang w:bidi="ar"/>
              </w:rPr>
              <w:t>3</w:t>
            </w:r>
            <w:r>
              <w:rPr>
                <w:rFonts w:hint="default" w:ascii="Times New Roman" w:hAnsi="Times New Roman" w:cs="Times New Roman"/>
                <w:color w:val="000000"/>
                <w:sz w:val="24"/>
                <w:lang w:bidi="ar"/>
              </w:rPr>
              <w:t>/d）</w:t>
            </w:r>
            <w:r>
              <w:rPr>
                <w:rFonts w:hint="default" w:ascii="Times New Roman" w:hAnsi="Times New Roman" w:cs="Times New Roman"/>
                <w:color w:val="000000"/>
                <w:sz w:val="24"/>
              </w:rPr>
              <w:t>。喷淋塔废液经收集后作为危险废物处置，委托有资质单位处理。</w:t>
            </w:r>
          </w:p>
          <w:p>
            <w:pPr>
              <w:widowControl/>
              <w:numPr>
                <w:ilvl w:val="0"/>
                <w:numId w:val="1"/>
              </w:num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 xml:space="preserve">  本项目用排水情况一览表</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
              <w:gridCol w:w="1690"/>
              <w:gridCol w:w="1725"/>
              <w:gridCol w:w="1065"/>
              <w:gridCol w:w="960"/>
              <w:gridCol w:w="765"/>
              <w:gridCol w:w="960"/>
              <w:gridCol w:w="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8"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b/>
                      <w:bCs/>
                      <w:color w:val="000000"/>
                      <w:szCs w:val="21"/>
                    </w:rPr>
                  </w:pPr>
                  <w:r>
                    <w:rPr>
                      <w:rFonts w:hint="default" w:ascii="Times New Roman" w:hAnsi="Times New Roman" w:cs="Times New Roman"/>
                      <w:b/>
                      <w:bCs/>
                      <w:color w:val="000000"/>
                      <w:kern w:val="0"/>
                      <w:szCs w:val="21"/>
                      <w:lang w:bidi="ar"/>
                    </w:rPr>
                    <w:t>序号</w:t>
                  </w:r>
                </w:p>
              </w:tc>
              <w:tc>
                <w:tcPr>
                  <w:tcW w:w="1691"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b/>
                      <w:bCs/>
                      <w:color w:val="000000"/>
                      <w:szCs w:val="21"/>
                    </w:rPr>
                  </w:pPr>
                  <w:r>
                    <w:rPr>
                      <w:rFonts w:hint="default" w:ascii="Times New Roman" w:hAnsi="Times New Roman" w:cs="Times New Roman"/>
                      <w:b/>
                      <w:bCs/>
                      <w:color w:val="000000"/>
                      <w:kern w:val="0"/>
                      <w:szCs w:val="21"/>
                      <w:lang w:bidi="ar"/>
                    </w:rPr>
                    <w:t>名称</w:t>
                  </w:r>
                </w:p>
              </w:tc>
              <w:tc>
                <w:tcPr>
                  <w:tcW w:w="1725"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b/>
                      <w:bCs/>
                      <w:color w:val="000000"/>
                      <w:szCs w:val="21"/>
                    </w:rPr>
                  </w:pPr>
                  <w:r>
                    <w:rPr>
                      <w:rFonts w:hint="default" w:ascii="Times New Roman" w:hAnsi="Times New Roman" w:cs="Times New Roman"/>
                      <w:b/>
                      <w:bCs/>
                      <w:color w:val="000000"/>
                      <w:kern w:val="0"/>
                      <w:szCs w:val="21"/>
                      <w:lang w:bidi="ar"/>
                    </w:rPr>
                    <w:t>用水标准</w:t>
                  </w:r>
                </w:p>
              </w:tc>
              <w:tc>
                <w:tcPr>
                  <w:tcW w:w="2025" w:type="dxa"/>
                  <w:gridSpan w:val="2"/>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b/>
                      <w:bCs/>
                      <w:color w:val="000000"/>
                      <w:kern w:val="0"/>
                      <w:szCs w:val="21"/>
                      <w:lang w:bidi="ar"/>
                    </w:rPr>
                  </w:pPr>
                  <w:r>
                    <w:rPr>
                      <w:rFonts w:hint="default" w:ascii="Times New Roman" w:hAnsi="Times New Roman" w:cs="Times New Roman"/>
                      <w:b/>
                      <w:bCs/>
                      <w:color w:val="000000"/>
                      <w:kern w:val="0"/>
                      <w:szCs w:val="21"/>
                      <w:lang w:bidi="ar"/>
                    </w:rPr>
                    <w:t>用水量</w:t>
                  </w:r>
                </w:p>
              </w:tc>
              <w:tc>
                <w:tcPr>
                  <w:tcW w:w="765"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b/>
                      <w:bCs/>
                      <w:color w:val="000000"/>
                      <w:szCs w:val="21"/>
                    </w:rPr>
                  </w:pPr>
                  <w:r>
                    <w:rPr>
                      <w:rFonts w:hint="default" w:ascii="Times New Roman" w:hAnsi="Times New Roman" w:cs="Times New Roman"/>
                      <w:b/>
                      <w:bCs/>
                      <w:color w:val="000000"/>
                      <w:kern w:val="0"/>
                      <w:szCs w:val="21"/>
                      <w:lang w:bidi="ar"/>
                    </w:rPr>
                    <w:t>排水系数</w:t>
                  </w:r>
                </w:p>
              </w:tc>
              <w:tc>
                <w:tcPr>
                  <w:tcW w:w="193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kern w:val="0"/>
                      <w:szCs w:val="21"/>
                      <w:lang w:bidi="ar"/>
                    </w:rPr>
                  </w:pPr>
                  <w:r>
                    <w:rPr>
                      <w:rFonts w:hint="default" w:ascii="Times New Roman" w:hAnsi="Times New Roman" w:cs="Times New Roman"/>
                      <w:b/>
                      <w:bCs/>
                      <w:color w:val="000000"/>
                      <w:kern w:val="0"/>
                      <w:szCs w:val="21"/>
                      <w:lang w:bidi="ar"/>
                    </w:rPr>
                    <w:t>废水量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8"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rPr>
                  </w:pPr>
                </w:p>
              </w:tc>
              <w:tc>
                <w:tcPr>
                  <w:tcW w:w="169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rPr>
                  </w:pPr>
                </w:p>
              </w:tc>
              <w:tc>
                <w:tcPr>
                  <w:tcW w:w="1725"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rPr>
                  </w:pPr>
                </w:p>
              </w:tc>
              <w:tc>
                <w:tcPr>
                  <w:tcW w:w="1065" w:type="dxa"/>
                  <w:tcBorders>
                    <w:left w:val="single" w:color="auto" w:sz="4" w:space="0"/>
                    <w:right w:val="single" w:color="auto" w:sz="4" w:space="0"/>
                  </w:tcBorders>
                  <w:vAlign w:val="center"/>
                </w:tcPr>
                <w:p>
                  <w:pPr>
                    <w:jc w:val="center"/>
                    <w:rPr>
                      <w:rFonts w:hint="default" w:ascii="Times New Roman" w:hAnsi="Times New Roman" w:cs="Times New Roman"/>
                      <w:b/>
                      <w:bCs/>
                      <w:color w:val="000000"/>
                    </w:rPr>
                  </w:pPr>
                  <w:r>
                    <w:rPr>
                      <w:rFonts w:hint="default" w:ascii="Times New Roman" w:hAnsi="Times New Roman" w:cs="Times New Roman"/>
                      <w:b/>
                      <w:bCs/>
                      <w:color w:val="000000"/>
                    </w:rPr>
                    <w:t>t/a</w:t>
                  </w:r>
                </w:p>
              </w:tc>
              <w:tc>
                <w:tcPr>
                  <w:tcW w:w="960" w:type="dxa"/>
                  <w:tcBorders>
                    <w:left w:val="single" w:color="auto" w:sz="4" w:space="0"/>
                    <w:right w:val="single" w:color="auto" w:sz="4" w:space="0"/>
                  </w:tcBorders>
                  <w:vAlign w:val="center"/>
                </w:tcPr>
                <w:p>
                  <w:pPr>
                    <w:jc w:val="center"/>
                    <w:rPr>
                      <w:rFonts w:hint="default" w:ascii="Times New Roman" w:hAnsi="Times New Roman" w:cs="Times New Roman"/>
                      <w:b/>
                      <w:bCs/>
                      <w:color w:val="000000"/>
                    </w:rPr>
                  </w:pPr>
                  <w:r>
                    <w:rPr>
                      <w:rFonts w:hint="default" w:ascii="Times New Roman" w:hAnsi="Times New Roman" w:cs="Times New Roman"/>
                      <w:b/>
                      <w:bCs/>
                      <w:color w:val="000000"/>
                    </w:rPr>
                    <w:t>t/d</w:t>
                  </w:r>
                </w:p>
              </w:tc>
              <w:tc>
                <w:tcPr>
                  <w:tcW w:w="765"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rPr>
                  </w:pP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kern w:val="0"/>
                      <w:szCs w:val="21"/>
                      <w:lang w:bidi="ar"/>
                    </w:rPr>
                  </w:pPr>
                  <w:r>
                    <w:rPr>
                      <w:rFonts w:hint="default" w:ascii="Times New Roman" w:hAnsi="Times New Roman" w:cs="Times New Roman"/>
                      <w:b/>
                      <w:bCs/>
                      <w:color w:val="000000"/>
                      <w:kern w:val="0"/>
                      <w:szCs w:val="21"/>
                      <w:lang w:bidi="ar"/>
                    </w:rPr>
                    <w:t>t/a</w:t>
                  </w:r>
                </w:p>
              </w:tc>
              <w:tc>
                <w:tcPr>
                  <w:tcW w:w="9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kern w:val="0"/>
                      <w:szCs w:val="21"/>
                      <w:lang w:bidi="ar"/>
                    </w:rPr>
                  </w:pPr>
                  <w:r>
                    <w:rPr>
                      <w:rFonts w:hint="default" w:ascii="Times New Roman" w:hAnsi="Times New Roman" w:cs="Times New Roman"/>
                      <w:b/>
                      <w:bCs/>
                      <w:color w:val="000000"/>
                      <w:kern w:val="0"/>
                      <w:szCs w:val="21"/>
                      <w:lang w:bidi="ar"/>
                    </w:rPr>
                    <w:t>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16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职工办公生活用水</w:t>
                  </w:r>
                </w:p>
              </w:tc>
              <w:tc>
                <w:tcPr>
                  <w:tcW w:w="17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50L/人·d（40人）</w:t>
                  </w:r>
                </w:p>
              </w:tc>
              <w:tc>
                <w:tcPr>
                  <w:tcW w:w="10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560</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0.8</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448</w:t>
                  </w:r>
                </w:p>
              </w:tc>
              <w:tc>
                <w:tcPr>
                  <w:tcW w:w="9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16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车间保洁用水</w:t>
                  </w:r>
                </w:p>
              </w:tc>
              <w:tc>
                <w:tcPr>
                  <w:tcW w:w="17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0.5L/m</w:t>
                  </w:r>
                  <w:r>
                    <w:rPr>
                      <w:rFonts w:hint="default" w:ascii="Times New Roman" w:hAnsi="Times New Roman" w:cs="Times New Roman"/>
                      <w:color w:val="000000"/>
                      <w:szCs w:val="21"/>
                      <w:vertAlign w:val="superscript"/>
                    </w:rPr>
                    <w:t>2</w:t>
                  </w:r>
                  <w:r>
                    <w:rPr>
                      <w:rFonts w:hint="default" w:ascii="Times New Roman" w:hAnsi="Times New Roman" w:cs="Times New Roman"/>
                      <w:color w:val="000000"/>
                      <w:szCs w:val="21"/>
                    </w:rPr>
                    <w:t>·d（3174.04m</w:t>
                  </w:r>
                  <w:r>
                    <w:rPr>
                      <w:rFonts w:hint="default" w:ascii="Times New Roman" w:hAnsi="Times New Roman" w:cs="Times New Roman"/>
                      <w:color w:val="000000"/>
                      <w:szCs w:val="21"/>
                      <w:vertAlign w:val="superscript"/>
                    </w:rPr>
                    <w:t>2</w:t>
                  </w:r>
                  <w:r>
                    <w:rPr>
                      <w:rFonts w:hint="default" w:ascii="Times New Roman" w:hAnsi="Times New Roman" w:cs="Times New Roman"/>
                      <w:color w:val="000000"/>
                      <w:szCs w:val="21"/>
                    </w:rPr>
                    <w:t>）</w:t>
                  </w:r>
                </w:p>
              </w:tc>
              <w:tc>
                <w:tcPr>
                  <w:tcW w:w="10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297.865</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1.063</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0.8</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238</w:t>
                  </w:r>
                </w:p>
              </w:tc>
              <w:tc>
                <w:tcPr>
                  <w:tcW w:w="9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0.850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16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溶液配备用水</w:t>
                  </w:r>
                </w:p>
              </w:tc>
              <w:tc>
                <w:tcPr>
                  <w:tcW w:w="17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w:t>
                  </w:r>
                </w:p>
              </w:tc>
              <w:tc>
                <w:tcPr>
                  <w:tcW w:w="10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4.5</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0.016</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2（废液）</w:t>
                  </w:r>
                </w:p>
              </w:tc>
              <w:tc>
                <w:tcPr>
                  <w:tcW w:w="9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0.007（废液）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16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喷淋塔用水</w:t>
                  </w:r>
                </w:p>
              </w:tc>
              <w:tc>
                <w:tcPr>
                  <w:tcW w:w="17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w:t>
                  </w:r>
                </w:p>
              </w:tc>
              <w:tc>
                <w:tcPr>
                  <w:tcW w:w="10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14</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0.05</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4.312（废液）</w:t>
                  </w:r>
                </w:p>
              </w:tc>
              <w:tc>
                <w:tcPr>
                  <w:tcW w:w="9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0.0154（废液）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14"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合计</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876.365</w:t>
                  </w:r>
                </w:p>
              </w:tc>
              <w:tc>
                <w:tcPr>
                  <w:tcW w:w="96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3.129</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w:t>
                  </w:r>
                </w:p>
              </w:tc>
              <w:tc>
                <w:tcPr>
                  <w:tcW w:w="96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686（不含废液）</w:t>
                  </w:r>
                </w:p>
              </w:tc>
              <w:tc>
                <w:tcPr>
                  <w:tcW w:w="97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2.45（不含废液）</w:t>
                  </w:r>
                </w:p>
              </w:tc>
            </w:tr>
          </w:tbl>
          <w:p>
            <w:pPr>
              <w:widowControl/>
              <w:spacing w:line="360" w:lineRule="auto"/>
              <w:ind w:firstLine="480" w:firstLineChars="200"/>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本项目用、排水平衡图如下：</w:t>
            </w:r>
          </w:p>
          <w:p>
            <w:pPr>
              <w:widowControl/>
              <w:spacing w:line="360" w:lineRule="auto"/>
              <w:jc w:val="center"/>
              <w:rPr>
                <w:rFonts w:hint="default" w:ascii="Times New Roman" w:hAnsi="Times New Roman" w:cs="Times New Roman"/>
                <w:color w:val="000000"/>
                <w:sz w:val="24"/>
              </w:rPr>
            </w:pPr>
            <w:r>
              <w:rPr>
                <w:rFonts w:hint="default" w:ascii="Times New Roman" w:hAnsi="Times New Roman" w:cs="Times New Roman"/>
                <w:color w:val="000000"/>
                <w:sz w:val="24"/>
              </w:rPr>
              <w:drawing>
                <wp:inline distT="0" distB="0" distL="114300" distR="114300">
                  <wp:extent cx="4899660" cy="3148965"/>
                  <wp:effectExtent l="0" t="0" r="0" b="0"/>
                  <wp:docPr id="17" name="ECB019B1-382A-4266-B25C-5B523AA43C14-1" descr="C:/Users/Administrator/AppData/Local/Temp/wps.wijEGz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ECB019B1-382A-4266-B25C-5B523AA43C14-1" descr="C:/Users/Administrator/AppData/Local/Temp/wps.wijEGzwps"/>
                          <pic:cNvPicPr>
                            <a:picLocks noChangeAspect="1"/>
                          </pic:cNvPicPr>
                        </pic:nvPicPr>
                        <pic:blipFill>
                          <a:blip r:embed="rId9"/>
                          <a:stretch>
                            <a:fillRect/>
                          </a:stretch>
                        </pic:blipFill>
                        <pic:spPr>
                          <a:xfrm>
                            <a:off x="0" y="0"/>
                            <a:ext cx="4899660" cy="3148965"/>
                          </a:xfrm>
                          <a:prstGeom prst="rect">
                            <a:avLst/>
                          </a:prstGeom>
                          <a:noFill/>
                          <a:ln>
                            <a:noFill/>
                          </a:ln>
                        </pic:spPr>
                      </pic:pic>
                    </a:graphicData>
                  </a:graphic>
                </wp:inline>
              </w:drawing>
            </w:r>
          </w:p>
          <w:p>
            <w:pPr>
              <w:autoSpaceDE w:val="0"/>
              <w:autoSpaceDN w:val="0"/>
              <w:spacing w:line="360" w:lineRule="auto"/>
              <w:ind w:firstLine="422" w:firstLineChars="200"/>
              <w:jc w:val="center"/>
              <w:rPr>
                <w:rFonts w:hint="default" w:ascii="Times New Roman" w:hAnsi="Times New Roman" w:cs="Times New Roman"/>
                <w:b/>
                <w:bCs/>
                <w:color w:val="000000"/>
                <w:szCs w:val="21"/>
              </w:rPr>
            </w:pPr>
            <w:r>
              <w:rPr>
                <w:rFonts w:hint="default" w:ascii="Times New Roman" w:hAnsi="Times New Roman" w:cs="Times New Roman"/>
                <w:b/>
                <w:bCs/>
                <w:color w:val="000000"/>
                <w:szCs w:val="21"/>
              </w:rPr>
              <w:t>图1  本项目用排水平衡图（t/d）</w:t>
            </w:r>
          </w:p>
          <w:p>
            <w:pPr>
              <w:widowControl/>
              <w:adjustRightInd w:val="0"/>
              <w:snapToGrid w:val="0"/>
              <w:spacing w:line="360" w:lineRule="auto"/>
              <w:ind w:firstLine="482" w:firstLineChars="200"/>
              <w:rPr>
                <w:rFonts w:hint="default" w:ascii="Times New Roman" w:hAnsi="Times New Roman" w:cs="Times New Roman"/>
                <w:b/>
                <w:bCs/>
                <w:color w:val="000000"/>
                <w:sz w:val="24"/>
              </w:rPr>
            </w:pPr>
            <w:r>
              <w:rPr>
                <w:rFonts w:hint="default" w:ascii="Times New Roman" w:hAnsi="Times New Roman" w:cs="Times New Roman"/>
                <w:b/>
                <w:bCs/>
                <w:color w:val="000000"/>
                <w:sz w:val="24"/>
              </w:rPr>
              <w:t>（六）劳动定员及工作制度</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本项目劳动定员为40人，年工作日280天，每天8小时，仅昼间生产夜间不生产</w:t>
            </w:r>
            <w:r>
              <w:rPr>
                <w:rFonts w:hint="default" w:ascii="Times New Roman" w:hAnsi="Times New Roman" w:cs="Times New Roman"/>
                <w:color w:val="000000"/>
                <w:sz w:val="24"/>
                <w:lang w:eastAsia="zh-CN"/>
              </w:rPr>
              <w:t>，</w:t>
            </w:r>
            <w:r>
              <w:rPr>
                <w:rFonts w:hint="default" w:ascii="Times New Roman" w:hAnsi="Times New Roman" w:cs="Times New Roman"/>
                <w:color w:val="000000"/>
                <w:sz w:val="24"/>
              </w:rPr>
              <w:t>年工作2240小时。</w:t>
            </w:r>
          </w:p>
          <w:p>
            <w:pPr>
              <w:widowControl/>
              <w:adjustRightInd w:val="0"/>
              <w:snapToGrid w:val="0"/>
              <w:spacing w:line="360" w:lineRule="auto"/>
              <w:ind w:firstLine="482" w:firstLineChars="200"/>
              <w:rPr>
                <w:rFonts w:hint="default" w:ascii="Times New Roman" w:hAnsi="Times New Roman" w:cs="Times New Roman"/>
                <w:b/>
                <w:bCs/>
                <w:color w:val="000000"/>
                <w:sz w:val="24"/>
              </w:rPr>
            </w:pPr>
            <w:r>
              <w:rPr>
                <w:rFonts w:hint="default" w:ascii="Times New Roman" w:hAnsi="Times New Roman" w:cs="Times New Roman"/>
                <w:b/>
                <w:bCs/>
                <w:color w:val="000000"/>
                <w:sz w:val="24"/>
              </w:rPr>
              <w:t>（七）厂区平面布置</w:t>
            </w:r>
          </w:p>
          <w:p>
            <w:pPr>
              <w:adjustRightInd w:val="0"/>
              <w:snapToGrid w:val="0"/>
              <w:spacing w:line="360" w:lineRule="auto"/>
              <w:ind w:firstLine="480" w:firstLineChars="200"/>
              <w:rPr>
                <w:rFonts w:hint="default" w:ascii="Times New Roman" w:hAnsi="Times New Roman" w:cs="Times New Roman"/>
                <w:color w:val="000000"/>
              </w:rPr>
            </w:pPr>
            <w:r>
              <w:rPr>
                <w:rFonts w:hint="default" w:ascii="Times New Roman" w:hAnsi="Times New Roman" w:cs="Times New Roman"/>
                <w:color w:val="000000"/>
                <w:sz w:val="24"/>
              </w:rPr>
              <w:t>本项目位于合肥市高新技术产业开发区明珠产业园2C-3，租赁现有标准化厂房，北侧由西向东依次是研发仓库和组装区，南侧由西向东依次是研发实验室、超净间、煅烧间、办公室、会议室、原料仓库，西南侧由北向南依次是生产1、2、3车间。项目总平面布置图采用简洁舒展的布局，在功能上分区明确，设计路线清晰，平面布置合理，</w:t>
            </w:r>
            <w:r>
              <w:rPr>
                <w:rFonts w:hint="default" w:ascii="Times New Roman" w:hAnsi="Times New Roman" w:cs="Times New Roman"/>
                <w:color w:val="000000"/>
                <w:kern w:val="0"/>
                <w:sz w:val="24"/>
              </w:rPr>
              <w:t>具体</w:t>
            </w:r>
            <w:r>
              <w:rPr>
                <w:rFonts w:hint="default" w:ascii="Times New Roman" w:hAnsi="Times New Roman" w:cs="Times New Roman"/>
                <w:color w:val="000000"/>
                <w:sz w:val="24"/>
              </w:rPr>
              <w:t>厂区平面布置图见附图2、车间内部布局图见附图3。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pStyle w:val="20"/>
              <w:adjustRightInd w:val="0"/>
              <w:snapToGrid w:val="0"/>
              <w:spacing w:before="0" w:beforeAutospacing="0" w:after="0" w:afterAutospacing="0"/>
              <w:jc w:val="center"/>
              <w:rPr>
                <w:rFonts w:ascii="Times New Roman" w:hAnsi="Times New Roman"/>
                <w:b/>
                <w:color w:val="000000"/>
                <w:sz w:val="21"/>
                <w:szCs w:val="21"/>
              </w:rPr>
            </w:pPr>
            <w:r>
              <w:rPr>
                <w:rFonts w:ascii="Times New Roman" w:hAnsi="Times New Roman"/>
                <w:b/>
                <w:color w:val="000000"/>
                <w:sz w:val="21"/>
                <w:szCs w:val="21"/>
              </w:rPr>
              <w:t>工艺流程和产排污环节</w:t>
            </w:r>
          </w:p>
        </w:tc>
        <w:tc>
          <w:tcPr>
            <w:tcW w:w="8861" w:type="dxa"/>
          </w:tcPr>
          <w:p>
            <w:pPr>
              <w:numPr>
                <w:ilvl w:val="0"/>
                <w:numId w:val="2"/>
              </w:numPr>
              <w:spacing w:line="360" w:lineRule="auto"/>
              <w:ind w:firstLine="482" w:firstLineChars="200"/>
              <w:rPr>
                <w:rFonts w:hint="default" w:ascii="Times New Roman" w:hAnsi="Times New Roman" w:cs="Times New Roman"/>
                <w:b/>
                <w:color w:val="000000"/>
                <w:sz w:val="24"/>
              </w:rPr>
            </w:pPr>
            <w:r>
              <w:rPr>
                <w:rFonts w:hint="default" w:ascii="Times New Roman" w:hAnsi="Times New Roman" w:cs="Times New Roman"/>
                <w:b/>
                <w:color w:val="000000"/>
                <w:sz w:val="24"/>
              </w:rPr>
              <w:t>施工期工艺流程及产污环节：</w:t>
            </w:r>
          </w:p>
          <w:p>
            <w:pPr>
              <w:spacing w:line="360" w:lineRule="auto"/>
              <w:ind w:firstLine="480" w:firstLineChars="200"/>
              <w:rPr>
                <w:rFonts w:hint="default" w:ascii="Times New Roman" w:hAnsi="Times New Roman" w:cs="Times New Roman"/>
                <w:b/>
                <w:bCs/>
                <w:color w:val="000000"/>
                <w:sz w:val="24"/>
              </w:rPr>
            </w:pPr>
            <w:r>
              <w:rPr>
                <w:rFonts w:hint="default" w:ascii="Times New Roman" w:hAnsi="Times New Roman" w:cs="Times New Roman"/>
                <w:color w:val="000000"/>
                <w:sz w:val="24"/>
              </w:rPr>
              <w:t>本项目租赁合肥市高新技术产业开发区明珠产业园2C-3现有厂房，目前厂房、供水、供电、排水、道路等基础工程已经全部建成。本项目的公用、辅助工程等设施均依托现有设施，该项目主要进行设备的安装及调试，施工期产生的污染物主要为施工垃圾、施工人员生活污水及设备安装、调试产生的噪声等。</w:t>
            </w:r>
          </w:p>
          <w:p>
            <w:pPr>
              <w:spacing w:line="360" w:lineRule="auto"/>
              <w:ind w:firstLine="482" w:firstLineChars="200"/>
              <w:rPr>
                <w:rFonts w:hint="default" w:ascii="Times New Roman" w:hAnsi="Times New Roman" w:cs="Times New Roman"/>
                <w:b/>
                <w:bCs/>
                <w:color w:val="000000"/>
                <w:sz w:val="24"/>
              </w:rPr>
            </w:pPr>
            <w:r>
              <w:rPr>
                <w:rFonts w:hint="default" w:ascii="Times New Roman" w:hAnsi="Times New Roman" w:cs="Times New Roman"/>
                <w:b/>
                <w:bCs/>
                <w:color w:val="000000"/>
                <w:sz w:val="24"/>
              </w:rPr>
              <w:t>（二）运营期工艺流程及产污环节：</w:t>
            </w:r>
          </w:p>
          <w:p>
            <w:pPr>
              <w:spacing w:line="360" w:lineRule="auto"/>
              <w:ind w:firstLine="482" w:firstLineChars="200"/>
              <w:rPr>
                <w:rFonts w:hint="default" w:ascii="Times New Roman" w:hAnsi="Times New Roman" w:cs="Times New Roman"/>
                <w:color w:val="000000"/>
              </w:rPr>
            </w:pPr>
            <w:r>
              <w:rPr>
                <w:rFonts w:hint="default" w:ascii="Times New Roman" w:hAnsi="Times New Roman" w:cs="Times New Roman"/>
                <w:b/>
                <w:bCs/>
                <w:color w:val="000000"/>
                <w:sz w:val="24"/>
              </w:rPr>
              <w:t>1、储能功能催化材料</w:t>
            </w:r>
            <w:r>
              <w:rPr>
                <w:rFonts w:hint="default" w:ascii="Times New Roman" w:hAnsi="Times New Roman" w:cs="Times New Roman"/>
                <w:b/>
                <w:bCs/>
                <w:color w:val="000000"/>
                <w:sz w:val="24"/>
                <w:lang w:eastAsia="zh-CN"/>
              </w:rPr>
              <w:t>研发</w:t>
            </w:r>
            <w:r>
              <w:rPr>
                <w:rFonts w:hint="default" w:ascii="Times New Roman" w:hAnsi="Times New Roman" w:cs="Times New Roman"/>
                <w:b/>
                <w:bCs/>
                <w:color w:val="000000"/>
                <w:sz w:val="24"/>
              </w:rPr>
              <w:t>工艺流程图</w:t>
            </w:r>
          </w:p>
          <w:p>
            <w:pPr>
              <w:spacing w:line="360" w:lineRule="auto"/>
              <w:jc w:val="center"/>
              <w:rPr>
                <w:rFonts w:hint="default" w:ascii="Times New Roman" w:hAnsi="Times New Roman" w:cs="Times New Roman"/>
                <w:b/>
                <w:bCs/>
                <w:color w:val="000000"/>
              </w:rPr>
            </w:pPr>
            <w:r>
              <w:rPr>
                <w:rFonts w:hint="default" w:ascii="Times New Roman" w:hAnsi="Times New Roman" w:cs="Times New Roman"/>
                <w:b/>
                <w:bCs/>
                <w:color w:val="000000"/>
              </w:rPr>
              <w:drawing>
                <wp:inline distT="0" distB="0" distL="114300" distR="114300">
                  <wp:extent cx="4257675" cy="4504690"/>
                  <wp:effectExtent l="0" t="0" r="0" b="0"/>
                  <wp:docPr id="25" name="ECB019B1-382A-4266-B25C-5B523AA43C14-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CB019B1-382A-4266-B25C-5B523AA43C14-2" descr="wps"/>
                          <pic:cNvPicPr>
                            <a:picLocks noChangeAspect="1"/>
                          </pic:cNvPicPr>
                        </pic:nvPicPr>
                        <pic:blipFill>
                          <a:blip r:embed="rId10"/>
                          <a:stretch>
                            <a:fillRect/>
                          </a:stretch>
                        </pic:blipFill>
                        <pic:spPr>
                          <a:xfrm>
                            <a:off x="0" y="0"/>
                            <a:ext cx="4257675" cy="4504690"/>
                          </a:xfrm>
                          <a:prstGeom prst="rect">
                            <a:avLst/>
                          </a:prstGeom>
                        </pic:spPr>
                      </pic:pic>
                    </a:graphicData>
                  </a:graphic>
                </wp:inline>
              </w:drawing>
            </w:r>
          </w:p>
          <w:p>
            <w:pPr>
              <w:spacing w:line="360" w:lineRule="auto"/>
              <w:jc w:val="center"/>
              <w:rPr>
                <w:rFonts w:hint="default" w:ascii="Times New Roman" w:hAnsi="Times New Roman" w:cs="Times New Roman"/>
                <w:b/>
                <w:bCs/>
                <w:color w:val="000000"/>
              </w:rPr>
            </w:pPr>
            <w:r>
              <w:rPr>
                <w:rFonts w:hint="default" w:ascii="Times New Roman" w:hAnsi="Times New Roman" w:cs="Times New Roman"/>
                <w:b/>
                <w:bCs/>
                <w:color w:val="000000"/>
              </w:rPr>
              <w:t>图2  储能功能催化材料生产工艺流程及产污节点图</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工艺流程及产污环节说明：</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①混合搅拌：将氯铱酸、氯化钌、纯碳黑与纯净水等原料按照一定的比例加入到烧瓶中搅拌，使其进行充分的混合。</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cs="Times New Roman"/>
                <w:color w:val="000000"/>
                <w:sz w:val="24"/>
              </w:rPr>
              <w:t>②高温煅烧：将配置好的溶液放置于管式炉中，添加氮气作为</w:t>
            </w:r>
            <w:r>
              <w:rPr>
                <w:rFonts w:hint="default" w:ascii="Times New Roman" w:hAnsi="Times New Roman" w:cs="Times New Roman"/>
                <w:color w:val="000000"/>
                <w:sz w:val="24"/>
                <w:lang w:eastAsia="zh-CN"/>
              </w:rPr>
              <w:t>流动相</w:t>
            </w:r>
            <w:r>
              <w:rPr>
                <w:rFonts w:hint="default" w:ascii="Times New Roman" w:hAnsi="Times New Roman" w:cs="Times New Roman"/>
                <w:color w:val="000000"/>
                <w:sz w:val="24"/>
              </w:rPr>
              <w:t>保护气，通过电加热至300~800℃，加热1~3小时。</w:t>
            </w:r>
            <w:r>
              <w:rPr>
                <w:rStyle w:val="31"/>
                <w:rFonts w:hint="default" w:ascii="Times New Roman" w:hAnsi="Times New Roman" w:cs="Times New Roman"/>
                <w:kern w:val="0"/>
                <w:sz w:val="24"/>
                <w:szCs w:val="24"/>
                <w:lang w:eastAsia="zh-CN"/>
              </w:rPr>
              <w:t>高温烧结过程中</w:t>
            </w:r>
            <w:r>
              <w:rPr>
                <w:rStyle w:val="31"/>
                <w:rFonts w:hint="default" w:ascii="Times New Roman" w:hAnsi="Times New Roman" w:cs="Times New Roman"/>
                <w:kern w:val="0"/>
                <w:sz w:val="24"/>
                <w:szCs w:val="24"/>
              </w:rPr>
              <w:t>硝酸铁盐</w:t>
            </w:r>
            <w:r>
              <w:rPr>
                <w:rStyle w:val="31"/>
                <w:rFonts w:hint="default" w:ascii="Times New Roman" w:hAnsi="Times New Roman" w:cs="Times New Roman"/>
                <w:kern w:val="0"/>
                <w:sz w:val="24"/>
                <w:szCs w:val="24"/>
                <w:lang w:eastAsia="zh-CN"/>
              </w:rPr>
              <w:t>与基底材料（如碳）反应成键，形成金属碳化物活性位点（如Fe-N4）</w:t>
            </w:r>
            <w:r>
              <w:rPr>
                <w:rStyle w:val="31"/>
                <w:rFonts w:hint="default" w:ascii="Times New Roman" w:hAnsi="Times New Roman" w:cs="Times New Roman"/>
                <w:kern w:val="0"/>
                <w:sz w:val="24"/>
                <w:szCs w:val="24"/>
              </w:rPr>
              <w:t>，</w:t>
            </w:r>
            <w:r>
              <w:rPr>
                <w:rStyle w:val="31"/>
                <w:rFonts w:hint="default" w:ascii="Times New Roman" w:hAnsi="Times New Roman" w:cs="Times New Roman"/>
                <w:kern w:val="0"/>
                <w:sz w:val="24"/>
                <w:szCs w:val="24"/>
                <w:lang w:eastAsia="zh-CN"/>
              </w:rPr>
              <w:t>同时产生少量的固体颗粒物（呈弱酸性），通过氮气保护气从下风口吹出，</w:t>
            </w:r>
            <w:r>
              <w:rPr>
                <w:rStyle w:val="31"/>
                <w:rFonts w:hint="default" w:ascii="Times New Roman" w:hAnsi="Times New Roman" w:cs="Times New Roman"/>
                <w:kern w:val="0"/>
                <w:sz w:val="24"/>
                <w:szCs w:val="24"/>
              </w:rPr>
              <w:t>经过下风口</w:t>
            </w:r>
            <w:r>
              <w:rPr>
                <w:rStyle w:val="31"/>
                <w:rFonts w:hint="default" w:ascii="Times New Roman" w:hAnsi="Times New Roman" w:cs="Times New Roman"/>
                <w:kern w:val="0"/>
                <w:sz w:val="24"/>
                <w:szCs w:val="24"/>
                <w:lang w:eastAsia="zh-CN"/>
              </w:rPr>
              <w:t>氢氧化钠</w:t>
            </w:r>
            <w:r>
              <w:rPr>
                <w:rStyle w:val="31"/>
                <w:rFonts w:hint="default" w:ascii="Times New Roman" w:hAnsi="Times New Roman" w:cs="Times New Roman"/>
                <w:kern w:val="0"/>
                <w:sz w:val="24"/>
                <w:szCs w:val="24"/>
              </w:rPr>
              <w:t>吸收液进行过滤吸收处理。</w:t>
            </w:r>
            <w:r>
              <w:rPr>
                <w:rStyle w:val="31"/>
                <w:rFonts w:hint="default" w:ascii="Times New Roman" w:hAnsi="Times New Roman" w:cs="Times New Roman"/>
                <w:kern w:val="0"/>
                <w:sz w:val="24"/>
                <w:szCs w:val="24"/>
                <w:lang w:eastAsia="zh-CN"/>
              </w:rPr>
              <w:t>此过程产生过滤废液（</w:t>
            </w:r>
            <w:r>
              <w:rPr>
                <w:rStyle w:val="31"/>
                <w:rFonts w:hint="default" w:ascii="Times New Roman" w:hAnsi="Times New Roman" w:cs="Times New Roman"/>
                <w:kern w:val="0"/>
                <w:sz w:val="24"/>
                <w:szCs w:val="24"/>
                <w:lang w:val="en-US" w:eastAsia="zh-CN"/>
              </w:rPr>
              <w:t>S1-1</w:t>
            </w:r>
            <w:r>
              <w:rPr>
                <w:rStyle w:val="31"/>
                <w:rFonts w:hint="default" w:ascii="Times New Roman" w:hAnsi="Times New Roman" w:cs="Times New Roman"/>
                <w:kern w:val="0"/>
                <w:sz w:val="24"/>
                <w:szCs w:val="24"/>
                <w:lang w:eastAsia="zh-CN"/>
              </w:rPr>
              <w:t>）。</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③冷却：将煅烧好的催化材料静置，自然冷却到室温，从而得到储能功能催化材料。</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④性能测试质检：从制备好的催化材料中取出少量的样品，</w:t>
            </w:r>
            <w:r>
              <w:rPr>
                <w:rFonts w:hint="default" w:ascii="Times New Roman" w:hAnsi="Times New Roman" w:cs="Times New Roman"/>
                <w:color w:val="000000"/>
                <w:sz w:val="24"/>
                <w:lang w:eastAsia="zh-CN"/>
              </w:rPr>
              <w:t>使用电化学工作站</w:t>
            </w:r>
            <w:r>
              <w:rPr>
                <w:rFonts w:hint="default" w:ascii="Times New Roman" w:hAnsi="Times New Roman" w:cs="Times New Roman"/>
                <w:color w:val="000000"/>
                <w:sz w:val="24"/>
              </w:rPr>
              <w:t>进行性能测试质检，测试过程使用氢气，测试合格的即为成品，此工序会产生不合格品（S1-</w:t>
            </w:r>
            <w:r>
              <w:rPr>
                <w:rFonts w:hint="default" w:ascii="Times New Roman" w:hAnsi="Times New Roman" w:cs="Times New Roman"/>
                <w:color w:val="000000"/>
                <w:sz w:val="24"/>
                <w:lang w:val="en-US" w:eastAsia="zh-CN"/>
              </w:rPr>
              <w:t>2</w:t>
            </w:r>
            <w:r>
              <w:rPr>
                <w:rFonts w:hint="default" w:ascii="Times New Roman" w:hAnsi="Times New Roman" w:cs="Times New Roman"/>
                <w:color w:val="000000"/>
                <w:sz w:val="24"/>
              </w:rPr>
              <w:t>），不合格品收集后</w:t>
            </w:r>
            <w:r>
              <w:rPr>
                <w:rFonts w:hint="eastAsia" w:cs="Times New Roman"/>
                <w:color w:val="000000"/>
                <w:sz w:val="24"/>
                <w:lang w:eastAsia="zh-CN"/>
              </w:rPr>
              <w:t>委托有资质单位处置</w:t>
            </w:r>
            <w:r>
              <w:rPr>
                <w:rFonts w:hint="default" w:ascii="Times New Roman" w:hAnsi="Times New Roman" w:cs="Times New Roman"/>
                <w:color w:val="000000"/>
                <w:sz w:val="24"/>
              </w:rPr>
              <w:t>。</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⑤成品：将测试合格的储能功能催化材料进行包装封袋入库。</w:t>
            </w:r>
          </w:p>
          <w:p>
            <w:pPr>
              <w:spacing w:line="360" w:lineRule="auto"/>
              <w:ind w:firstLine="482" w:firstLineChars="200"/>
              <w:rPr>
                <w:rFonts w:hint="default" w:ascii="Times New Roman" w:hAnsi="Times New Roman" w:cs="Times New Roman"/>
                <w:b/>
                <w:bCs/>
                <w:color w:val="000000"/>
                <w:sz w:val="24"/>
              </w:rPr>
            </w:pPr>
            <w:r>
              <w:rPr>
                <w:rFonts w:hint="default" w:ascii="Times New Roman" w:hAnsi="Times New Roman" w:cs="Times New Roman"/>
                <w:b/>
                <w:bCs/>
                <w:color w:val="000000"/>
                <w:sz w:val="24"/>
              </w:rPr>
              <w:t>2、除氧模块生产工艺流程及产污节点图</w:t>
            </w:r>
          </w:p>
          <w:p>
            <w:pPr>
              <w:spacing w:line="360" w:lineRule="auto"/>
              <w:jc w:val="center"/>
              <w:rPr>
                <w:rFonts w:hint="default" w:ascii="Times New Roman" w:hAnsi="Times New Roman" w:cs="Times New Roman"/>
                <w:color w:val="000000"/>
              </w:rPr>
            </w:pPr>
            <w:r>
              <w:rPr>
                <w:rFonts w:hint="default" w:ascii="Times New Roman" w:hAnsi="Times New Roman" w:cs="Times New Roman"/>
                <w:color w:val="000000"/>
              </w:rPr>
              <w:drawing>
                <wp:inline distT="0" distB="0" distL="114300" distR="114300">
                  <wp:extent cx="3556000" cy="5053330"/>
                  <wp:effectExtent l="0" t="0" r="0" b="0"/>
                  <wp:docPr id="19" name="ECB019B1-382A-4266-B25C-5B523AA43C14-3" descr="C:/Users/wyy/AppData/Local/Temp/wps.iCtHQm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CB019B1-382A-4266-B25C-5B523AA43C14-3" descr="C:/Users/wyy/AppData/Local/Temp/wps.iCtHQmwps"/>
                          <pic:cNvPicPr>
                            <a:picLocks noChangeAspect="1"/>
                          </pic:cNvPicPr>
                        </pic:nvPicPr>
                        <pic:blipFill>
                          <a:blip r:embed="rId11"/>
                          <a:stretch>
                            <a:fillRect/>
                          </a:stretch>
                        </pic:blipFill>
                        <pic:spPr>
                          <a:xfrm>
                            <a:off x="0" y="0"/>
                            <a:ext cx="3556000" cy="5053330"/>
                          </a:xfrm>
                          <a:prstGeom prst="rect">
                            <a:avLst/>
                          </a:prstGeom>
                        </pic:spPr>
                      </pic:pic>
                    </a:graphicData>
                  </a:graphic>
                </wp:inline>
              </w:drawing>
            </w:r>
          </w:p>
          <w:p>
            <w:pPr>
              <w:spacing w:line="360" w:lineRule="auto"/>
              <w:jc w:val="center"/>
              <w:rPr>
                <w:rFonts w:hint="default" w:ascii="Times New Roman" w:hAnsi="Times New Roman" w:cs="Times New Roman"/>
                <w:color w:val="000000"/>
                <w:sz w:val="24"/>
              </w:rPr>
            </w:pPr>
            <w:r>
              <w:rPr>
                <w:rFonts w:hint="default" w:ascii="Times New Roman" w:hAnsi="Times New Roman" w:cs="Times New Roman"/>
                <w:b/>
                <w:bCs/>
                <w:color w:val="000000"/>
              </w:rPr>
              <w:t>图3  除氧模块生产工艺流程及产污节点图</w:t>
            </w:r>
          </w:p>
          <w:p>
            <w:pPr>
              <w:spacing w:line="360" w:lineRule="auto"/>
              <w:ind w:firstLine="360" w:firstLineChars="150"/>
              <w:rPr>
                <w:rFonts w:hint="default" w:ascii="Times New Roman" w:hAnsi="Times New Roman" w:cs="Times New Roman"/>
                <w:color w:val="000000"/>
                <w:sz w:val="24"/>
              </w:rPr>
            </w:pPr>
            <w:r>
              <w:rPr>
                <w:rFonts w:hint="default" w:ascii="Times New Roman" w:hAnsi="Times New Roman" w:cs="Times New Roman"/>
                <w:color w:val="000000"/>
                <w:sz w:val="24"/>
              </w:rPr>
              <w:t>工艺流程及产污环节说明：</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①辊压：将前期制备好的的储能功能催化材料和炭黑原料分别与纯净水混合后，通过辊压设备将材料擀制成片状。</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②烘干：将辊压好的片状材料放入烘箱中，80℃恒温烘干后得到片状电极材料。</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③三合一辊压：用PTFE乳液将片状催化材料和片状炭黑原料粘连在一起，然后放入辊压设备中擀制成片状材料。</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④高温烧结：将辊压完成后的片状材料放置于小型管式炉中，添加氮气作为保护气，通过电加热至300℃，加热1~3小时。</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⑤冷却：将烧结好的片状电极材料静置，自然冷却到室温，得到除氧模块</w:t>
            </w:r>
            <w:r>
              <w:rPr>
                <w:rFonts w:hint="default" w:ascii="Times New Roman" w:hAnsi="Times New Roman" w:cs="Times New Roman"/>
                <w:color w:val="000000"/>
                <w:sz w:val="24"/>
                <w:lang w:eastAsia="zh-CN"/>
              </w:rPr>
              <w:t>半成品</w:t>
            </w:r>
            <w:r>
              <w:rPr>
                <w:rFonts w:hint="default" w:ascii="Times New Roman" w:hAnsi="Times New Roman" w:cs="Times New Roman"/>
                <w:color w:val="000000"/>
                <w:sz w:val="24"/>
              </w:rPr>
              <w:t>。</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⑥性能测试质检：将得到的除氧模块取出少量样品，接到电池测试系统的正负极，放置于碳酸钾溶液中，将电源调节至3V电压，通过测试电流值的大小与稳定性确定产品的性能，此过程产生不合格品（S2-1）、测试废液（S2-2），不合格品收集后</w:t>
            </w:r>
            <w:r>
              <w:rPr>
                <w:rFonts w:hint="eastAsia" w:cs="Times New Roman"/>
                <w:color w:val="000000"/>
                <w:sz w:val="24"/>
                <w:lang w:eastAsia="zh-CN"/>
              </w:rPr>
              <w:t>委托有资质单位处置</w:t>
            </w:r>
            <w:r>
              <w:rPr>
                <w:rFonts w:hint="default" w:ascii="Times New Roman" w:hAnsi="Times New Roman" w:cs="Times New Roman"/>
                <w:color w:val="000000"/>
                <w:sz w:val="24"/>
              </w:rPr>
              <w:t>，测试废液收集后暂存于危废间定期委托有资质单位处置。</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eastAsia="微软雅黑" w:cs="Times New Roman"/>
                <w:color w:val="000000"/>
                <w:sz w:val="24"/>
              </w:rPr>
              <w:t>⑦</w:t>
            </w:r>
            <w:r>
              <w:rPr>
                <w:rFonts w:hint="default" w:ascii="Times New Roman" w:hAnsi="Times New Roman" w:cs="Times New Roman"/>
                <w:color w:val="000000"/>
                <w:sz w:val="24"/>
              </w:rPr>
              <w:t>成品封袋入库：将测试合格的除氧模块进行包装封袋入库。</w:t>
            </w:r>
          </w:p>
          <w:p>
            <w:pPr>
              <w:spacing w:line="360" w:lineRule="auto"/>
              <w:ind w:firstLine="482" w:firstLineChars="200"/>
              <w:rPr>
                <w:rFonts w:hint="default" w:ascii="Times New Roman" w:hAnsi="Times New Roman" w:cs="Times New Roman"/>
                <w:b/>
                <w:bCs/>
                <w:color w:val="000000"/>
                <w:sz w:val="24"/>
              </w:rPr>
            </w:pPr>
            <w:r>
              <w:rPr>
                <w:rFonts w:hint="default" w:ascii="Times New Roman" w:hAnsi="Times New Roman" w:cs="Times New Roman"/>
                <w:b/>
                <w:bCs/>
                <w:color w:val="000000"/>
                <w:sz w:val="24"/>
              </w:rPr>
              <w:t>3、电极片生产工艺流程及产污节点图</w:t>
            </w:r>
          </w:p>
          <w:p>
            <w:pPr>
              <w:spacing w:line="360" w:lineRule="auto"/>
              <w:jc w:val="center"/>
              <w:rPr>
                <w:rFonts w:hint="default" w:ascii="Times New Roman" w:hAnsi="Times New Roman" w:cs="Times New Roman"/>
                <w:color w:val="000000"/>
              </w:rPr>
            </w:pPr>
            <w:r>
              <w:rPr>
                <w:rFonts w:hint="default" w:ascii="Times New Roman" w:hAnsi="Times New Roman" w:cs="Times New Roman"/>
                <w:color w:val="000000"/>
              </w:rPr>
              <w:drawing>
                <wp:inline distT="0" distB="0" distL="114300" distR="114300">
                  <wp:extent cx="4314190" cy="4966970"/>
                  <wp:effectExtent l="0" t="0" r="0" b="0"/>
                  <wp:docPr id="20" name="ECB019B1-382A-4266-B25C-5B523AA43C14-4" descr="C:/Users/Administrator/AppData/Local/Temp/wps.ezSqKs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ECB019B1-382A-4266-B25C-5B523AA43C14-4" descr="C:/Users/Administrator/AppData/Local/Temp/wps.ezSqKswps"/>
                          <pic:cNvPicPr>
                            <a:picLocks noChangeAspect="1"/>
                          </pic:cNvPicPr>
                        </pic:nvPicPr>
                        <pic:blipFill>
                          <a:blip r:embed="rId12"/>
                          <a:stretch>
                            <a:fillRect/>
                          </a:stretch>
                        </pic:blipFill>
                        <pic:spPr>
                          <a:xfrm>
                            <a:off x="0" y="0"/>
                            <a:ext cx="4314190" cy="4966970"/>
                          </a:xfrm>
                          <a:prstGeom prst="rect">
                            <a:avLst/>
                          </a:prstGeom>
                        </pic:spPr>
                      </pic:pic>
                    </a:graphicData>
                  </a:graphic>
                </wp:inline>
              </w:drawing>
            </w:r>
          </w:p>
          <w:p>
            <w:pPr>
              <w:spacing w:line="360" w:lineRule="auto"/>
              <w:jc w:val="center"/>
              <w:rPr>
                <w:rFonts w:hint="default" w:ascii="Times New Roman" w:hAnsi="Times New Roman" w:cs="Times New Roman"/>
                <w:color w:val="000000"/>
                <w:sz w:val="24"/>
              </w:rPr>
            </w:pPr>
            <w:r>
              <w:rPr>
                <w:rFonts w:hint="default" w:ascii="Times New Roman" w:hAnsi="Times New Roman" w:cs="Times New Roman"/>
                <w:b/>
                <w:bCs/>
                <w:color w:val="000000"/>
              </w:rPr>
              <w:t>图4  电极片生产工艺流程及产污节点图</w:t>
            </w:r>
          </w:p>
          <w:p>
            <w:pPr>
              <w:spacing w:line="360" w:lineRule="auto"/>
              <w:ind w:firstLine="360" w:firstLineChars="150"/>
              <w:rPr>
                <w:rFonts w:hint="default" w:ascii="Times New Roman" w:hAnsi="Times New Roman" w:cs="Times New Roman"/>
                <w:color w:val="000000"/>
                <w:sz w:val="24"/>
              </w:rPr>
            </w:pPr>
            <w:r>
              <w:rPr>
                <w:rFonts w:hint="default" w:ascii="Times New Roman" w:hAnsi="Times New Roman" w:cs="Times New Roman"/>
                <w:color w:val="000000"/>
                <w:sz w:val="24"/>
              </w:rPr>
              <w:t>工艺流程及产污环节说明：</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①喷砂：将外购的TP270钛板放置于喷砂机中，用于清除钛板表面的杂质，同时使钛板表面形成磨砂质感，拥有均匀的粗糙度。此过程产生少量的粉尘（G3-1）、废金刚砂（S3-1）。</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②酸洗：将喷砂好的钛板利用龙门架放置于草酸酸洗槽中进行酸洗，用于去除钛板表面的氧化层，使其表面可以更好的吸附材料。此过程产生酸洗废气（G3-2）、废草酸溶液（S3-2）。</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③水洗：将酸洗后的钛板放置于水洗槽中洗掉表面残余的草酸，然后静置沥水，自然晾干。此过程产生清洗废液（S3-3）。</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④涂覆：将氯铱酸、氯化钌等金属原液以及稀盐酸、异丙醇、正丁醇等原料按照一定比例混合搅拌，</w:t>
            </w:r>
            <w:r>
              <w:rPr>
                <w:rFonts w:hint="default" w:ascii="Times New Roman" w:hAnsi="Times New Roman" w:cs="Times New Roman"/>
                <w:color w:val="000000"/>
                <w:sz w:val="24"/>
                <w:lang w:eastAsia="zh-CN"/>
              </w:rPr>
              <w:t>人工使用</w:t>
            </w:r>
            <w:r>
              <w:rPr>
                <w:rFonts w:hint="default" w:ascii="Times New Roman" w:hAnsi="Times New Roman" w:cs="Times New Roman"/>
                <w:color w:val="000000"/>
                <w:sz w:val="24"/>
              </w:rPr>
              <w:t>刷子将混合溶液涂覆在钛板表面，使其表面附着金属盐溶液，然后将钛板放置于低温防腐烤箱中，通过电加热至100℃进行1h烘干，使金属盐如胶状附着于钛板表面，</w:t>
            </w:r>
            <w:r>
              <w:rPr>
                <w:rFonts w:hint="eastAsia" w:cs="Times New Roman"/>
                <w:color w:val="000000"/>
                <w:sz w:val="24"/>
                <w:lang w:eastAsia="zh-CN"/>
              </w:rPr>
              <w:t>然后</w:t>
            </w:r>
            <w:r>
              <w:rPr>
                <w:rFonts w:hint="default" w:ascii="Times New Roman" w:hAnsi="Times New Roman" w:cs="Times New Roman"/>
                <w:color w:val="000000"/>
                <w:sz w:val="24"/>
              </w:rPr>
              <w:t>取出钛板再次进行涂覆，涂覆后再次低温烘干，此工序重复3~6次。此过程产生有机废气（G3-3）、氯化氢（G3-4）。</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⑤高温烧结：将涂覆完成后的钛板放置于滤芯高温实验烤箱中，添加氮气作为保护气，通过电加热至300~500℃，烧结1~2小时，使金属盐完全氧化后固化于钛板表面。</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⑥自然冷却：将烧结好的钛板静置，自然冷却到室温，得到电极片。</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⑦检测：将得到的电极片取出少量样品，接到电池测试系统的正负极，放置于氯化钠水溶液中，将电源调节至12V电压，通过测试电流值的大小与稳定性确定产品的性能，此过程产生不合格品（S3-4）、检测废液（S3-5），不合格品收集后</w:t>
            </w:r>
            <w:r>
              <w:rPr>
                <w:rFonts w:hint="eastAsia" w:cs="Times New Roman"/>
                <w:color w:val="000000"/>
                <w:sz w:val="24"/>
                <w:lang w:eastAsia="zh-CN"/>
              </w:rPr>
              <w:t>委托有资质单位处置</w:t>
            </w:r>
            <w:r>
              <w:rPr>
                <w:rFonts w:hint="default" w:ascii="Times New Roman" w:hAnsi="Times New Roman" w:cs="Times New Roman"/>
                <w:color w:val="000000"/>
                <w:sz w:val="24"/>
              </w:rPr>
              <w:t>，检测废液收集后暂存于危废间定期委托有资质单位处置。</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⑧冲裁：委托外协公司将电极片裁成面积约10cm</w:t>
            </w:r>
            <w:r>
              <w:rPr>
                <w:rFonts w:hint="default" w:ascii="Times New Roman" w:hAnsi="Times New Roman" w:cs="Times New Roman"/>
                <w:color w:val="000000"/>
                <w:sz w:val="24"/>
                <w:vertAlign w:val="superscript"/>
              </w:rPr>
              <w:t>2</w:t>
            </w:r>
            <w:r>
              <w:rPr>
                <w:rFonts w:hint="default" w:ascii="Times New Roman" w:hAnsi="Times New Roman" w:cs="Times New Roman"/>
                <w:color w:val="000000"/>
                <w:sz w:val="24"/>
              </w:rPr>
              <w:t>、质量约10g的成品电极片。</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⑨包装入库：将冲裁好的电极片在传送组装台上打包入库。</w:t>
            </w:r>
          </w:p>
          <w:p>
            <w:pPr>
              <w:pStyle w:val="11"/>
              <w:ind w:firstLine="0" w:firstLineChars="0"/>
              <w:rPr>
                <w:rFonts w:hint="default" w:ascii="Times New Roman" w:hAnsi="Times New Roman" w:cs="Times New Roman"/>
                <w:b/>
                <w:bCs/>
                <w:color w:val="000000"/>
                <w:sz w:val="24"/>
              </w:rPr>
            </w:pPr>
            <w:r>
              <w:rPr>
                <w:rFonts w:hint="default" w:ascii="Times New Roman" w:hAnsi="Times New Roman" w:cs="Times New Roman"/>
                <w:b/>
                <w:bCs/>
                <w:color w:val="000000"/>
                <w:sz w:val="24"/>
              </w:rPr>
              <w:t>4、实验室催化剂研发工艺流程及产污节点图</w:t>
            </w:r>
          </w:p>
          <w:p>
            <w:pPr>
              <w:spacing w:line="360" w:lineRule="auto"/>
              <w:jc w:val="center"/>
              <w:rPr>
                <w:rFonts w:hint="default" w:ascii="Times New Roman" w:hAnsi="Times New Roman" w:cs="Times New Roman"/>
              </w:rPr>
            </w:pPr>
            <w:r>
              <w:rPr>
                <w:rFonts w:hint="default" w:ascii="Times New Roman" w:hAnsi="Times New Roman" w:cs="Times New Roman"/>
              </w:rPr>
              <w:drawing>
                <wp:inline distT="0" distB="0" distL="114300" distR="114300">
                  <wp:extent cx="3971925" cy="3846830"/>
                  <wp:effectExtent l="0" t="0" r="0" b="0"/>
                  <wp:docPr id="21" name="ECB019B1-382A-4266-B25C-5B523AA43C14-5" descr="C:/Users/wyy/AppData/Local/Temp/wps.MzEMdS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ECB019B1-382A-4266-B25C-5B523AA43C14-5" descr="C:/Users/wyy/AppData/Local/Temp/wps.MzEMdSwps"/>
                          <pic:cNvPicPr>
                            <a:picLocks noChangeAspect="1"/>
                          </pic:cNvPicPr>
                        </pic:nvPicPr>
                        <pic:blipFill>
                          <a:blip r:embed="rId13"/>
                          <a:stretch>
                            <a:fillRect/>
                          </a:stretch>
                        </pic:blipFill>
                        <pic:spPr>
                          <a:xfrm>
                            <a:off x="0" y="0"/>
                            <a:ext cx="3971925" cy="3846830"/>
                          </a:xfrm>
                          <a:prstGeom prst="rect">
                            <a:avLst/>
                          </a:prstGeom>
                        </pic:spPr>
                      </pic:pic>
                    </a:graphicData>
                  </a:graphic>
                </wp:inline>
              </w:drawing>
            </w:r>
          </w:p>
          <w:p>
            <w:pPr>
              <w:jc w:val="center"/>
              <w:rPr>
                <w:rFonts w:hint="default" w:ascii="Times New Roman" w:hAnsi="Times New Roman" w:cs="Times New Roman"/>
                <w:color w:val="000000"/>
                <w:sz w:val="24"/>
              </w:rPr>
            </w:pPr>
            <w:r>
              <w:rPr>
                <w:rFonts w:hint="default" w:ascii="Times New Roman" w:hAnsi="Times New Roman" w:cs="Times New Roman"/>
                <w:b/>
                <w:bCs/>
                <w:color w:val="000000"/>
              </w:rPr>
              <w:t>图5  实验室催化剂研发工艺流程及产污节点图</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工艺流程及产污环节说明：</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①混合搅拌：将氯铱酸、氯化钌、纯碳黑、乙醇、皂基、柠檬酸、碳酸氢钠等原料按照一定的比例加入到烧瓶中搅拌，使其进行充分的混合。通过改变原料的配比，从而得到性能不同的催化剂，此过程产生有机废气（G4-1）。</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②高温煅烧：将配置好的溶液放置于管式炉中，添加氮气作为保护气，通过电加热至300~800℃，加热1~3小时。通过改变煅烧的温度和时间，从而得到性能不同的催化剂，此过程产生有机废气（G4-1）。</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③冷却：将煅烧好的催化材料静置，自然冷却到室温，得到催化剂（实验品）。</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color w:val="000000"/>
                <w:sz w:val="24"/>
              </w:rPr>
              <w:t>④检验测试：将制备好的催化剂，在超净间进行性能测试检验，主要测试催化剂的效果、耐菌性、稳定性等，此工序会产生测试废样（S4-1），测试废样收集后</w:t>
            </w:r>
            <w:r>
              <w:rPr>
                <w:rFonts w:hint="eastAsia" w:cs="Times New Roman"/>
                <w:color w:val="000000"/>
                <w:sz w:val="24"/>
                <w:lang w:eastAsia="zh-CN"/>
              </w:rPr>
              <w:t>委托有资质单位处置</w:t>
            </w:r>
            <w:r>
              <w:rPr>
                <w:rFonts w:hint="default" w:ascii="Times New Roman" w:hAnsi="Times New Roman" w:cs="Times New Roman"/>
                <w:color w:val="000000"/>
                <w:sz w:val="24"/>
              </w:rPr>
              <w:t>。</w:t>
            </w:r>
          </w:p>
          <w:p>
            <w:pPr>
              <w:pStyle w:val="11"/>
              <w:spacing w:line="360" w:lineRule="auto"/>
              <w:ind w:firstLine="0" w:firstLineChars="0"/>
              <w:rPr>
                <w:rFonts w:hint="default" w:ascii="Times New Roman" w:hAnsi="Times New Roman" w:cs="Times New Roman"/>
                <w:b/>
                <w:bCs/>
                <w:color w:val="000000"/>
                <w:sz w:val="24"/>
              </w:rPr>
            </w:pPr>
            <w:r>
              <w:rPr>
                <w:rFonts w:hint="default" w:ascii="Times New Roman" w:hAnsi="Times New Roman" w:cs="Times New Roman"/>
                <w:b/>
                <w:bCs/>
                <w:color w:val="000000"/>
                <w:sz w:val="24"/>
              </w:rPr>
              <w:t>5、项目产污节点及处理措施</w:t>
            </w:r>
          </w:p>
          <w:p>
            <w:pPr>
              <w:widowControl/>
              <w:numPr>
                <w:ilvl w:val="0"/>
                <w:numId w:val="1"/>
              </w:num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 xml:space="preserve">  研发与生产过程污染物产生及处理情况一览表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1"/>
              <w:gridCol w:w="1186"/>
              <w:gridCol w:w="1171"/>
              <w:gridCol w:w="1274"/>
              <w:gridCol w:w="713"/>
              <w:gridCol w:w="3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70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类别</w:t>
                  </w:r>
                </w:p>
              </w:tc>
              <w:tc>
                <w:tcPr>
                  <w:tcW w:w="23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产生工序</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污染物名称</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kern w:val="0"/>
                      <w:szCs w:val="21"/>
                    </w:rPr>
                  </w:pPr>
                  <w:r>
                    <w:rPr>
                      <w:rFonts w:hint="default" w:ascii="Times New Roman" w:hAnsi="Times New Roman" w:cs="Times New Roman"/>
                      <w:b/>
                      <w:color w:val="000000"/>
                      <w:kern w:val="0"/>
                      <w:szCs w:val="21"/>
                    </w:rPr>
                    <w:t>编码</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szCs w:val="21"/>
                    </w:rPr>
                  </w:pPr>
                  <w:r>
                    <w:rPr>
                      <w:rFonts w:hint="default" w:ascii="Times New Roman" w:hAnsi="Times New Roman" w:cs="Times New Roman"/>
                      <w:b/>
                      <w:color w:val="000000"/>
                      <w:kern w:val="0"/>
                      <w:szCs w:val="21"/>
                    </w:rPr>
                    <w:t>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废气</w:t>
                  </w:r>
                </w:p>
              </w:tc>
              <w:tc>
                <w:tcPr>
                  <w:tcW w:w="1186"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电极片</w:t>
                  </w:r>
                </w:p>
              </w:tc>
              <w:tc>
                <w:tcPr>
                  <w:tcW w:w="11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喷砂</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颗粒物</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G3-1</w:t>
                  </w:r>
                </w:p>
              </w:tc>
              <w:tc>
                <w:tcPr>
                  <w:tcW w:w="3587" w:type="dxa"/>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喷砂机喷砂过程全密闭，产生的少量粉尘经设备自带布袋除尘器处理后，车间内无组织排放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酸洗</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酸洗废气</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G3-2</w:t>
                  </w:r>
                </w:p>
              </w:tc>
              <w:tc>
                <w:tcPr>
                  <w:tcW w:w="3587" w:type="dxa"/>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酸洗产生废气通过酸洗槽上方的集气罩负压收集后通过管道与实验室废气共用1套碱喷淋塔</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lang w:eastAsia="zh-CN"/>
                    </w:rPr>
                    <w:t>除湿棉</w:t>
                  </w:r>
                  <w:r>
                    <w:rPr>
                      <w:rFonts w:hint="default" w:ascii="Times New Roman" w:hAnsi="Times New Roman" w:cs="Times New Roman"/>
                      <w:color w:val="000000"/>
                      <w:kern w:val="0"/>
                      <w:szCs w:val="21"/>
                    </w:rPr>
                    <w:t>+二级活性炭吸附装置处理后通过楼顶22.5m高排气筒排放（DA001）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71"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涂覆</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有机废气（以非甲烷总烃计）</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G3-3</w:t>
                  </w:r>
                </w:p>
              </w:tc>
              <w:tc>
                <w:tcPr>
                  <w:tcW w:w="3587"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涂覆过程车间全密闭，产生的有机废气和氯化氢经负压收集后通过管道与实验室废气共用1套碱喷淋塔</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lang w:eastAsia="zh-CN"/>
                    </w:rPr>
                    <w:t>除湿棉</w:t>
                  </w:r>
                  <w:r>
                    <w:rPr>
                      <w:rFonts w:hint="default" w:ascii="Times New Roman" w:hAnsi="Times New Roman" w:cs="Times New Roman"/>
                      <w:color w:val="000000"/>
                      <w:kern w:val="0"/>
                      <w:szCs w:val="21"/>
                    </w:rPr>
                    <w:t>+二级活性炭吸附装置处理后通过楼顶22.5m高排气筒排放（DA001）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71"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氯化氢</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G3-4</w:t>
                  </w:r>
                </w:p>
              </w:tc>
              <w:tc>
                <w:tcPr>
                  <w:tcW w:w="3587"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实验室催化剂研发</w:t>
                  </w:r>
                </w:p>
              </w:tc>
              <w:tc>
                <w:tcPr>
                  <w:tcW w:w="1171" w:type="dxa"/>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混合搅拌、高温煅烧</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有机废气（以非甲烷总烃计）</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G4-1</w:t>
                  </w:r>
                </w:p>
              </w:tc>
              <w:tc>
                <w:tcPr>
                  <w:tcW w:w="3587" w:type="dxa"/>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混合搅拌、高温煅烧工序在密闭实验室和煅烧间的试验台上进行，废气由万向集气罩负压收集后经1套碱喷淋塔+</w:t>
                  </w:r>
                  <w:r>
                    <w:rPr>
                      <w:rFonts w:hint="default" w:ascii="Times New Roman" w:hAnsi="Times New Roman" w:cs="Times New Roman"/>
                      <w:color w:val="000000"/>
                      <w:kern w:val="0"/>
                      <w:szCs w:val="21"/>
                      <w:lang w:eastAsia="zh-CN"/>
                    </w:rPr>
                    <w:t>除湿棉</w:t>
                  </w:r>
                  <w:r>
                    <w:rPr>
                      <w:rFonts w:hint="default" w:ascii="Times New Roman" w:hAnsi="Times New Roman" w:cs="Times New Roman"/>
                      <w:color w:val="000000"/>
                      <w:kern w:val="0"/>
                      <w:szCs w:val="21"/>
                    </w:rPr>
                    <w:t>+二级活性炭吸附装置处理后通过楼顶22.5m高排气筒排放（DA001）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restart"/>
                  <w:tcBorders>
                    <w:left w:val="single" w:color="auto" w:sz="4" w:space="0"/>
                    <w:right w:val="single" w:color="auto" w:sz="4" w:space="0"/>
                  </w:tcBorders>
                  <w:vAlign w:val="center"/>
                </w:tcPr>
                <w:p>
                  <w:pPr>
                    <w:jc w:val="center"/>
                    <w:rPr>
                      <w:rFonts w:hint="eastAsia" w:ascii="Times New Roman" w:hAnsi="Times New Roman" w:eastAsia="宋体" w:cs="Times New Roman"/>
                      <w:color w:val="000000"/>
                      <w:kern w:val="0"/>
                      <w:szCs w:val="21"/>
                      <w:lang w:eastAsia="zh-CN"/>
                    </w:rPr>
                  </w:pPr>
                  <w:r>
                    <w:rPr>
                      <w:rFonts w:hint="eastAsia" w:cs="Times New Roman"/>
                      <w:color w:val="000000"/>
                      <w:kern w:val="0"/>
                      <w:szCs w:val="21"/>
                      <w:lang w:eastAsia="zh-CN"/>
                    </w:rPr>
                    <w:t>废水</w:t>
                  </w:r>
                </w:p>
              </w:tc>
              <w:tc>
                <w:tcPr>
                  <w:tcW w:w="2357" w:type="dxa"/>
                  <w:gridSpan w:val="2"/>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eastAsia="宋体" w:cs="Times New Roman"/>
                      <w:color w:val="000000"/>
                      <w:kern w:val="0"/>
                      <w:szCs w:val="21"/>
                      <w:lang w:eastAsia="zh-CN"/>
                    </w:rPr>
                  </w:pPr>
                  <w:r>
                    <w:rPr>
                      <w:rFonts w:hint="eastAsia" w:cs="Times New Roman"/>
                      <w:color w:val="000000"/>
                      <w:kern w:val="0"/>
                      <w:szCs w:val="21"/>
                      <w:lang w:eastAsia="zh-CN"/>
                    </w:rPr>
                    <w:t>生活</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color w:val="000000"/>
                      <w:kern w:val="0"/>
                      <w:szCs w:val="21"/>
                      <w:lang w:eastAsia="zh-CN"/>
                    </w:rPr>
                  </w:pPr>
                  <w:r>
                    <w:rPr>
                      <w:rFonts w:hint="default" w:ascii="Times New Roman" w:hAnsi="Times New Roman" w:cs="Times New Roman"/>
                      <w:color w:val="000000"/>
                      <w:kern w:val="0"/>
                      <w:szCs w:val="21"/>
                    </w:rPr>
                    <w:t>办公生活</w:t>
                  </w:r>
                  <w:r>
                    <w:rPr>
                      <w:rFonts w:hint="eastAsia" w:cs="Times New Roman"/>
                      <w:color w:val="000000"/>
                      <w:kern w:val="0"/>
                      <w:szCs w:val="21"/>
                      <w:lang w:eastAsia="zh-CN"/>
                    </w:rPr>
                    <w:t>废水</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color w:val="000000"/>
                      <w:szCs w:val="21"/>
                      <w:lang w:val="en-US" w:eastAsia="zh-CN"/>
                    </w:rPr>
                  </w:pPr>
                  <w:r>
                    <w:rPr>
                      <w:rFonts w:hint="eastAsia" w:cs="Times New Roman"/>
                      <w:color w:val="000000"/>
                      <w:szCs w:val="21"/>
                      <w:lang w:val="en-US" w:eastAsia="zh-CN"/>
                    </w:rPr>
                    <w:t>/</w:t>
                  </w:r>
                </w:p>
              </w:tc>
              <w:tc>
                <w:tcPr>
                  <w:tcW w:w="3587"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eastAsia"/>
                      <w:lang w:eastAsia="zh-CN"/>
                    </w:rPr>
                    <w:t>办公</w:t>
                  </w:r>
                  <w:r>
                    <w:rPr>
                      <w:szCs w:val="21"/>
                    </w:rPr>
                    <w:t>生活污水、</w:t>
                  </w:r>
                  <w:r>
                    <w:rPr>
                      <w:rFonts w:hint="eastAsia"/>
                      <w:szCs w:val="21"/>
                    </w:rPr>
                    <w:t>车间保洁废水</w:t>
                  </w:r>
                  <w:r>
                    <w:rPr>
                      <w:szCs w:val="21"/>
                    </w:rPr>
                    <w:t>经</w:t>
                  </w:r>
                  <w:r>
                    <w:rPr>
                      <w:rFonts w:hint="eastAsia"/>
                    </w:rPr>
                    <w:t>依托明珠产业园现有预处理设施处理后</w:t>
                  </w:r>
                  <w:r>
                    <w:rPr>
                      <w:szCs w:val="21"/>
                    </w:rPr>
                    <w:t>经市政污水管网进入西部组团污水处理厂深度处理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eastAsia" w:cs="Times New Roman"/>
                      <w:color w:val="000000"/>
                      <w:kern w:val="0"/>
                      <w:szCs w:val="21"/>
                      <w:lang w:eastAsia="zh-CN"/>
                    </w:rPr>
                  </w:pPr>
                </w:p>
              </w:tc>
              <w:tc>
                <w:tcPr>
                  <w:tcW w:w="2357" w:type="dxa"/>
                  <w:gridSpan w:val="2"/>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color w:val="000000"/>
                      <w:kern w:val="0"/>
                      <w:szCs w:val="21"/>
                      <w:lang w:eastAsia="zh-CN"/>
                    </w:rPr>
                  </w:pPr>
                  <w:r>
                    <w:rPr>
                      <w:rFonts w:hint="eastAsia" w:cs="Times New Roman"/>
                      <w:color w:val="000000"/>
                      <w:kern w:val="0"/>
                      <w:szCs w:val="21"/>
                      <w:lang w:eastAsia="zh-CN"/>
                    </w:rPr>
                    <w:t>车间保洁废水</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color w:val="000000"/>
                      <w:szCs w:val="21"/>
                      <w:lang w:val="en-US" w:eastAsia="zh-CN"/>
                    </w:rPr>
                  </w:pPr>
                  <w:r>
                    <w:rPr>
                      <w:rFonts w:hint="eastAsia" w:cs="Times New Roman"/>
                      <w:color w:val="000000"/>
                      <w:szCs w:val="21"/>
                      <w:lang w:val="en-US" w:eastAsia="zh-CN"/>
                    </w:rPr>
                    <w:t>/</w:t>
                  </w:r>
                </w:p>
              </w:tc>
              <w:tc>
                <w:tcPr>
                  <w:tcW w:w="3587"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固体废物</w:t>
                  </w:r>
                </w:p>
              </w:tc>
              <w:tc>
                <w:tcPr>
                  <w:tcW w:w="1186"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储能功能催化材料</w:t>
                  </w:r>
                </w:p>
              </w:tc>
              <w:tc>
                <w:tcPr>
                  <w:tcW w:w="11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color w:val="000000"/>
                      <w:szCs w:val="21"/>
                      <w:lang w:eastAsia="zh-CN"/>
                    </w:rPr>
                  </w:pPr>
                  <w:r>
                    <w:rPr>
                      <w:rFonts w:hint="eastAsia" w:cs="Times New Roman"/>
                      <w:color w:val="000000"/>
                      <w:szCs w:val="21"/>
                      <w:lang w:eastAsia="zh-CN"/>
                    </w:rPr>
                    <w:t>高温烧结</w:t>
                  </w:r>
                </w:p>
              </w:tc>
              <w:tc>
                <w:tcPr>
                  <w:tcW w:w="1274" w:type="dxa"/>
                  <w:tcBorders>
                    <w:top w:val="single" w:color="auto" w:sz="4" w:space="0"/>
                    <w:left w:val="single" w:color="auto" w:sz="4" w:space="0"/>
                    <w:right w:val="single" w:color="auto" w:sz="4" w:space="0"/>
                  </w:tcBorders>
                  <w:vAlign w:val="center"/>
                </w:tcPr>
                <w:p>
                  <w:pPr>
                    <w:autoSpaceDE w:val="0"/>
                    <w:autoSpaceDN w:val="0"/>
                    <w:jc w:val="center"/>
                    <w:rPr>
                      <w:rFonts w:hint="eastAsia" w:ascii="Times New Roman" w:hAnsi="Times New Roman" w:eastAsia="宋体" w:cs="Times New Roman"/>
                      <w:color w:val="000000"/>
                      <w:kern w:val="0"/>
                      <w:szCs w:val="21"/>
                      <w:lang w:eastAsia="zh-CN"/>
                    </w:rPr>
                  </w:pPr>
                  <w:r>
                    <w:rPr>
                      <w:rFonts w:hint="eastAsia" w:cs="Times New Roman"/>
                      <w:color w:val="000000"/>
                      <w:kern w:val="0"/>
                      <w:szCs w:val="21"/>
                      <w:lang w:eastAsia="zh-CN"/>
                    </w:rPr>
                    <w:t>过滤废液</w:t>
                  </w:r>
                </w:p>
              </w:tc>
              <w:tc>
                <w:tcPr>
                  <w:tcW w:w="713" w:type="dxa"/>
                  <w:tcBorders>
                    <w:top w:val="single" w:color="auto" w:sz="4" w:space="0"/>
                    <w:left w:val="single" w:color="auto" w:sz="4" w:space="0"/>
                    <w:right w:val="single" w:color="auto" w:sz="4" w:space="0"/>
                  </w:tcBorders>
                  <w:vAlign w:val="center"/>
                </w:tcPr>
                <w:p>
                  <w:pPr>
                    <w:jc w:val="center"/>
                    <w:rPr>
                      <w:rFonts w:hint="default" w:ascii="Times New Roman" w:hAnsi="Times New Roman" w:eastAsia="宋体" w:cs="Times New Roman"/>
                      <w:color w:val="000000"/>
                      <w:szCs w:val="21"/>
                      <w:lang w:val="en-US" w:eastAsia="zh-CN"/>
                    </w:rPr>
                  </w:pPr>
                  <w:r>
                    <w:rPr>
                      <w:rFonts w:hint="eastAsia" w:cs="Times New Roman"/>
                      <w:color w:val="000000"/>
                      <w:szCs w:val="21"/>
                      <w:lang w:val="en-US" w:eastAsia="zh-CN"/>
                    </w:rPr>
                    <w:t>S1-1</w:t>
                  </w:r>
                </w:p>
              </w:tc>
              <w:tc>
                <w:tcPr>
                  <w:tcW w:w="3587" w:type="dxa"/>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1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性能测试质检</w:t>
                  </w:r>
                </w:p>
              </w:tc>
              <w:tc>
                <w:tcPr>
                  <w:tcW w:w="1274" w:type="dxa"/>
                  <w:tcBorders>
                    <w:top w:val="single" w:color="auto" w:sz="4" w:space="0"/>
                    <w:left w:val="single" w:color="auto" w:sz="4" w:space="0"/>
                    <w:right w:val="single" w:color="auto" w:sz="4" w:space="0"/>
                  </w:tcBorders>
                  <w:vAlign w:val="center"/>
                </w:tcPr>
                <w:p>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不合格品</w:t>
                  </w:r>
                </w:p>
              </w:tc>
              <w:tc>
                <w:tcPr>
                  <w:tcW w:w="713" w:type="dxa"/>
                  <w:tcBorders>
                    <w:top w:val="single" w:color="auto" w:sz="4" w:space="0"/>
                    <w:left w:val="single" w:color="auto" w:sz="4" w:space="0"/>
                    <w:right w:val="single" w:color="auto" w:sz="4" w:space="0"/>
                  </w:tcBorders>
                  <w:vAlign w:val="center"/>
                </w:tcPr>
                <w:p>
                  <w:pPr>
                    <w:jc w:val="center"/>
                    <w:rPr>
                      <w:rFonts w:hint="eastAsia" w:ascii="Times New Roman" w:hAnsi="Times New Roman" w:eastAsia="宋体" w:cs="Times New Roman"/>
                      <w:color w:val="000000"/>
                      <w:szCs w:val="21"/>
                      <w:lang w:eastAsia="zh-CN"/>
                    </w:rPr>
                  </w:pPr>
                  <w:r>
                    <w:rPr>
                      <w:rFonts w:hint="default" w:ascii="Times New Roman" w:hAnsi="Times New Roman" w:cs="Times New Roman"/>
                      <w:color w:val="000000"/>
                      <w:szCs w:val="21"/>
                    </w:rPr>
                    <w:t>S1-</w:t>
                  </w:r>
                  <w:r>
                    <w:rPr>
                      <w:rFonts w:hint="eastAsia" w:cs="Times New Roman"/>
                      <w:color w:val="000000"/>
                      <w:szCs w:val="21"/>
                      <w:lang w:val="en-US" w:eastAsia="zh-CN"/>
                    </w:rPr>
                    <w:t>2</w:t>
                  </w:r>
                </w:p>
              </w:tc>
              <w:tc>
                <w:tcPr>
                  <w:tcW w:w="3587" w:type="dxa"/>
                  <w:tcBorders>
                    <w:top w:val="single" w:color="auto" w:sz="4" w:space="0"/>
                    <w:left w:val="single" w:color="auto" w:sz="4" w:space="0"/>
                    <w:right w:val="single" w:color="auto" w:sz="4" w:space="0"/>
                  </w:tcBorders>
                  <w:vAlign w:val="center"/>
                </w:tcPr>
                <w:p>
                  <w:pPr>
                    <w:jc w:val="center"/>
                    <w:rPr>
                      <w:rFonts w:hint="eastAsia" w:ascii="Times New Roman" w:hAnsi="Times New Roman" w:eastAsia="宋体" w:cs="Times New Roman"/>
                      <w:color w:val="000000"/>
                      <w:szCs w:val="21"/>
                      <w:lang w:eastAsia="zh-CN"/>
                    </w:rPr>
                  </w:pPr>
                  <w:r>
                    <w:rPr>
                      <w:rFonts w:hint="eastAsia" w:cs="Times New Roman"/>
                      <w:color w:val="000000"/>
                      <w:szCs w:val="21"/>
                      <w:lang w:eastAsia="zh-CN"/>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除氧模块</w:t>
                  </w:r>
                </w:p>
              </w:tc>
              <w:tc>
                <w:tcPr>
                  <w:tcW w:w="1171"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性能测试质检</w:t>
                  </w:r>
                </w:p>
              </w:tc>
              <w:tc>
                <w:tcPr>
                  <w:tcW w:w="127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不合格品</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S2-1</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color w:val="000000"/>
                      <w:szCs w:val="21"/>
                      <w:lang w:eastAsia="zh-CN"/>
                    </w:rPr>
                  </w:pPr>
                  <w:r>
                    <w:rPr>
                      <w:rFonts w:hint="eastAsia" w:cs="Times New Roman"/>
                      <w:color w:val="000000"/>
                      <w:szCs w:val="21"/>
                      <w:lang w:eastAsia="zh-CN"/>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171"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测试废液</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S2-2</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电极片</w:t>
                  </w:r>
                </w:p>
              </w:tc>
              <w:tc>
                <w:tcPr>
                  <w:tcW w:w="11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喷砂</w:t>
                  </w:r>
                </w:p>
              </w:tc>
              <w:tc>
                <w:tcPr>
                  <w:tcW w:w="127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废金刚砂</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S3-1</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由物资公司回收再利用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1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酸洗</w:t>
                  </w:r>
                </w:p>
              </w:tc>
              <w:tc>
                <w:tcPr>
                  <w:tcW w:w="127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废草酸溶液</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S3-2</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1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水洗</w:t>
                  </w:r>
                </w:p>
              </w:tc>
              <w:tc>
                <w:tcPr>
                  <w:tcW w:w="127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清洗废液</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S3-3</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171"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检测</w:t>
                  </w:r>
                </w:p>
              </w:tc>
              <w:tc>
                <w:tcPr>
                  <w:tcW w:w="127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不合格品</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S3-4</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color w:val="000000"/>
                      <w:szCs w:val="21"/>
                      <w:lang w:eastAsia="zh-CN"/>
                    </w:rPr>
                  </w:pPr>
                  <w:r>
                    <w:rPr>
                      <w:rFonts w:hint="eastAsia" w:cs="Times New Roman"/>
                      <w:color w:val="000000"/>
                      <w:szCs w:val="21"/>
                      <w:lang w:eastAsia="zh-CN"/>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171"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检测废液</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S3-5</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实验室催化剂研发</w:t>
                  </w:r>
                </w:p>
              </w:tc>
              <w:tc>
                <w:tcPr>
                  <w:tcW w:w="117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检验测试</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测试废样</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S4-1</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2357" w:type="dxa"/>
                  <w:gridSpan w:val="2"/>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原料包装</w:t>
                  </w:r>
                </w:p>
              </w:tc>
              <w:tc>
                <w:tcPr>
                  <w:tcW w:w="19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废包装材料（未沾染危险品）</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由物资公司回收再利用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2357" w:type="dxa"/>
                  <w:gridSpan w:val="2"/>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9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废包装材料（直接沾染危险品）</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2357" w:type="dxa"/>
                  <w:gridSpan w:val="2"/>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废气处理</w:t>
                  </w:r>
                </w:p>
              </w:tc>
              <w:tc>
                <w:tcPr>
                  <w:tcW w:w="19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喷淋塔废液</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2357" w:type="dxa"/>
                  <w:gridSpan w:val="2"/>
                  <w:vMerge w:val="continue"/>
                  <w:tcBorders>
                    <w:left w:val="single" w:color="auto" w:sz="4" w:space="0"/>
                    <w:right w:val="single" w:color="auto" w:sz="4" w:space="0"/>
                  </w:tcBorders>
                  <w:vAlign w:val="center"/>
                </w:tcPr>
                <w:p>
                  <w:pPr>
                    <w:jc w:val="center"/>
                    <w:rPr>
                      <w:rFonts w:hint="default" w:ascii="Times New Roman" w:hAnsi="Times New Roman" w:cs="Times New Roman"/>
                      <w:color w:val="C00000"/>
                      <w:szCs w:val="21"/>
                    </w:rPr>
                  </w:pPr>
                </w:p>
              </w:tc>
              <w:tc>
                <w:tcPr>
                  <w:tcW w:w="19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lang w:eastAsia="zh-CN"/>
                    </w:rPr>
                  </w:pPr>
                  <w:r>
                    <w:rPr>
                      <w:rFonts w:hint="default" w:ascii="Times New Roman" w:hAnsi="Times New Roman" w:cs="Times New Roman"/>
                    </w:rPr>
                    <w:t>废</w:t>
                  </w:r>
                  <w:r>
                    <w:rPr>
                      <w:rFonts w:hint="default" w:ascii="Times New Roman" w:hAnsi="Times New Roman" w:cs="Times New Roman"/>
                      <w:lang w:eastAsia="zh-CN"/>
                    </w:rPr>
                    <w:t>除湿棉</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2357" w:type="dxa"/>
                  <w:gridSpan w:val="2"/>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p>
              </w:tc>
              <w:tc>
                <w:tcPr>
                  <w:tcW w:w="19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rPr>
                    <w:t>废活性炭</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1" w:type="dxa"/>
                  <w:vMerge w:val="continue"/>
                  <w:tcBorders>
                    <w:left w:val="single" w:color="auto" w:sz="4" w:space="0"/>
                    <w:right w:val="single" w:color="auto" w:sz="4" w:space="0"/>
                  </w:tcBorders>
                  <w:vAlign w:val="center"/>
                </w:tcPr>
                <w:p>
                  <w:pPr>
                    <w:jc w:val="center"/>
                    <w:rPr>
                      <w:rFonts w:hint="default" w:ascii="Times New Roman" w:hAnsi="Times New Roman" w:cs="Times New Roman"/>
                      <w:color w:val="000000"/>
                      <w:kern w:val="0"/>
                      <w:szCs w:val="21"/>
                    </w:rPr>
                  </w:pPr>
                </w:p>
              </w:tc>
              <w:tc>
                <w:tcPr>
                  <w:tcW w:w="23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职工生活</w:t>
                  </w:r>
                </w:p>
              </w:tc>
              <w:tc>
                <w:tcPr>
                  <w:tcW w:w="19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生活垃圾</w:t>
                  </w:r>
                </w:p>
              </w:tc>
              <w:tc>
                <w:tcPr>
                  <w:tcW w:w="35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当地环卫部门统一清运处理</w:t>
                  </w:r>
                </w:p>
              </w:tc>
            </w:tr>
          </w:tbl>
          <w:p>
            <w:pPr>
              <w:autoSpaceDE w:val="0"/>
              <w:autoSpaceDN w:val="0"/>
              <w:adjustRightInd w:val="0"/>
              <w:spacing w:line="360" w:lineRule="auto"/>
              <w:ind w:firstLine="422" w:firstLineChars="200"/>
              <w:jc w:val="center"/>
              <w:rPr>
                <w:rFonts w:hint="default" w:ascii="Times New Roman" w:hAnsi="Times New Roman" w:cs="Times New Roman"/>
                <w:b/>
                <w:bCs/>
                <w:color w:val="00000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17" w:hRule="atLeast"/>
          <w:jc w:val="center"/>
        </w:trPr>
        <w:tc>
          <w:tcPr>
            <w:tcW w:w="425" w:type="dxa"/>
            <w:vAlign w:val="center"/>
          </w:tcPr>
          <w:p>
            <w:pPr>
              <w:pStyle w:val="20"/>
              <w:adjustRightInd w:val="0"/>
              <w:snapToGrid w:val="0"/>
              <w:spacing w:before="0" w:beforeAutospacing="0" w:after="0" w:afterAutospacing="0"/>
              <w:jc w:val="center"/>
              <w:rPr>
                <w:rFonts w:ascii="Times New Roman" w:hAnsi="Times New Roman"/>
                <w:b/>
                <w:color w:val="000000"/>
                <w:sz w:val="21"/>
                <w:szCs w:val="21"/>
              </w:rPr>
            </w:pPr>
            <w:r>
              <w:rPr>
                <w:rFonts w:ascii="Times New Roman" w:hAnsi="Times New Roman"/>
                <w:b/>
                <w:bCs/>
                <w:color w:val="000000"/>
                <w:kern w:val="2"/>
                <w:sz w:val="21"/>
                <w:szCs w:val="21"/>
              </w:rPr>
              <w:t>与项目有关的原有环境污染问题</w:t>
            </w:r>
          </w:p>
        </w:tc>
        <w:tc>
          <w:tcPr>
            <w:tcW w:w="8861" w:type="dxa"/>
            <w:vAlign w:val="center"/>
          </w:tcPr>
          <w:p>
            <w:pPr>
              <w:autoSpaceDE w:val="0"/>
              <w:autoSpaceDN w:val="0"/>
              <w:adjustRightInd w:val="0"/>
              <w:spacing w:line="360" w:lineRule="auto"/>
              <w:ind w:firstLine="480" w:firstLineChars="200"/>
              <w:rPr>
                <w:b/>
                <w:bCs/>
                <w:color w:val="000000"/>
              </w:rPr>
            </w:pPr>
            <w:r>
              <w:rPr>
                <w:color w:val="000000"/>
                <w:sz w:val="24"/>
              </w:rPr>
              <w:t>本项目位于</w:t>
            </w:r>
            <w:r>
              <w:rPr>
                <w:rFonts w:hint="eastAsia"/>
                <w:color w:val="000000"/>
                <w:sz w:val="24"/>
              </w:rPr>
              <w:t>合肥市高新技术产业开发区明珠产业园2C-3</w:t>
            </w:r>
            <w:r>
              <w:rPr>
                <w:color w:val="000000"/>
                <w:sz w:val="24"/>
              </w:rPr>
              <w:t>，租赁</w:t>
            </w:r>
            <w:r>
              <w:rPr>
                <w:rFonts w:hint="eastAsia"/>
                <w:color w:val="000000"/>
                <w:sz w:val="24"/>
              </w:rPr>
              <w:t>标准化</w:t>
            </w:r>
            <w:r>
              <w:rPr>
                <w:color w:val="000000"/>
                <w:sz w:val="24"/>
              </w:rPr>
              <w:t>厂房，现有厂房为空置厂房，因此，拟建项目无原有污染情况及主要环境问题。</w:t>
            </w:r>
          </w:p>
        </w:tc>
      </w:tr>
    </w:tbl>
    <w:p>
      <w:pPr>
        <w:pStyle w:val="20"/>
        <w:jc w:val="center"/>
        <w:rPr>
          <w:rFonts w:ascii="Times New Roman" w:hAnsi="Times New Roman" w:eastAsia="黑体"/>
          <w:snapToGrid w:val="0"/>
          <w:color w:val="000000"/>
          <w:sz w:val="36"/>
          <w:szCs w:val="36"/>
        </w:rPr>
        <w:sectPr>
          <w:pgSz w:w="11906" w:h="16838"/>
          <w:pgMar w:top="1418" w:right="1418" w:bottom="1418" w:left="1418" w:header="851" w:footer="851" w:gutter="0"/>
          <w:cols w:space="720" w:num="1"/>
          <w:docGrid w:linePitch="312" w:charSpace="0"/>
        </w:sectPr>
      </w:pPr>
    </w:p>
    <w:p>
      <w:pPr>
        <w:pStyle w:val="20"/>
        <w:adjustRightInd w:val="0"/>
        <w:snapToGrid w:val="0"/>
        <w:spacing w:before="0" w:beforeAutospacing="0" w:after="0" w:afterAutospacing="0" w:line="14" w:lineRule="auto"/>
        <w:jc w:val="center"/>
        <w:rPr>
          <w:rFonts w:ascii="Times New Roman" w:hAnsi="Times New Roman" w:eastAsia="黑体"/>
          <w:snapToGrid w:val="0"/>
          <w:color w:val="000000"/>
          <w:sz w:val="30"/>
          <w:szCs w:val="30"/>
        </w:rPr>
      </w:pPr>
    </w:p>
    <w:p>
      <w:pPr>
        <w:pStyle w:val="20"/>
        <w:jc w:val="center"/>
        <w:outlineLvl w:val="0"/>
        <w:rPr>
          <w:rFonts w:ascii="Times New Roman" w:hAnsi="Times New Roman" w:eastAsia="黑体"/>
          <w:snapToGrid w:val="0"/>
          <w:color w:val="000000"/>
          <w:sz w:val="30"/>
          <w:szCs w:val="30"/>
        </w:rPr>
      </w:pPr>
      <w:r>
        <w:rPr>
          <w:rFonts w:ascii="Times New Roman" w:hAnsi="Times New Roman" w:eastAsia="黑体"/>
          <w:snapToGrid w:val="0"/>
          <w:color w:val="000000"/>
          <w:sz w:val="30"/>
          <w:szCs w:val="30"/>
        </w:rPr>
        <w:t>三、区域环境质量现状、环境保护目标及评价标准</w:t>
      </w: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8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adjustRightInd w:val="0"/>
              <w:snapToGrid w:val="0"/>
              <w:jc w:val="center"/>
              <w:rPr>
                <w:b/>
                <w:kern w:val="0"/>
                <w:szCs w:val="21"/>
              </w:rPr>
            </w:pPr>
            <w:r>
              <w:rPr>
                <w:b/>
                <w:kern w:val="0"/>
                <w:szCs w:val="21"/>
              </w:rPr>
              <w:t>区域</w:t>
            </w:r>
          </w:p>
          <w:p>
            <w:pPr>
              <w:adjustRightInd w:val="0"/>
              <w:snapToGrid w:val="0"/>
              <w:jc w:val="center"/>
              <w:rPr>
                <w:b/>
                <w:kern w:val="0"/>
                <w:szCs w:val="21"/>
              </w:rPr>
            </w:pPr>
            <w:r>
              <w:rPr>
                <w:b/>
                <w:kern w:val="0"/>
                <w:szCs w:val="21"/>
              </w:rPr>
              <w:t>环境</w:t>
            </w:r>
          </w:p>
          <w:p>
            <w:pPr>
              <w:adjustRightInd w:val="0"/>
              <w:snapToGrid w:val="0"/>
              <w:jc w:val="center"/>
              <w:rPr>
                <w:b/>
                <w:kern w:val="0"/>
                <w:szCs w:val="21"/>
              </w:rPr>
            </w:pPr>
            <w:r>
              <w:rPr>
                <w:b/>
                <w:kern w:val="0"/>
                <w:szCs w:val="21"/>
              </w:rPr>
              <w:t>质量</w:t>
            </w:r>
          </w:p>
          <w:p>
            <w:pPr>
              <w:adjustRightInd w:val="0"/>
              <w:snapToGrid w:val="0"/>
              <w:jc w:val="center"/>
              <w:rPr>
                <w:kern w:val="0"/>
                <w:szCs w:val="21"/>
              </w:rPr>
            </w:pPr>
            <w:r>
              <w:rPr>
                <w:b/>
                <w:kern w:val="0"/>
                <w:szCs w:val="21"/>
              </w:rPr>
              <w:t>现状</w:t>
            </w:r>
          </w:p>
        </w:tc>
        <w:tc>
          <w:tcPr>
            <w:tcW w:w="8862" w:type="dxa"/>
            <w:vAlign w:val="center"/>
          </w:tcPr>
          <w:p>
            <w:pPr>
              <w:autoSpaceDE w:val="0"/>
              <w:autoSpaceDN w:val="0"/>
              <w:adjustRightInd w:val="0"/>
              <w:snapToGrid w:val="0"/>
              <w:spacing w:line="360" w:lineRule="auto"/>
              <w:ind w:firstLine="482" w:firstLineChars="200"/>
              <w:jc w:val="left"/>
              <w:rPr>
                <w:b/>
                <w:bCs/>
                <w:sz w:val="24"/>
              </w:rPr>
            </w:pPr>
            <w:r>
              <w:rPr>
                <w:b/>
                <w:bCs/>
                <w:sz w:val="24"/>
              </w:rPr>
              <w:t>（一）环境空气质量现状</w:t>
            </w:r>
          </w:p>
          <w:p>
            <w:pPr>
              <w:autoSpaceDE w:val="0"/>
              <w:autoSpaceDN w:val="0"/>
              <w:adjustRightInd w:val="0"/>
              <w:snapToGrid w:val="0"/>
              <w:spacing w:line="360" w:lineRule="auto"/>
              <w:ind w:firstLine="480" w:firstLineChars="200"/>
              <w:jc w:val="left"/>
              <w:rPr>
                <w:sz w:val="24"/>
              </w:rPr>
            </w:pPr>
            <w:r>
              <w:rPr>
                <w:sz w:val="24"/>
              </w:rPr>
              <w:t>1、常规因子质量现状</w:t>
            </w:r>
          </w:p>
          <w:p>
            <w:pPr>
              <w:autoSpaceDE w:val="0"/>
              <w:autoSpaceDN w:val="0"/>
              <w:adjustRightInd w:val="0"/>
              <w:spacing w:line="360" w:lineRule="auto"/>
              <w:ind w:firstLine="480" w:firstLineChars="200"/>
              <w:rPr>
                <w:sz w:val="24"/>
              </w:rPr>
            </w:pPr>
            <w:r>
              <w:rPr>
                <w:sz w:val="24"/>
              </w:rPr>
              <w:t>本项目位于合肥高新技术产业开发区，根据</w:t>
            </w:r>
            <w:r>
              <w:rPr>
                <w:rFonts w:hint="eastAsia"/>
                <w:sz w:val="24"/>
              </w:rPr>
              <w:t>2022年合肥市</w:t>
            </w:r>
            <w:r>
              <w:rPr>
                <w:rFonts w:hint="eastAsia"/>
                <w:sz w:val="24"/>
                <w:lang w:eastAsia="zh-CN"/>
              </w:rPr>
              <w:t>生态</w:t>
            </w:r>
            <w:r>
              <w:rPr>
                <w:rFonts w:hint="eastAsia"/>
                <w:sz w:val="24"/>
              </w:rPr>
              <w:t>环境状况公报</w:t>
            </w:r>
            <w:r>
              <w:rPr>
                <w:sz w:val="24"/>
              </w:rPr>
              <w:t>，</w:t>
            </w:r>
            <w:r>
              <w:rPr>
                <w:rFonts w:hint="eastAsia"/>
                <w:sz w:val="24"/>
              </w:rPr>
              <w:t>（https://sthjj.hefei.gov.cn/public/5851/108910334.html</w:t>
            </w:r>
            <w:r>
              <w:rPr>
                <w:sz w:val="24"/>
              </w:rPr>
              <w:t>)，项目区202</w:t>
            </w:r>
            <w:r>
              <w:rPr>
                <w:rFonts w:hint="eastAsia"/>
                <w:sz w:val="24"/>
              </w:rPr>
              <w:t>2</w:t>
            </w:r>
            <w:r>
              <w:rPr>
                <w:sz w:val="24"/>
              </w:rPr>
              <w:t>年环境空气基本污染物质量浓度见下表。</w:t>
            </w:r>
          </w:p>
          <w:p>
            <w:pPr>
              <w:widowControl/>
              <w:numPr>
                <w:ilvl w:val="0"/>
                <w:numId w:val="1"/>
              </w:numPr>
              <w:jc w:val="center"/>
              <w:rPr>
                <w:b/>
                <w:kern w:val="0"/>
                <w:szCs w:val="21"/>
              </w:rPr>
            </w:pPr>
            <w:r>
              <w:rPr>
                <w:b/>
                <w:kern w:val="0"/>
                <w:szCs w:val="21"/>
              </w:rPr>
              <w:t>区域环境空气质量现状评价表</w:t>
            </w:r>
            <w:r>
              <w:rPr>
                <w:rFonts w:hint="eastAsia"/>
                <w:b/>
                <w:kern w:val="0"/>
                <w:szCs w:val="21"/>
              </w:rPr>
              <w:t xml:space="preserve">   </w:t>
            </w:r>
            <w:r>
              <w:rPr>
                <w:b/>
                <w:bCs/>
                <w:szCs w:val="21"/>
              </w:rPr>
              <w:t>单位：</w:t>
            </w:r>
            <w:r>
              <w:rPr>
                <w:b/>
                <w:szCs w:val="21"/>
              </w:rPr>
              <w:t>μg/m</w:t>
            </w:r>
            <w:r>
              <w:rPr>
                <w:b/>
                <w:szCs w:val="21"/>
                <w:vertAlign w:val="superscript"/>
              </w:rPr>
              <w:t>3</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2761"/>
              <w:gridCol w:w="1094"/>
              <w:gridCol w:w="1201"/>
              <w:gridCol w:w="1228"/>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b/>
                      <w:szCs w:val="21"/>
                    </w:rPr>
                  </w:pPr>
                  <w:r>
                    <w:rPr>
                      <w:b/>
                      <w:szCs w:val="21"/>
                    </w:rPr>
                    <w:t>污染物</w:t>
                  </w:r>
                </w:p>
              </w:tc>
              <w:tc>
                <w:tcPr>
                  <w:tcW w:w="1598" w:type="pct"/>
                  <w:vAlign w:val="center"/>
                </w:tcPr>
                <w:p>
                  <w:pPr>
                    <w:jc w:val="center"/>
                    <w:rPr>
                      <w:b/>
                      <w:szCs w:val="21"/>
                    </w:rPr>
                  </w:pPr>
                  <w:r>
                    <w:rPr>
                      <w:b/>
                      <w:szCs w:val="21"/>
                    </w:rPr>
                    <w:t>评价指标</w:t>
                  </w:r>
                </w:p>
              </w:tc>
              <w:tc>
                <w:tcPr>
                  <w:tcW w:w="633" w:type="pct"/>
                  <w:vAlign w:val="center"/>
                </w:tcPr>
                <w:p>
                  <w:pPr>
                    <w:jc w:val="center"/>
                    <w:rPr>
                      <w:b/>
                      <w:szCs w:val="21"/>
                    </w:rPr>
                  </w:pPr>
                  <w:r>
                    <w:rPr>
                      <w:b/>
                      <w:szCs w:val="21"/>
                    </w:rPr>
                    <w:t>现状浓度</w:t>
                  </w:r>
                </w:p>
              </w:tc>
              <w:tc>
                <w:tcPr>
                  <w:tcW w:w="695" w:type="pct"/>
                  <w:vAlign w:val="center"/>
                </w:tcPr>
                <w:p>
                  <w:pPr>
                    <w:jc w:val="center"/>
                    <w:rPr>
                      <w:b/>
                      <w:szCs w:val="21"/>
                    </w:rPr>
                  </w:pPr>
                  <w:r>
                    <w:rPr>
                      <w:b/>
                      <w:szCs w:val="21"/>
                    </w:rPr>
                    <w:t>标准值</w:t>
                  </w:r>
                </w:p>
              </w:tc>
              <w:tc>
                <w:tcPr>
                  <w:tcW w:w="711" w:type="pct"/>
                  <w:vAlign w:val="center"/>
                </w:tcPr>
                <w:p>
                  <w:pPr>
                    <w:jc w:val="center"/>
                    <w:rPr>
                      <w:b/>
                      <w:szCs w:val="21"/>
                    </w:rPr>
                  </w:pPr>
                  <w:r>
                    <w:rPr>
                      <w:b/>
                      <w:szCs w:val="21"/>
                    </w:rPr>
                    <w:t>占标率%</w:t>
                  </w:r>
                </w:p>
              </w:tc>
              <w:tc>
                <w:tcPr>
                  <w:tcW w:w="708" w:type="pct"/>
                  <w:vAlign w:val="center"/>
                </w:tcPr>
                <w:p>
                  <w:pPr>
                    <w:jc w:val="center"/>
                    <w:rPr>
                      <w:b/>
                      <w:szCs w:val="21"/>
                    </w:rPr>
                  </w:pPr>
                  <w:r>
                    <w:rPr>
                      <w:b/>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szCs w:val="21"/>
                    </w:rPr>
                  </w:pPr>
                  <w:r>
                    <w:rPr>
                      <w:szCs w:val="21"/>
                    </w:rPr>
                    <w:t>SO</w:t>
                  </w:r>
                  <w:r>
                    <w:rPr>
                      <w:szCs w:val="21"/>
                      <w:vertAlign w:val="subscript"/>
                    </w:rPr>
                    <w:t>2</w:t>
                  </w:r>
                </w:p>
              </w:tc>
              <w:tc>
                <w:tcPr>
                  <w:tcW w:w="1598" w:type="pct"/>
                  <w:vAlign w:val="center"/>
                </w:tcPr>
                <w:p>
                  <w:pPr>
                    <w:jc w:val="center"/>
                    <w:rPr>
                      <w:szCs w:val="21"/>
                    </w:rPr>
                  </w:pPr>
                  <w:r>
                    <w:rPr>
                      <w:szCs w:val="21"/>
                    </w:rPr>
                    <w:t>年平均浓度</w:t>
                  </w:r>
                </w:p>
              </w:tc>
              <w:tc>
                <w:tcPr>
                  <w:tcW w:w="633" w:type="pct"/>
                  <w:vAlign w:val="center"/>
                </w:tcPr>
                <w:p>
                  <w:pPr>
                    <w:jc w:val="center"/>
                    <w:rPr>
                      <w:szCs w:val="21"/>
                    </w:rPr>
                  </w:pPr>
                  <w:r>
                    <w:rPr>
                      <w:rFonts w:hint="eastAsia"/>
                      <w:szCs w:val="21"/>
                    </w:rPr>
                    <w:t>8</w:t>
                  </w:r>
                </w:p>
              </w:tc>
              <w:tc>
                <w:tcPr>
                  <w:tcW w:w="695" w:type="pct"/>
                  <w:vAlign w:val="center"/>
                </w:tcPr>
                <w:p>
                  <w:pPr>
                    <w:jc w:val="center"/>
                    <w:rPr>
                      <w:szCs w:val="21"/>
                    </w:rPr>
                  </w:pPr>
                  <w:r>
                    <w:rPr>
                      <w:szCs w:val="21"/>
                    </w:rPr>
                    <w:t>60</w:t>
                  </w:r>
                </w:p>
              </w:tc>
              <w:tc>
                <w:tcPr>
                  <w:tcW w:w="711" w:type="pct"/>
                  <w:vAlign w:val="center"/>
                </w:tcPr>
                <w:p>
                  <w:pPr>
                    <w:widowControl/>
                    <w:jc w:val="center"/>
                    <w:textAlignment w:val="center"/>
                    <w:rPr>
                      <w:szCs w:val="21"/>
                    </w:rPr>
                  </w:pPr>
                  <w:r>
                    <w:rPr>
                      <w:kern w:val="0"/>
                      <w:szCs w:val="21"/>
                      <w:lang w:bidi="ar"/>
                    </w:rPr>
                    <w:t>1</w:t>
                  </w:r>
                  <w:r>
                    <w:rPr>
                      <w:rFonts w:hint="eastAsia"/>
                      <w:kern w:val="0"/>
                      <w:szCs w:val="21"/>
                      <w:lang w:bidi="ar"/>
                    </w:rPr>
                    <w:t>3.3</w:t>
                  </w:r>
                  <w:r>
                    <w:rPr>
                      <w:kern w:val="0"/>
                      <w:szCs w:val="21"/>
                      <w:lang w:bidi="ar"/>
                    </w:rPr>
                    <w:t xml:space="preserve"> </w:t>
                  </w:r>
                </w:p>
              </w:tc>
              <w:tc>
                <w:tcPr>
                  <w:tcW w:w="708" w:type="pct"/>
                  <w:vAlign w:val="center"/>
                </w:tcPr>
                <w:p>
                  <w:pPr>
                    <w:jc w:val="center"/>
                    <w:rPr>
                      <w:szCs w:val="21"/>
                    </w:rPr>
                  </w:pPr>
                  <w:r>
                    <w:rPr>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52" w:type="pct"/>
                  <w:vAlign w:val="center"/>
                </w:tcPr>
                <w:p>
                  <w:pPr>
                    <w:jc w:val="center"/>
                    <w:rPr>
                      <w:szCs w:val="21"/>
                    </w:rPr>
                  </w:pPr>
                  <w:r>
                    <w:rPr>
                      <w:szCs w:val="21"/>
                    </w:rPr>
                    <w:t>NO</w:t>
                  </w:r>
                  <w:r>
                    <w:rPr>
                      <w:szCs w:val="21"/>
                      <w:vertAlign w:val="subscript"/>
                    </w:rPr>
                    <w:t>2</w:t>
                  </w:r>
                </w:p>
              </w:tc>
              <w:tc>
                <w:tcPr>
                  <w:tcW w:w="1598" w:type="pct"/>
                  <w:vAlign w:val="center"/>
                </w:tcPr>
                <w:p>
                  <w:pPr>
                    <w:jc w:val="center"/>
                    <w:rPr>
                      <w:szCs w:val="21"/>
                    </w:rPr>
                  </w:pPr>
                  <w:r>
                    <w:rPr>
                      <w:szCs w:val="21"/>
                    </w:rPr>
                    <w:t>年平均浓度</w:t>
                  </w:r>
                </w:p>
              </w:tc>
              <w:tc>
                <w:tcPr>
                  <w:tcW w:w="633" w:type="pct"/>
                  <w:vAlign w:val="center"/>
                </w:tcPr>
                <w:p>
                  <w:pPr>
                    <w:jc w:val="center"/>
                    <w:rPr>
                      <w:szCs w:val="21"/>
                    </w:rPr>
                  </w:pPr>
                  <w:r>
                    <w:rPr>
                      <w:szCs w:val="21"/>
                    </w:rPr>
                    <w:t>3</w:t>
                  </w:r>
                  <w:r>
                    <w:rPr>
                      <w:rFonts w:hint="eastAsia"/>
                      <w:szCs w:val="21"/>
                    </w:rPr>
                    <w:t>1</w:t>
                  </w:r>
                </w:p>
              </w:tc>
              <w:tc>
                <w:tcPr>
                  <w:tcW w:w="695" w:type="pct"/>
                  <w:vAlign w:val="center"/>
                </w:tcPr>
                <w:p>
                  <w:pPr>
                    <w:jc w:val="center"/>
                    <w:rPr>
                      <w:szCs w:val="21"/>
                    </w:rPr>
                  </w:pPr>
                  <w:r>
                    <w:rPr>
                      <w:szCs w:val="21"/>
                    </w:rPr>
                    <w:t>40</w:t>
                  </w:r>
                </w:p>
              </w:tc>
              <w:tc>
                <w:tcPr>
                  <w:tcW w:w="711" w:type="pct"/>
                  <w:vAlign w:val="center"/>
                </w:tcPr>
                <w:p>
                  <w:pPr>
                    <w:widowControl/>
                    <w:jc w:val="center"/>
                    <w:textAlignment w:val="center"/>
                    <w:rPr>
                      <w:szCs w:val="21"/>
                    </w:rPr>
                  </w:pPr>
                  <w:r>
                    <w:rPr>
                      <w:rFonts w:hint="eastAsia"/>
                      <w:kern w:val="0"/>
                      <w:szCs w:val="21"/>
                      <w:lang w:bidi="ar"/>
                    </w:rPr>
                    <w:t>77.5</w:t>
                  </w:r>
                </w:p>
              </w:tc>
              <w:tc>
                <w:tcPr>
                  <w:tcW w:w="708" w:type="pct"/>
                  <w:vAlign w:val="center"/>
                </w:tcPr>
                <w:p>
                  <w:pPr>
                    <w:jc w:val="center"/>
                    <w:rPr>
                      <w:szCs w:val="21"/>
                    </w:rPr>
                  </w:pPr>
                  <w:r>
                    <w:rPr>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szCs w:val="21"/>
                    </w:rPr>
                  </w:pPr>
                  <w:r>
                    <w:rPr>
                      <w:szCs w:val="21"/>
                    </w:rPr>
                    <w:t>PM</w:t>
                  </w:r>
                  <w:r>
                    <w:rPr>
                      <w:szCs w:val="21"/>
                      <w:vertAlign w:val="subscript"/>
                    </w:rPr>
                    <w:t>10</w:t>
                  </w:r>
                </w:p>
              </w:tc>
              <w:tc>
                <w:tcPr>
                  <w:tcW w:w="1598" w:type="pct"/>
                  <w:vAlign w:val="center"/>
                </w:tcPr>
                <w:p>
                  <w:pPr>
                    <w:jc w:val="center"/>
                    <w:rPr>
                      <w:szCs w:val="21"/>
                    </w:rPr>
                  </w:pPr>
                  <w:r>
                    <w:rPr>
                      <w:szCs w:val="21"/>
                    </w:rPr>
                    <w:t>年</w:t>
                  </w:r>
                  <w:r>
                    <w:rPr>
                      <w:rFonts w:hint="eastAsia"/>
                      <w:szCs w:val="21"/>
                    </w:rPr>
                    <w:t>均值</w:t>
                  </w:r>
                </w:p>
              </w:tc>
              <w:tc>
                <w:tcPr>
                  <w:tcW w:w="633" w:type="pct"/>
                  <w:vAlign w:val="center"/>
                </w:tcPr>
                <w:p>
                  <w:pPr>
                    <w:jc w:val="center"/>
                    <w:rPr>
                      <w:szCs w:val="21"/>
                    </w:rPr>
                  </w:pPr>
                  <w:r>
                    <w:rPr>
                      <w:szCs w:val="21"/>
                    </w:rPr>
                    <w:t>63</w:t>
                  </w:r>
                </w:p>
              </w:tc>
              <w:tc>
                <w:tcPr>
                  <w:tcW w:w="695" w:type="pct"/>
                  <w:vAlign w:val="center"/>
                </w:tcPr>
                <w:p>
                  <w:pPr>
                    <w:jc w:val="center"/>
                    <w:rPr>
                      <w:szCs w:val="21"/>
                    </w:rPr>
                  </w:pPr>
                  <w:r>
                    <w:rPr>
                      <w:szCs w:val="21"/>
                    </w:rPr>
                    <w:t>70</w:t>
                  </w:r>
                </w:p>
              </w:tc>
              <w:tc>
                <w:tcPr>
                  <w:tcW w:w="711" w:type="pct"/>
                  <w:vAlign w:val="center"/>
                </w:tcPr>
                <w:p>
                  <w:pPr>
                    <w:widowControl/>
                    <w:jc w:val="center"/>
                    <w:textAlignment w:val="center"/>
                    <w:rPr>
                      <w:szCs w:val="21"/>
                    </w:rPr>
                  </w:pPr>
                  <w:r>
                    <w:rPr>
                      <w:kern w:val="0"/>
                      <w:szCs w:val="21"/>
                      <w:lang w:bidi="ar"/>
                    </w:rPr>
                    <w:t>90</w:t>
                  </w:r>
                </w:p>
              </w:tc>
              <w:tc>
                <w:tcPr>
                  <w:tcW w:w="708" w:type="pct"/>
                  <w:vAlign w:val="center"/>
                </w:tcPr>
                <w:p>
                  <w:pPr>
                    <w:jc w:val="center"/>
                    <w:rPr>
                      <w:szCs w:val="21"/>
                    </w:rPr>
                  </w:pPr>
                  <w:r>
                    <w:rPr>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szCs w:val="21"/>
                    </w:rPr>
                  </w:pPr>
                  <w:r>
                    <w:rPr>
                      <w:szCs w:val="21"/>
                    </w:rPr>
                    <w:t>PM</w:t>
                  </w:r>
                  <w:r>
                    <w:rPr>
                      <w:szCs w:val="21"/>
                      <w:vertAlign w:val="subscript"/>
                    </w:rPr>
                    <w:t>2.5</w:t>
                  </w:r>
                </w:p>
              </w:tc>
              <w:tc>
                <w:tcPr>
                  <w:tcW w:w="1598" w:type="pct"/>
                  <w:vAlign w:val="center"/>
                </w:tcPr>
                <w:p>
                  <w:pPr>
                    <w:jc w:val="center"/>
                    <w:rPr>
                      <w:szCs w:val="21"/>
                    </w:rPr>
                  </w:pPr>
                  <w:r>
                    <w:rPr>
                      <w:szCs w:val="21"/>
                    </w:rPr>
                    <w:t>年</w:t>
                  </w:r>
                  <w:r>
                    <w:rPr>
                      <w:rFonts w:hint="eastAsia"/>
                      <w:szCs w:val="21"/>
                    </w:rPr>
                    <w:t>均值</w:t>
                  </w:r>
                </w:p>
              </w:tc>
              <w:tc>
                <w:tcPr>
                  <w:tcW w:w="633" w:type="pct"/>
                  <w:vAlign w:val="center"/>
                </w:tcPr>
                <w:p>
                  <w:pPr>
                    <w:jc w:val="center"/>
                    <w:rPr>
                      <w:szCs w:val="21"/>
                    </w:rPr>
                  </w:pPr>
                  <w:r>
                    <w:rPr>
                      <w:szCs w:val="21"/>
                    </w:rPr>
                    <w:t>32</w:t>
                  </w:r>
                </w:p>
              </w:tc>
              <w:tc>
                <w:tcPr>
                  <w:tcW w:w="695" w:type="pct"/>
                  <w:vAlign w:val="center"/>
                </w:tcPr>
                <w:p>
                  <w:pPr>
                    <w:jc w:val="center"/>
                    <w:rPr>
                      <w:szCs w:val="21"/>
                    </w:rPr>
                  </w:pPr>
                  <w:r>
                    <w:rPr>
                      <w:szCs w:val="21"/>
                    </w:rPr>
                    <w:t>35</w:t>
                  </w:r>
                </w:p>
              </w:tc>
              <w:tc>
                <w:tcPr>
                  <w:tcW w:w="711" w:type="pct"/>
                  <w:vAlign w:val="center"/>
                </w:tcPr>
                <w:p>
                  <w:pPr>
                    <w:widowControl/>
                    <w:jc w:val="center"/>
                    <w:textAlignment w:val="center"/>
                    <w:rPr>
                      <w:szCs w:val="21"/>
                    </w:rPr>
                  </w:pPr>
                  <w:r>
                    <w:rPr>
                      <w:kern w:val="0"/>
                      <w:szCs w:val="21"/>
                      <w:lang w:bidi="ar"/>
                    </w:rPr>
                    <w:t>9</w:t>
                  </w:r>
                  <w:r>
                    <w:rPr>
                      <w:rFonts w:hint="eastAsia"/>
                      <w:kern w:val="0"/>
                      <w:szCs w:val="21"/>
                      <w:lang w:bidi="ar"/>
                    </w:rPr>
                    <w:t>1.4</w:t>
                  </w:r>
                </w:p>
              </w:tc>
              <w:tc>
                <w:tcPr>
                  <w:tcW w:w="708" w:type="pct"/>
                  <w:vAlign w:val="center"/>
                </w:tcPr>
                <w:p>
                  <w:pPr>
                    <w:jc w:val="center"/>
                    <w:rPr>
                      <w:szCs w:val="21"/>
                    </w:rPr>
                  </w:pPr>
                  <w:r>
                    <w:rPr>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szCs w:val="21"/>
                    </w:rPr>
                  </w:pPr>
                  <w:r>
                    <w:rPr>
                      <w:szCs w:val="21"/>
                    </w:rPr>
                    <w:t>CO</w:t>
                  </w:r>
                </w:p>
              </w:tc>
              <w:tc>
                <w:tcPr>
                  <w:tcW w:w="1598" w:type="pct"/>
                </w:tcPr>
                <w:p>
                  <w:pPr>
                    <w:spacing w:before="64" w:line="213" w:lineRule="auto"/>
                    <w:ind w:left="651" w:right="231" w:hanging="419"/>
                    <w:rPr>
                      <w:szCs w:val="21"/>
                    </w:rPr>
                  </w:pPr>
                  <w:r>
                    <w:rPr>
                      <w:szCs w:val="21"/>
                    </w:rPr>
                    <w:t>日均值第95百分位数</w:t>
                  </w:r>
                </w:p>
              </w:tc>
              <w:tc>
                <w:tcPr>
                  <w:tcW w:w="633" w:type="pct"/>
                  <w:vAlign w:val="center"/>
                </w:tcPr>
                <w:p>
                  <w:pPr>
                    <w:jc w:val="center"/>
                    <w:rPr>
                      <w:szCs w:val="21"/>
                    </w:rPr>
                  </w:pPr>
                  <w:r>
                    <w:rPr>
                      <w:szCs w:val="21"/>
                    </w:rPr>
                    <w:t>1.0mg/m</w:t>
                  </w:r>
                  <w:r>
                    <w:rPr>
                      <w:szCs w:val="21"/>
                      <w:vertAlign w:val="superscript"/>
                    </w:rPr>
                    <w:t>3</w:t>
                  </w:r>
                </w:p>
              </w:tc>
              <w:tc>
                <w:tcPr>
                  <w:tcW w:w="695" w:type="pct"/>
                  <w:vAlign w:val="center"/>
                </w:tcPr>
                <w:p>
                  <w:pPr>
                    <w:jc w:val="center"/>
                    <w:rPr>
                      <w:szCs w:val="21"/>
                    </w:rPr>
                  </w:pPr>
                  <w:r>
                    <w:rPr>
                      <w:szCs w:val="21"/>
                    </w:rPr>
                    <w:t>4.0mg/m</w:t>
                  </w:r>
                  <w:r>
                    <w:rPr>
                      <w:szCs w:val="21"/>
                      <w:vertAlign w:val="superscript"/>
                    </w:rPr>
                    <w:t>3</w:t>
                  </w:r>
                </w:p>
              </w:tc>
              <w:tc>
                <w:tcPr>
                  <w:tcW w:w="711" w:type="pct"/>
                  <w:vAlign w:val="center"/>
                </w:tcPr>
                <w:p>
                  <w:pPr>
                    <w:widowControl/>
                    <w:jc w:val="center"/>
                    <w:textAlignment w:val="center"/>
                    <w:rPr>
                      <w:szCs w:val="21"/>
                    </w:rPr>
                  </w:pPr>
                  <w:r>
                    <w:rPr>
                      <w:kern w:val="0"/>
                      <w:szCs w:val="21"/>
                      <w:lang w:bidi="ar"/>
                    </w:rPr>
                    <w:t>25</w:t>
                  </w:r>
                </w:p>
              </w:tc>
              <w:tc>
                <w:tcPr>
                  <w:tcW w:w="708" w:type="pct"/>
                  <w:vAlign w:val="center"/>
                </w:tcPr>
                <w:p>
                  <w:pPr>
                    <w:jc w:val="center"/>
                    <w:rPr>
                      <w:szCs w:val="21"/>
                    </w:rPr>
                  </w:pPr>
                  <w:r>
                    <w:rPr>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szCs w:val="21"/>
                    </w:rPr>
                  </w:pPr>
                  <w:r>
                    <w:rPr>
                      <w:szCs w:val="21"/>
                    </w:rPr>
                    <w:t>O</w:t>
                  </w:r>
                  <w:r>
                    <w:rPr>
                      <w:szCs w:val="21"/>
                      <w:vertAlign w:val="subscript"/>
                    </w:rPr>
                    <w:t>3</w:t>
                  </w:r>
                </w:p>
              </w:tc>
              <w:tc>
                <w:tcPr>
                  <w:tcW w:w="1598" w:type="pct"/>
                </w:tcPr>
                <w:p>
                  <w:pPr>
                    <w:spacing w:before="65" w:line="208" w:lineRule="auto"/>
                    <w:ind w:left="232" w:right="186" w:hanging="50"/>
                    <w:jc w:val="center"/>
                    <w:rPr>
                      <w:szCs w:val="21"/>
                    </w:rPr>
                  </w:pPr>
                  <w:r>
                    <w:rPr>
                      <w:szCs w:val="21"/>
                    </w:rPr>
                    <w:t>日最大8小时平均值第90百分位数</w:t>
                  </w:r>
                </w:p>
              </w:tc>
              <w:tc>
                <w:tcPr>
                  <w:tcW w:w="633" w:type="pct"/>
                  <w:vAlign w:val="center"/>
                </w:tcPr>
                <w:p>
                  <w:pPr>
                    <w:jc w:val="center"/>
                    <w:rPr>
                      <w:szCs w:val="21"/>
                    </w:rPr>
                  </w:pPr>
                  <w:r>
                    <w:rPr>
                      <w:szCs w:val="21"/>
                    </w:rPr>
                    <w:t>1</w:t>
                  </w:r>
                  <w:r>
                    <w:rPr>
                      <w:rFonts w:hint="eastAsia"/>
                      <w:szCs w:val="21"/>
                    </w:rPr>
                    <w:t>52</w:t>
                  </w:r>
                </w:p>
              </w:tc>
              <w:tc>
                <w:tcPr>
                  <w:tcW w:w="695" w:type="pct"/>
                  <w:vAlign w:val="center"/>
                </w:tcPr>
                <w:p>
                  <w:pPr>
                    <w:jc w:val="center"/>
                    <w:rPr>
                      <w:szCs w:val="21"/>
                    </w:rPr>
                  </w:pPr>
                  <w:r>
                    <w:rPr>
                      <w:szCs w:val="21"/>
                    </w:rPr>
                    <w:t>160</w:t>
                  </w:r>
                </w:p>
              </w:tc>
              <w:tc>
                <w:tcPr>
                  <w:tcW w:w="711" w:type="pct"/>
                  <w:vAlign w:val="center"/>
                </w:tcPr>
                <w:p>
                  <w:pPr>
                    <w:widowControl/>
                    <w:jc w:val="center"/>
                    <w:textAlignment w:val="center"/>
                    <w:rPr>
                      <w:szCs w:val="21"/>
                    </w:rPr>
                  </w:pPr>
                  <w:r>
                    <w:rPr>
                      <w:rFonts w:hint="eastAsia"/>
                      <w:kern w:val="0"/>
                      <w:szCs w:val="21"/>
                      <w:lang w:bidi="ar"/>
                    </w:rPr>
                    <w:t>95</w:t>
                  </w:r>
                  <w:r>
                    <w:rPr>
                      <w:kern w:val="0"/>
                      <w:szCs w:val="21"/>
                      <w:lang w:bidi="ar"/>
                    </w:rPr>
                    <w:t xml:space="preserve"> </w:t>
                  </w:r>
                </w:p>
              </w:tc>
              <w:tc>
                <w:tcPr>
                  <w:tcW w:w="708" w:type="pct"/>
                  <w:vAlign w:val="center"/>
                </w:tcPr>
                <w:p>
                  <w:pPr>
                    <w:jc w:val="center"/>
                    <w:rPr>
                      <w:szCs w:val="21"/>
                    </w:rPr>
                  </w:pPr>
                  <w:r>
                    <w:rPr>
                      <w:szCs w:val="21"/>
                    </w:rPr>
                    <w:t>达标</w:t>
                  </w:r>
                </w:p>
              </w:tc>
            </w:tr>
          </w:tbl>
          <w:p>
            <w:pPr>
              <w:spacing w:line="360" w:lineRule="auto"/>
              <w:ind w:firstLine="480" w:firstLineChars="200"/>
              <w:rPr>
                <w:sz w:val="24"/>
              </w:rPr>
            </w:pPr>
            <w:r>
              <w:rPr>
                <w:sz w:val="24"/>
              </w:rPr>
              <w:t>根据以上数据，202</w:t>
            </w:r>
            <w:r>
              <w:rPr>
                <w:rFonts w:hint="eastAsia"/>
                <w:sz w:val="24"/>
              </w:rPr>
              <w:t>2</w:t>
            </w:r>
            <w:r>
              <w:rPr>
                <w:sz w:val="24"/>
              </w:rPr>
              <w:t>年合肥市大气环境SO</w:t>
            </w:r>
            <w:r>
              <w:rPr>
                <w:sz w:val="24"/>
                <w:vertAlign w:val="subscript"/>
              </w:rPr>
              <w:t>2</w:t>
            </w:r>
            <w:r>
              <w:rPr>
                <w:rFonts w:hint="eastAsia"/>
                <w:sz w:val="24"/>
              </w:rPr>
              <w:t>和</w:t>
            </w:r>
            <w:r>
              <w:rPr>
                <w:sz w:val="24"/>
              </w:rPr>
              <w:t>NO</w:t>
            </w:r>
            <w:r>
              <w:rPr>
                <w:sz w:val="24"/>
                <w:vertAlign w:val="subscript"/>
              </w:rPr>
              <w:t>2</w:t>
            </w:r>
            <w:r>
              <w:rPr>
                <w:rFonts w:hint="eastAsia"/>
                <w:sz w:val="24"/>
              </w:rPr>
              <w:t>的</w:t>
            </w:r>
            <w:r>
              <w:rPr>
                <w:sz w:val="24"/>
              </w:rPr>
              <w:t>年平均浓度、PM</w:t>
            </w:r>
            <w:r>
              <w:rPr>
                <w:sz w:val="24"/>
                <w:vertAlign w:val="subscript"/>
              </w:rPr>
              <w:t>10</w:t>
            </w:r>
            <w:r>
              <w:rPr>
                <w:rFonts w:hint="eastAsia"/>
                <w:sz w:val="24"/>
              </w:rPr>
              <w:t>和</w:t>
            </w:r>
            <w:r>
              <w:rPr>
                <w:sz w:val="24"/>
              </w:rPr>
              <w:t>PM</w:t>
            </w:r>
            <w:r>
              <w:rPr>
                <w:sz w:val="24"/>
                <w:vertAlign w:val="subscript"/>
              </w:rPr>
              <w:t>2.5</w:t>
            </w:r>
            <w:r>
              <w:rPr>
                <w:rFonts w:hint="eastAsia"/>
                <w:sz w:val="24"/>
              </w:rPr>
              <w:t>的年均值以及</w:t>
            </w:r>
            <w:r>
              <w:rPr>
                <w:sz w:val="24"/>
              </w:rPr>
              <w:t>CO的日均值第95百分位数、O</w:t>
            </w:r>
            <w:r>
              <w:rPr>
                <w:sz w:val="24"/>
                <w:vertAlign w:val="subscript"/>
              </w:rPr>
              <w:t>3</w:t>
            </w:r>
            <w:r>
              <w:rPr>
                <w:sz w:val="24"/>
              </w:rPr>
              <w:t>的日最大8小时平均值第90百分位数均满足《环境空气质量标准》(GB3095-2012)中二级标准，本项目区属于环境空气质量达标区。</w:t>
            </w:r>
          </w:p>
          <w:p>
            <w:pPr>
              <w:autoSpaceDE w:val="0"/>
              <w:autoSpaceDN w:val="0"/>
              <w:adjustRightInd w:val="0"/>
              <w:spacing w:line="360" w:lineRule="auto"/>
              <w:ind w:firstLine="480" w:firstLineChars="200"/>
              <w:rPr>
                <w:sz w:val="24"/>
              </w:rPr>
            </w:pPr>
            <w:r>
              <w:rPr>
                <w:sz w:val="24"/>
              </w:rPr>
              <w:t>2、其他污染物质量现状</w:t>
            </w:r>
          </w:p>
          <w:p>
            <w:pPr>
              <w:autoSpaceDE w:val="0"/>
              <w:autoSpaceDN w:val="0"/>
              <w:adjustRightInd w:val="0"/>
              <w:spacing w:line="360" w:lineRule="auto"/>
              <w:ind w:firstLine="480" w:firstLineChars="200"/>
              <w:rPr>
                <w:sz w:val="24"/>
              </w:rPr>
            </w:pPr>
            <w:r>
              <w:rPr>
                <w:sz w:val="24"/>
              </w:rPr>
              <w:t>本项目区域环境空气非甲烷总烃质量现状引用《合肥高新技术产业开发区环境影响区域评估报告》中</w:t>
            </w:r>
            <w:r>
              <w:rPr>
                <w:rFonts w:hint="eastAsia"/>
                <w:sz w:val="24"/>
              </w:rPr>
              <w:t>复兴家园</w:t>
            </w:r>
            <w:r>
              <w:rPr>
                <w:sz w:val="24"/>
              </w:rPr>
              <w:t>监测数据，该点位位于本项目</w:t>
            </w:r>
            <w:r>
              <w:rPr>
                <w:rFonts w:hint="eastAsia"/>
                <w:sz w:val="24"/>
              </w:rPr>
              <w:t>NE</w:t>
            </w:r>
            <w:r>
              <w:rPr>
                <w:sz w:val="24"/>
              </w:rPr>
              <w:t>方位，直线距离为</w:t>
            </w:r>
            <w:r>
              <w:rPr>
                <w:rFonts w:hint="eastAsia"/>
                <w:sz w:val="24"/>
              </w:rPr>
              <w:t>1671</w:t>
            </w:r>
            <w:r>
              <w:rPr>
                <w:sz w:val="24"/>
              </w:rPr>
              <w:t>m，监测时间为2021年5月17日</w:t>
            </w:r>
            <w:r>
              <w:rPr>
                <w:rFonts w:hint="eastAsia"/>
                <w:sz w:val="24"/>
              </w:rPr>
              <w:t>～</w:t>
            </w:r>
            <w:r>
              <w:rPr>
                <w:sz w:val="24"/>
              </w:rPr>
              <w:t>5月23日，因此引用该项目监测数据具有可行性。具体监测点位及监测结果如下。</w:t>
            </w:r>
          </w:p>
          <w:p>
            <w:pPr>
              <w:widowControl/>
              <w:numPr>
                <w:ilvl w:val="0"/>
                <w:numId w:val="1"/>
              </w:numPr>
              <w:jc w:val="center"/>
              <w:rPr>
                <w:b/>
                <w:kern w:val="0"/>
                <w:szCs w:val="21"/>
              </w:rPr>
            </w:pPr>
            <w:r>
              <w:rPr>
                <w:b/>
                <w:kern w:val="0"/>
                <w:szCs w:val="21"/>
              </w:rPr>
              <w:t>非甲烷总烃质量现状监测结果    单位：mg/m</w:t>
            </w:r>
            <w:r>
              <w:rPr>
                <w:b/>
                <w:kern w:val="0"/>
                <w:szCs w:val="21"/>
                <w:vertAlign w:val="superscript"/>
              </w:rPr>
              <w:t>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0"/>
              <w:gridCol w:w="2009"/>
              <w:gridCol w:w="2478"/>
              <w:gridCol w:w="2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1830" w:type="dxa"/>
                  <w:vMerge w:val="restart"/>
                  <w:vAlign w:val="center"/>
                </w:tcPr>
                <w:p>
                  <w:pPr>
                    <w:jc w:val="center"/>
                    <w:rPr>
                      <w:b/>
                      <w:bCs/>
                      <w:szCs w:val="21"/>
                    </w:rPr>
                  </w:pPr>
                  <w:r>
                    <w:rPr>
                      <w:b/>
                      <w:bCs/>
                      <w:szCs w:val="21"/>
                    </w:rPr>
                    <w:t>检测</w:t>
                  </w:r>
                </w:p>
                <w:p>
                  <w:pPr>
                    <w:jc w:val="center"/>
                    <w:rPr>
                      <w:b/>
                      <w:bCs/>
                      <w:szCs w:val="21"/>
                    </w:rPr>
                  </w:pPr>
                  <w:r>
                    <w:rPr>
                      <w:b/>
                      <w:bCs/>
                      <w:szCs w:val="21"/>
                    </w:rPr>
                    <w:t>点位</w:t>
                  </w:r>
                </w:p>
              </w:tc>
              <w:tc>
                <w:tcPr>
                  <w:tcW w:w="2009" w:type="dxa"/>
                  <w:vMerge w:val="restart"/>
                  <w:vAlign w:val="center"/>
                </w:tcPr>
                <w:p>
                  <w:pPr>
                    <w:jc w:val="center"/>
                    <w:rPr>
                      <w:b/>
                      <w:bCs/>
                      <w:szCs w:val="21"/>
                    </w:rPr>
                  </w:pPr>
                  <w:r>
                    <w:rPr>
                      <w:b/>
                      <w:bCs/>
                      <w:szCs w:val="21"/>
                    </w:rPr>
                    <w:t>采样</w:t>
                  </w:r>
                </w:p>
                <w:p>
                  <w:pPr>
                    <w:jc w:val="center"/>
                    <w:rPr>
                      <w:b/>
                      <w:bCs/>
                      <w:szCs w:val="21"/>
                    </w:rPr>
                  </w:pPr>
                  <w:r>
                    <w:rPr>
                      <w:b/>
                      <w:bCs/>
                      <w:szCs w:val="21"/>
                    </w:rPr>
                    <w:t>时间</w:t>
                  </w:r>
                </w:p>
              </w:tc>
              <w:tc>
                <w:tcPr>
                  <w:tcW w:w="2478" w:type="dxa"/>
                  <w:vMerge w:val="restart"/>
                  <w:vAlign w:val="center"/>
                </w:tcPr>
                <w:p>
                  <w:pPr>
                    <w:jc w:val="center"/>
                    <w:rPr>
                      <w:b/>
                      <w:bCs/>
                      <w:szCs w:val="21"/>
                    </w:rPr>
                  </w:pPr>
                  <w:r>
                    <w:rPr>
                      <w:b/>
                      <w:bCs/>
                      <w:szCs w:val="21"/>
                    </w:rPr>
                    <w:t>监测频次</w:t>
                  </w:r>
                </w:p>
              </w:tc>
              <w:tc>
                <w:tcPr>
                  <w:tcW w:w="2316" w:type="dxa"/>
                  <w:vMerge w:val="restart"/>
                  <w:tcBorders>
                    <w:left w:val="single" w:color="000000" w:sz="4" w:space="0"/>
                  </w:tcBorders>
                  <w:vAlign w:val="center"/>
                </w:tcPr>
                <w:p>
                  <w:pPr>
                    <w:jc w:val="center"/>
                    <w:rPr>
                      <w:b/>
                      <w:bCs/>
                      <w:szCs w:val="21"/>
                    </w:rPr>
                  </w:pPr>
                  <w:r>
                    <w:rPr>
                      <w:b/>
                      <w:bCs/>
                      <w:szCs w:val="21"/>
                    </w:rPr>
                    <w:t>非甲烷总烃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1830" w:type="dxa"/>
                  <w:vMerge w:val="continue"/>
                  <w:vAlign w:val="center"/>
                </w:tcPr>
                <w:p>
                  <w:pPr>
                    <w:jc w:val="center"/>
                    <w:rPr>
                      <w:b/>
                      <w:bCs/>
                      <w:szCs w:val="21"/>
                    </w:rPr>
                  </w:pPr>
                </w:p>
              </w:tc>
              <w:tc>
                <w:tcPr>
                  <w:tcW w:w="2009" w:type="dxa"/>
                  <w:vMerge w:val="continue"/>
                  <w:vAlign w:val="center"/>
                </w:tcPr>
                <w:p>
                  <w:pPr>
                    <w:jc w:val="center"/>
                    <w:rPr>
                      <w:b/>
                      <w:bCs/>
                      <w:szCs w:val="21"/>
                    </w:rPr>
                  </w:pPr>
                </w:p>
              </w:tc>
              <w:tc>
                <w:tcPr>
                  <w:tcW w:w="2478" w:type="dxa"/>
                  <w:vMerge w:val="continue"/>
                  <w:vAlign w:val="center"/>
                </w:tcPr>
                <w:p>
                  <w:pPr>
                    <w:jc w:val="center"/>
                    <w:rPr>
                      <w:b/>
                      <w:bCs/>
                      <w:szCs w:val="21"/>
                    </w:rPr>
                  </w:pPr>
                </w:p>
              </w:tc>
              <w:tc>
                <w:tcPr>
                  <w:tcW w:w="2316" w:type="dxa"/>
                  <w:vMerge w:val="continue"/>
                  <w:tcBorders>
                    <w:left w:val="single" w:color="000000" w:sz="4" w:space="0"/>
                  </w:tcBorders>
                  <w:vAlign w:val="center"/>
                </w:tcPr>
                <w:p>
                  <w:pPr>
                    <w:jc w:val="center"/>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restart"/>
                  <w:vAlign w:val="center"/>
                </w:tcPr>
                <w:p>
                  <w:pPr>
                    <w:widowControl/>
                    <w:jc w:val="center"/>
                    <w:textAlignment w:val="center"/>
                    <w:rPr>
                      <w:kern w:val="0"/>
                      <w:szCs w:val="21"/>
                      <w:lang w:bidi="ar"/>
                    </w:rPr>
                  </w:pPr>
                  <w:bookmarkStart w:id="4" w:name="_Hlk33691828"/>
                  <w:r>
                    <w:rPr>
                      <w:rFonts w:hint="eastAsia"/>
                      <w:kern w:val="0"/>
                      <w:szCs w:val="21"/>
                      <w:lang w:bidi="ar"/>
                    </w:rPr>
                    <w:t>复兴家园</w:t>
                  </w:r>
                </w:p>
              </w:tc>
              <w:tc>
                <w:tcPr>
                  <w:tcW w:w="2009" w:type="dxa"/>
                  <w:vMerge w:val="restart"/>
                  <w:vAlign w:val="center"/>
                </w:tcPr>
                <w:p>
                  <w:pPr>
                    <w:widowControl/>
                    <w:jc w:val="center"/>
                    <w:textAlignment w:val="center"/>
                    <w:rPr>
                      <w:kern w:val="0"/>
                      <w:szCs w:val="21"/>
                      <w:lang w:bidi="ar"/>
                    </w:rPr>
                  </w:pPr>
                  <w:r>
                    <w:rPr>
                      <w:kern w:val="0"/>
                      <w:szCs w:val="21"/>
                      <w:lang w:bidi="ar"/>
                    </w:rPr>
                    <w:t>2021.05.17</w:t>
                  </w:r>
                </w:p>
              </w:tc>
              <w:tc>
                <w:tcPr>
                  <w:tcW w:w="2478" w:type="dxa"/>
                  <w:vAlign w:val="center"/>
                </w:tcPr>
                <w:p>
                  <w:pPr>
                    <w:widowControl/>
                    <w:jc w:val="center"/>
                    <w:textAlignment w:val="center"/>
                    <w:rPr>
                      <w:kern w:val="0"/>
                      <w:szCs w:val="21"/>
                      <w:lang w:bidi="ar"/>
                    </w:rPr>
                  </w:pPr>
                  <w:r>
                    <w:rPr>
                      <w:kern w:val="0"/>
                      <w:szCs w:val="21"/>
                      <w:lang w:bidi="ar"/>
                    </w:rPr>
                    <w:t>第一次</w:t>
                  </w:r>
                </w:p>
              </w:tc>
              <w:tc>
                <w:tcPr>
                  <w:tcW w:w="2316" w:type="dxa"/>
                  <w:vAlign w:val="center"/>
                </w:tcPr>
                <w:p>
                  <w:pPr>
                    <w:widowControl/>
                    <w:jc w:val="center"/>
                    <w:textAlignment w:val="center"/>
                    <w:rPr>
                      <w:kern w:val="0"/>
                      <w:szCs w:val="21"/>
                      <w:lang w:bidi="ar"/>
                    </w:rPr>
                  </w:pPr>
                  <w:r>
                    <w:rPr>
                      <w:rFonts w:hint="eastAsia"/>
                      <w:kern w:val="0"/>
                      <w:szCs w:val="21"/>
                      <w:lang w:bidi="ar"/>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第二次</w:t>
                  </w:r>
                </w:p>
              </w:tc>
              <w:tc>
                <w:tcPr>
                  <w:tcW w:w="2316" w:type="dxa"/>
                  <w:vAlign w:val="center"/>
                </w:tcPr>
                <w:p>
                  <w:pPr>
                    <w:widowControl/>
                    <w:jc w:val="center"/>
                    <w:textAlignment w:val="center"/>
                    <w:rPr>
                      <w:kern w:val="0"/>
                      <w:szCs w:val="21"/>
                      <w:lang w:bidi="ar"/>
                    </w:rPr>
                  </w:pPr>
                  <w:r>
                    <w:rPr>
                      <w:rFonts w:hint="eastAsia"/>
                      <w:kern w:val="0"/>
                      <w:szCs w:val="21"/>
                      <w:lang w:bidi="ar"/>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第三次</w:t>
                  </w:r>
                </w:p>
              </w:tc>
              <w:tc>
                <w:tcPr>
                  <w:tcW w:w="2316" w:type="dxa"/>
                  <w:vAlign w:val="center"/>
                </w:tcPr>
                <w:p>
                  <w:pPr>
                    <w:widowControl/>
                    <w:jc w:val="center"/>
                    <w:textAlignment w:val="center"/>
                    <w:rPr>
                      <w:kern w:val="0"/>
                      <w:szCs w:val="21"/>
                      <w:lang w:bidi="ar"/>
                    </w:rPr>
                  </w:pPr>
                  <w:r>
                    <w:rPr>
                      <w:rFonts w:hint="eastAsia"/>
                      <w:kern w:val="0"/>
                      <w:szCs w:val="21"/>
                      <w:lang w:bidi="ar"/>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第四次</w:t>
                  </w:r>
                </w:p>
              </w:tc>
              <w:tc>
                <w:tcPr>
                  <w:tcW w:w="2316" w:type="dxa"/>
                  <w:vAlign w:val="center"/>
                </w:tcPr>
                <w:p>
                  <w:pPr>
                    <w:widowControl/>
                    <w:jc w:val="center"/>
                    <w:textAlignment w:val="center"/>
                    <w:rPr>
                      <w:kern w:val="0"/>
                      <w:szCs w:val="21"/>
                      <w:lang w:bidi="ar"/>
                    </w:rPr>
                  </w:pPr>
                  <w:r>
                    <w:rPr>
                      <w:rFonts w:hint="eastAsia"/>
                      <w:kern w:val="0"/>
                      <w:szCs w:val="21"/>
                      <w:lang w:bidi="ar"/>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restart"/>
                  <w:vAlign w:val="center"/>
                </w:tcPr>
                <w:p>
                  <w:pPr>
                    <w:widowControl/>
                    <w:jc w:val="center"/>
                    <w:textAlignment w:val="center"/>
                    <w:rPr>
                      <w:kern w:val="0"/>
                      <w:szCs w:val="21"/>
                      <w:lang w:bidi="ar"/>
                    </w:rPr>
                  </w:pPr>
                  <w:r>
                    <w:rPr>
                      <w:kern w:val="0"/>
                      <w:szCs w:val="21"/>
                      <w:lang w:bidi="ar"/>
                    </w:rPr>
                    <w:t>2021.05.18</w:t>
                  </w:r>
                </w:p>
              </w:tc>
              <w:tc>
                <w:tcPr>
                  <w:tcW w:w="2478" w:type="dxa"/>
                  <w:vAlign w:val="center"/>
                </w:tcPr>
                <w:p>
                  <w:pPr>
                    <w:widowControl/>
                    <w:jc w:val="center"/>
                    <w:textAlignment w:val="center"/>
                    <w:rPr>
                      <w:kern w:val="0"/>
                      <w:szCs w:val="21"/>
                      <w:lang w:bidi="ar"/>
                    </w:rPr>
                  </w:pPr>
                  <w:r>
                    <w:rPr>
                      <w:kern w:val="0"/>
                      <w:szCs w:val="21"/>
                      <w:lang w:bidi="ar"/>
                    </w:rPr>
                    <w:t>第一次</w:t>
                  </w:r>
                </w:p>
              </w:tc>
              <w:tc>
                <w:tcPr>
                  <w:tcW w:w="2316" w:type="dxa"/>
                  <w:vAlign w:val="center"/>
                </w:tcPr>
                <w:p>
                  <w:pPr>
                    <w:widowControl/>
                    <w:jc w:val="center"/>
                    <w:textAlignment w:val="center"/>
                    <w:rPr>
                      <w:kern w:val="0"/>
                      <w:szCs w:val="21"/>
                      <w:lang w:bidi="ar"/>
                    </w:rPr>
                  </w:pPr>
                  <w:r>
                    <w:rPr>
                      <w:rFonts w:hint="eastAsia"/>
                      <w:kern w:val="0"/>
                      <w:szCs w:val="21"/>
                      <w:lang w:bidi="ar"/>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第二次</w:t>
                  </w:r>
                </w:p>
              </w:tc>
              <w:tc>
                <w:tcPr>
                  <w:tcW w:w="2316" w:type="dxa"/>
                  <w:vAlign w:val="center"/>
                </w:tcPr>
                <w:p>
                  <w:pPr>
                    <w:widowControl/>
                    <w:jc w:val="center"/>
                    <w:textAlignment w:val="center"/>
                    <w:rPr>
                      <w:kern w:val="0"/>
                      <w:szCs w:val="21"/>
                      <w:lang w:bidi="ar"/>
                    </w:rPr>
                  </w:pPr>
                  <w:r>
                    <w:rPr>
                      <w:rFonts w:hint="eastAsia"/>
                      <w:kern w:val="0"/>
                      <w:szCs w:val="21"/>
                      <w:lang w:bidi="ar"/>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第三次</w:t>
                  </w:r>
                </w:p>
              </w:tc>
              <w:tc>
                <w:tcPr>
                  <w:tcW w:w="2316" w:type="dxa"/>
                  <w:vAlign w:val="center"/>
                </w:tcPr>
                <w:p>
                  <w:pPr>
                    <w:widowControl/>
                    <w:jc w:val="center"/>
                    <w:textAlignment w:val="center"/>
                    <w:rPr>
                      <w:kern w:val="0"/>
                      <w:szCs w:val="21"/>
                      <w:lang w:bidi="ar"/>
                    </w:rPr>
                  </w:pPr>
                  <w:r>
                    <w:rPr>
                      <w:rFonts w:hint="eastAsia"/>
                      <w:kern w:val="0"/>
                      <w:szCs w:val="21"/>
                      <w:lang w:bidi="ar"/>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第四次</w:t>
                  </w:r>
                </w:p>
              </w:tc>
              <w:tc>
                <w:tcPr>
                  <w:tcW w:w="2316" w:type="dxa"/>
                  <w:vAlign w:val="center"/>
                </w:tcPr>
                <w:p>
                  <w:pPr>
                    <w:widowControl/>
                    <w:jc w:val="center"/>
                    <w:textAlignment w:val="center"/>
                    <w:rPr>
                      <w:kern w:val="0"/>
                      <w:szCs w:val="21"/>
                      <w:lang w:bidi="ar"/>
                    </w:rPr>
                  </w:pPr>
                  <w:r>
                    <w:rPr>
                      <w:rFonts w:hint="eastAsia"/>
                      <w:kern w:val="0"/>
                      <w:szCs w:val="21"/>
                      <w:lang w:bidi="ar"/>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restart"/>
                  <w:vAlign w:val="center"/>
                </w:tcPr>
                <w:p>
                  <w:pPr>
                    <w:widowControl/>
                    <w:jc w:val="center"/>
                    <w:textAlignment w:val="center"/>
                    <w:rPr>
                      <w:kern w:val="0"/>
                      <w:szCs w:val="21"/>
                      <w:lang w:bidi="ar"/>
                    </w:rPr>
                  </w:pPr>
                  <w:r>
                    <w:rPr>
                      <w:kern w:val="0"/>
                      <w:szCs w:val="21"/>
                      <w:lang w:bidi="ar"/>
                    </w:rPr>
                    <w:t>2021.05.19</w:t>
                  </w:r>
                </w:p>
              </w:tc>
              <w:tc>
                <w:tcPr>
                  <w:tcW w:w="2478" w:type="dxa"/>
                  <w:vAlign w:val="center"/>
                </w:tcPr>
                <w:p>
                  <w:pPr>
                    <w:widowControl/>
                    <w:jc w:val="center"/>
                    <w:textAlignment w:val="center"/>
                    <w:rPr>
                      <w:kern w:val="0"/>
                      <w:szCs w:val="21"/>
                      <w:lang w:bidi="ar"/>
                    </w:rPr>
                  </w:pPr>
                  <w:r>
                    <w:rPr>
                      <w:kern w:val="0"/>
                      <w:szCs w:val="21"/>
                      <w:lang w:bidi="ar"/>
                    </w:rPr>
                    <w:t>第一次</w:t>
                  </w:r>
                </w:p>
              </w:tc>
              <w:tc>
                <w:tcPr>
                  <w:tcW w:w="2316" w:type="dxa"/>
                  <w:vAlign w:val="center"/>
                </w:tcPr>
                <w:p>
                  <w:pPr>
                    <w:widowControl/>
                    <w:jc w:val="center"/>
                    <w:textAlignment w:val="center"/>
                    <w:rPr>
                      <w:kern w:val="0"/>
                      <w:szCs w:val="21"/>
                      <w:lang w:bidi="ar"/>
                    </w:rPr>
                  </w:pPr>
                  <w:r>
                    <w:rPr>
                      <w:rFonts w:hint="eastAsia"/>
                      <w:kern w:val="0"/>
                      <w:szCs w:val="21"/>
                      <w:lang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第二次</w:t>
                  </w:r>
                </w:p>
              </w:tc>
              <w:tc>
                <w:tcPr>
                  <w:tcW w:w="2316" w:type="dxa"/>
                  <w:vAlign w:val="center"/>
                </w:tcPr>
                <w:p>
                  <w:pPr>
                    <w:widowControl/>
                    <w:jc w:val="center"/>
                    <w:textAlignment w:val="center"/>
                    <w:rPr>
                      <w:kern w:val="0"/>
                      <w:szCs w:val="21"/>
                      <w:lang w:bidi="ar"/>
                    </w:rPr>
                  </w:pPr>
                  <w:r>
                    <w:rPr>
                      <w:rFonts w:hint="eastAsia"/>
                      <w:kern w:val="0"/>
                      <w:szCs w:val="21"/>
                      <w:lang w:bidi="ar"/>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第三次</w:t>
                  </w:r>
                </w:p>
              </w:tc>
              <w:tc>
                <w:tcPr>
                  <w:tcW w:w="2316" w:type="dxa"/>
                  <w:vAlign w:val="center"/>
                </w:tcPr>
                <w:p>
                  <w:pPr>
                    <w:widowControl/>
                    <w:jc w:val="center"/>
                    <w:textAlignment w:val="center"/>
                    <w:rPr>
                      <w:kern w:val="0"/>
                      <w:szCs w:val="21"/>
                      <w:lang w:bidi="ar"/>
                    </w:rPr>
                  </w:pPr>
                  <w:r>
                    <w:rPr>
                      <w:rFonts w:hint="eastAsia"/>
                      <w:kern w:val="0"/>
                      <w:szCs w:val="21"/>
                      <w:lang w:bidi="ar"/>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第四次</w:t>
                  </w:r>
                </w:p>
              </w:tc>
              <w:tc>
                <w:tcPr>
                  <w:tcW w:w="2316" w:type="dxa"/>
                  <w:vAlign w:val="center"/>
                </w:tcPr>
                <w:p>
                  <w:pPr>
                    <w:widowControl/>
                    <w:jc w:val="center"/>
                    <w:textAlignment w:val="center"/>
                    <w:rPr>
                      <w:kern w:val="0"/>
                      <w:szCs w:val="21"/>
                      <w:lang w:bidi="ar"/>
                    </w:rPr>
                  </w:pPr>
                  <w:r>
                    <w:rPr>
                      <w:rFonts w:hint="eastAsia"/>
                      <w:kern w:val="0"/>
                      <w:szCs w:val="21"/>
                      <w:lang w:bidi="ar"/>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restart"/>
                  <w:vAlign w:val="center"/>
                </w:tcPr>
                <w:p>
                  <w:pPr>
                    <w:widowControl/>
                    <w:jc w:val="center"/>
                    <w:textAlignment w:val="center"/>
                    <w:rPr>
                      <w:kern w:val="0"/>
                      <w:szCs w:val="21"/>
                      <w:lang w:bidi="ar"/>
                    </w:rPr>
                  </w:pPr>
                  <w:r>
                    <w:rPr>
                      <w:kern w:val="0"/>
                      <w:szCs w:val="21"/>
                      <w:lang w:bidi="ar"/>
                    </w:rPr>
                    <w:t>2021.05.20</w:t>
                  </w:r>
                </w:p>
              </w:tc>
              <w:tc>
                <w:tcPr>
                  <w:tcW w:w="2478" w:type="dxa"/>
                  <w:vAlign w:val="center"/>
                </w:tcPr>
                <w:p>
                  <w:pPr>
                    <w:widowControl/>
                    <w:jc w:val="center"/>
                    <w:textAlignment w:val="center"/>
                    <w:rPr>
                      <w:kern w:val="0"/>
                      <w:szCs w:val="21"/>
                      <w:lang w:bidi="ar"/>
                    </w:rPr>
                  </w:pPr>
                  <w:r>
                    <w:rPr>
                      <w:kern w:val="0"/>
                      <w:szCs w:val="21"/>
                      <w:lang w:bidi="ar"/>
                    </w:rPr>
                    <w:t>第一次</w:t>
                  </w:r>
                </w:p>
              </w:tc>
              <w:tc>
                <w:tcPr>
                  <w:tcW w:w="2316" w:type="dxa"/>
                  <w:vAlign w:val="center"/>
                </w:tcPr>
                <w:p>
                  <w:pPr>
                    <w:widowControl/>
                    <w:jc w:val="center"/>
                    <w:textAlignment w:val="center"/>
                    <w:rPr>
                      <w:kern w:val="0"/>
                      <w:szCs w:val="21"/>
                      <w:lang w:bidi="ar"/>
                    </w:rPr>
                  </w:pPr>
                  <w:r>
                    <w:rPr>
                      <w:rFonts w:hint="eastAsia"/>
                      <w:kern w:val="0"/>
                      <w:szCs w:val="21"/>
                      <w:lang w:bidi="ar"/>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第二次</w:t>
                  </w:r>
                </w:p>
              </w:tc>
              <w:tc>
                <w:tcPr>
                  <w:tcW w:w="2316" w:type="dxa"/>
                  <w:vAlign w:val="center"/>
                </w:tcPr>
                <w:p>
                  <w:pPr>
                    <w:widowControl/>
                    <w:jc w:val="center"/>
                    <w:textAlignment w:val="center"/>
                    <w:rPr>
                      <w:kern w:val="0"/>
                      <w:szCs w:val="21"/>
                      <w:lang w:bidi="ar"/>
                    </w:rPr>
                  </w:pPr>
                  <w:r>
                    <w:rPr>
                      <w:rFonts w:hint="eastAsia"/>
                      <w:kern w:val="0"/>
                      <w:szCs w:val="21"/>
                      <w:lang w:bidi="ar"/>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第三次</w:t>
                  </w:r>
                </w:p>
              </w:tc>
              <w:tc>
                <w:tcPr>
                  <w:tcW w:w="2316" w:type="dxa"/>
                  <w:vAlign w:val="center"/>
                </w:tcPr>
                <w:p>
                  <w:pPr>
                    <w:widowControl/>
                    <w:jc w:val="center"/>
                    <w:textAlignment w:val="center"/>
                    <w:rPr>
                      <w:kern w:val="0"/>
                      <w:szCs w:val="21"/>
                      <w:lang w:bidi="ar"/>
                    </w:rPr>
                  </w:pPr>
                  <w:r>
                    <w:rPr>
                      <w:rFonts w:hint="eastAsia"/>
                      <w:kern w:val="0"/>
                      <w:szCs w:val="21"/>
                      <w:lang w:bidi="ar"/>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第四次</w:t>
                  </w:r>
                </w:p>
              </w:tc>
              <w:tc>
                <w:tcPr>
                  <w:tcW w:w="2316" w:type="dxa"/>
                  <w:vAlign w:val="center"/>
                </w:tcPr>
                <w:p>
                  <w:pPr>
                    <w:widowControl/>
                    <w:jc w:val="center"/>
                    <w:textAlignment w:val="center"/>
                    <w:rPr>
                      <w:kern w:val="0"/>
                      <w:szCs w:val="21"/>
                      <w:lang w:bidi="ar"/>
                    </w:rPr>
                  </w:pPr>
                  <w:r>
                    <w:rPr>
                      <w:rFonts w:hint="eastAsia"/>
                      <w:kern w:val="0"/>
                      <w:szCs w:val="21"/>
                      <w:lang w:bidi="ar"/>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restart"/>
                  <w:vAlign w:val="center"/>
                </w:tcPr>
                <w:p>
                  <w:pPr>
                    <w:widowControl/>
                    <w:jc w:val="center"/>
                    <w:textAlignment w:val="center"/>
                    <w:rPr>
                      <w:kern w:val="0"/>
                      <w:szCs w:val="21"/>
                      <w:lang w:bidi="ar"/>
                    </w:rPr>
                  </w:pPr>
                  <w:r>
                    <w:rPr>
                      <w:kern w:val="0"/>
                      <w:szCs w:val="21"/>
                      <w:lang w:bidi="ar"/>
                    </w:rPr>
                    <w:t>2021.05.21</w:t>
                  </w:r>
                </w:p>
              </w:tc>
              <w:tc>
                <w:tcPr>
                  <w:tcW w:w="2478" w:type="dxa"/>
                  <w:vAlign w:val="center"/>
                </w:tcPr>
                <w:p>
                  <w:pPr>
                    <w:widowControl/>
                    <w:jc w:val="center"/>
                    <w:textAlignment w:val="center"/>
                    <w:rPr>
                      <w:kern w:val="0"/>
                      <w:szCs w:val="21"/>
                      <w:lang w:bidi="ar"/>
                    </w:rPr>
                  </w:pPr>
                  <w:r>
                    <w:rPr>
                      <w:kern w:val="0"/>
                      <w:szCs w:val="21"/>
                      <w:lang w:bidi="ar"/>
                    </w:rPr>
                    <w:t>第一次</w:t>
                  </w:r>
                </w:p>
              </w:tc>
              <w:tc>
                <w:tcPr>
                  <w:tcW w:w="2316" w:type="dxa"/>
                  <w:vAlign w:val="center"/>
                </w:tcPr>
                <w:p>
                  <w:pPr>
                    <w:widowControl/>
                    <w:jc w:val="center"/>
                    <w:textAlignment w:val="center"/>
                    <w:rPr>
                      <w:kern w:val="0"/>
                      <w:szCs w:val="21"/>
                      <w:lang w:bidi="ar"/>
                    </w:rPr>
                  </w:pPr>
                  <w:r>
                    <w:rPr>
                      <w:rFonts w:hint="eastAsia"/>
                      <w:kern w:val="0"/>
                      <w:szCs w:val="21"/>
                      <w:lang w:bidi="ar"/>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第二次</w:t>
                  </w:r>
                </w:p>
              </w:tc>
              <w:tc>
                <w:tcPr>
                  <w:tcW w:w="2316" w:type="dxa"/>
                  <w:vAlign w:val="center"/>
                </w:tcPr>
                <w:p>
                  <w:pPr>
                    <w:widowControl/>
                    <w:jc w:val="center"/>
                    <w:textAlignment w:val="center"/>
                    <w:rPr>
                      <w:kern w:val="0"/>
                      <w:szCs w:val="21"/>
                      <w:lang w:bidi="ar"/>
                    </w:rPr>
                  </w:pPr>
                  <w:r>
                    <w:rPr>
                      <w:rFonts w:hint="eastAsia"/>
                      <w:kern w:val="0"/>
                      <w:szCs w:val="21"/>
                      <w:lang w:bidi="ar"/>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第三次</w:t>
                  </w:r>
                </w:p>
              </w:tc>
              <w:tc>
                <w:tcPr>
                  <w:tcW w:w="2316" w:type="dxa"/>
                  <w:vAlign w:val="center"/>
                </w:tcPr>
                <w:p>
                  <w:pPr>
                    <w:widowControl/>
                    <w:jc w:val="center"/>
                    <w:textAlignment w:val="center"/>
                    <w:rPr>
                      <w:kern w:val="0"/>
                      <w:szCs w:val="21"/>
                      <w:lang w:bidi="ar"/>
                    </w:rPr>
                  </w:pPr>
                  <w:r>
                    <w:rPr>
                      <w:rFonts w:hint="eastAsia"/>
                      <w:kern w:val="0"/>
                      <w:szCs w:val="21"/>
                      <w:lang w:bidi="ar"/>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第四次</w:t>
                  </w:r>
                </w:p>
              </w:tc>
              <w:tc>
                <w:tcPr>
                  <w:tcW w:w="2316" w:type="dxa"/>
                  <w:vAlign w:val="center"/>
                </w:tcPr>
                <w:p>
                  <w:pPr>
                    <w:widowControl/>
                    <w:jc w:val="center"/>
                    <w:textAlignment w:val="center"/>
                    <w:rPr>
                      <w:kern w:val="0"/>
                      <w:szCs w:val="21"/>
                      <w:lang w:bidi="ar"/>
                    </w:rPr>
                  </w:pPr>
                  <w:r>
                    <w:rPr>
                      <w:rFonts w:hint="eastAsia"/>
                      <w:kern w:val="0"/>
                      <w:szCs w:val="21"/>
                      <w:lang w:bidi="ar"/>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restart"/>
                  <w:vAlign w:val="center"/>
                </w:tcPr>
                <w:p>
                  <w:pPr>
                    <w:widowControl/>
                    <w:jc w:val="center"/>
                    <w:textAlignment w:val="center"/>
                    <w:rPr>
                      <w:kern w:val="0"/>
                      <w:szCs w:val="21"/>
                      <w:lang w:bidi="ar"/>
                    </w:rPr>
                  </w:pPr>
                  <w:r>
                    <w:rPr>
                      <w:kern w:val="0"/>
                      <w:szCs w:val="21"/>
                      <w:lang w:bidi="ar"/>
                    </w:rPr>
                    <w:t>2021.05.22</w:t>
                  </w:r>
                </w:p>
              </w:tc>
              <w:tc>
                <w:tcPr>
                  <w:tcW w:w="2478" w:type="dxa"/>
                  <w:vAlign w:val="center"/>
                </w:tcPr>
                <w:p>
                  <w:pPr>
                    <w:widowControl/>
                    <w:jc w:val="center"/>
                    <w:textAlignment w:val="center"/>
                    <w:rPr>
                      <w:kern w:val="0"/>
                      <w:szCs w:val="21"/>
                      <w:lang w:bidi="ar"/>
                    </w:rPr>
                  </w:pPr>
                  <w:r>
                    <w:rPr>
                      <w:kern w:val="0"/>
                      <w:szCs w:val="21"/>
                      <w:lang w:bidi="ar"/>
                    </w:rPr>
                    <w:t>第一次</w:t>
                  </w:r>
                </w:p>
              </w:tc>
              <w:tc>
                <w:tcPr>
                  <w:tcW w:w="2316" w:type="dxa"/>
                  <w:vAlign w:val="center"/>
                </w:tcPr>
                <w:p>
                  <w:pPr>
                    <w:widowControl/>
                    <w:jc w:val="center"/>
                    <w:textAlignment w:val="center"/>
                    <w:rPr>
                      <w:kern w:val="0"/>
                      <w:szCs w:val="21"/>
                      <w:lang w:bidi="ar"/>
                    </w:rPr>
                  </w:pPr>
                  <w:r>
                    <w:rPr>
                      <w:rFonts w:hint="eastAsia"/>
                      <w:kern w:val="0"/>
                      <w:szCs w:val="21"/>
                      <w:lang w:bidi="ar"/>
                    </w:rP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第二次</w:t>
                  </w:r>
                </w:p>
              </w:tc>
              <w:tc>
                <w:tcPr>
                  <w:tcW w:w="2316" w:type="dxa"/>
                  <w:vAlign w:val="center"/>
                </w:tcPr>
                <w:p>
                  <w:pPr>
                    <w:widowControl/>
                    <w:jc w:val="center"/>
                    <w:textAlignment w:val="center"/>
                    <w:rPr>
                      <w:kern w:val="0"/>
                      <w:szCs w:val="21"/>
                      <w:lang w:bidi="ar"/>
                    </w:rPr>
                  </w:pPr>
                  <w:r>
                    <w:rPr>
                      <w:rFonts w:hint="eastAsia"/>
                      <w:kern w:val="0"/>
                      <w:szCs w:val="21"/>
                      <w:lang w:bidi="ar"/>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第三次</w:t>
                  </w:r>
                </w:p>
              </w:tc>
              <w:tc>
                <w:tcPr>
                  <w:tcW w:w="2316" w:type="dxa"/>
                  <w:vAlign w:val="center"/>
                </w:tcPr>
                <w:p>
                  <w:pPr>
                    <w:widowControl/>
                    <w:jc w:val="center"/>
                    <w:textAlignment w:val="center"/>
                    <w:rPr>
                      <w:kern w:val="0"/>
                      <w:szCs w:val="21"/>
                      <w:lang w:bidi="ar"/>
                    </w:rPr>
                  </w:pPr>
                  <w:r>
                    <w:rPr>
                      <w:rFonts w:hint="eastAsia"/>
                      <w:kern w:val="0"/>
                      <w:szCs w:val="21"/>
                      <w:lang w:bidi="ar"/>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第四次</w:t>
                  </w:r>
                </w:p>
              </w:tc>
              <w:tc>
                <w:tcPr>
                  <w:tcW w:w="2316" w:type="dxa"/>
                  <w:vAlign w:val="center"/>
                </w:tcPr>
                <w:p>
                  <w:pPr>
                    <w:widowControl/>
                    <w:jc w:val="center"/>
                    <w:textAlignment w:val="center"/>
                    <w:rPr>
                      <w:kern w:val="0"/>
                      <w:szCs w:val="21"/>
                      <w:lang w:bidi="ar"/>
                    </w:rPr>
                  </w:pPr>
                  <w:r>
                    <w:rPr>
                      <w:rFonts w:hint="eastAsia"/>
                      <w:kern w:val="0"/>
                      <w:szCs w:val="21"/>
                      <w:lang w:bidi="ar"/>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restart"/>
                  <w:vAlign w:val="center"/>
                </w:tcPr>
                <w:p>
                  <w:pPr>
                    <w:widowControl/>
                    <w:jc w:val="center"/>
                    <w:textAlignment w:val="center"/>
                    <w:rPr>
                      <w:kern w:val="0"/>
                      <w:szCs w:val="21"/>
                      <w:lang w:bidi="ar"/>
                    </w:rPr>
                  </w:pPr>
                  <w:r>
                    <w:rPr>
                      <w:kern w:val="0"/>
                      <w:szCs w:val="21"/>
                      <w:lang w:bidi="ar"/>
                    </w:rPr>
                    <w:t>2021.05.23</w:t>
                  </w:r>
                </w:p>
              </w:tc>
              <w:tc>
                <w:tcPr>
                  <w:tcW w:w="2478" w:type="dxa"/>
                  <w:vAlign w:val="center"/>
                </w:tcPr>
                <w:p>
                  <w:pPr>
                    <w:widowControl/>
                    <w:jc w:val="center"/>
                    <w:textAlignment w:val="center"/>
                    <w:rPr>
                      <w:kern w:val="0"/>
                      <w:szCs w:val="21"/>
                      <w:lang w:bidi="ar"/>
                    </w:rPr>
                  </w:pPr>
                  <w:r>
                    <w:rPr>
                      <w:kern w:val="0"/>
                      <w:szCs w:val="21"/>
                      <w:lang w:bidi="ar"/>
                    </w:rPr>
                    <w:t>第一次</w:t>
                  </w:r>
                </w:p>
              </w:tc>
              <w:tc>
                <w:tcPr>
                  <w:tcW w:w="2316" w:type="dxa"/>
                  <w:vAlign w:val="center"/>
                </w:tcPr>
                <w:p>
                  <w:pPr>
                    <w:widowControl/>
                    <w:jc w:val="center"/>
                    <w:textAlignment w:val="center"/>
                    <w:rPr>
                      <w:kern w:val="0"/>
                      <w:szCs w:val="21"/>
                      <w:lang w:bidi="ar"/>
                    </w:rPr>
                  </w:pPr>
                  <w:r>
                    <w:rPr>
                      <w:rFonts w:hint="eastAsia"/>
                      <w:kern w:val="0"/>
                      <w:szCs w:val="21"/>
                      <w:lang w:bidi="ar"/>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第二次</w:t>
                  </w:r>
                </w:p>
              </w:tc>
              <w:tc>
                <w:tcPr>
                  <w:tcW w:w="2316" w:type="dxa"/>
                  <w:vAlign w:val="center"/>
                </w:tcPr>
                <w:p>
                  <w:pPr>
                    <w:widowControl/>
                    <w:jc w:val="center"/>
                    <w:textAlignment w:val="center"/>
                    <w:rPr>
                      <w:kern w:val="0"/>
                      <w:szCs w:val="21"/>
                      <w:lang w:bidi="ar"/>
                    </w:rPr>
                  </w:pPr>
                  <w:r>
                    <w:rPr>
                      <w:rFonts w:hint="eastAsia"/>
                      <w:kern w:val="0"/>
                      <w:szCs w:val="21"/>
                      <w:lang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第三次</w:t>
                  </w:r>
                </w:p>
              </w:tc>
              <w:tc>
                <w:tcPr>
                  <w:tcW w:w="2316" w:type="dxa"/>
                  <w:vAlign w:val="center"/>
                </w:tcPr>
                <w:p>
                  <w:pPr>
                    <w:widowControl/>
                    <w:jc w:val="center"/>
                    <w:textAlignment w:val="center"/>
                    <w:rPr>
                      <w:kern w:val="0"/>
                      <w:szCs w:val="21"/>
                      <w:lang w:bidi="ar"/>
                    </w:rPr>
                  </w:pPr>
                  <w:r>
                    <w:rPr>
                      <w:rFonts w:hint="eastAsia"/>
                      <w:kern w:val="0"/>
                      <w:szCs w:val="21"/>
                      <w:lang w:bidi="ar"/>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830" w:type="dxa"/>
                  <w:vMerge w:val="continue"/>
                  <w:vAlign w:val="center"/>
                </w:tcPr>
                <w:p>
                  <w:pPr>
                    <w:widowControl/>
                    <w:jc w:val="center"/>
                    <w:textAlignment w:val="center"/>
                    <w:rPr>
                      <w:kern w:val="0"/>
                      <w:szCs w:val="21"/>
                      <w:lang w:bidi="ar"/>
                    </w:rPr>
                  </w:pPr>
                </w:p>
              </w:tc>
              <w:tc>
                <w:tcPr>
                  <w:tcW w:w="2009" w:type="dxa"/>
                  <w:vMerge w:val="continue"/>
                  <w:vAlign w:val="center"/>
                </w:tcPr>
                <w:p>
                  <w:pPr>
                    <w:widowControl/>
                    <w:jc w:val="center"/>
                    <w:textAlignment w:val="center"/>
                    <w:rPr>
                      <w:kern w:val="0"/>
                      <w:szCs w:val="21"/>
                      <w:lang w:bidi="ar"/>
                    </w:rPr>
                  </w:pPr>
                </w:p>
              </w:tc>
              <w:tc>
                <w:tcPr>
                  <w:tcW w:w="2478" w:type="dxa"/>
                  <w:vAlign w:val="center"/>
                </w:tcPr>
                <w:p>
                  <w:pPr>
                    <w:widowControl/>
                    <w:jc w:val="center"/>
                    <w:textAlignment w:val="center"/>
                    <w:rPr>
                      <w:kern w:val="0"/>
                      <w:szCs w:val="21"/>
                      <w:lang w:bidi="ar"/>
                    </w:rPr>
                  </w:pPr>
                  <w:r>
                    <w:rPr>
                      <w:kern w:val="0"/>
                      <w:szCs w:val="21"/>
                      <w:lang w:bidi="ar"/>
                    </w:rPr>
                    <w:t>第四次</w:t>
                  </w:r>
                </w:p>
              </w:tc>
              <w:tc>
                <w:tcPr>
                  <w:tcW w:w="2316" w:type="dxa"/>
                  <w:vAlign w:val="center"/>
                </w:tcPr>
                <w:p>
                  <w:pPr>
                    <w:widowControl/>
                    <w:jc w:val="center"/>
                    <w:textAlignment w:val="center"/>
                    <w:rPr>
                      <w:kern w:val="0"/>
                      <w:szCs w:val="21"/>
                      <w:lang w:bidi="ar"/>
                    </w:rPr>
                  </w:pPr>
                  <w:r>
                    <w:rPr>
                      <w:rFonts w:hint="eastAsia"/>
                      <w:kern w:val="0"/>
                      <w:szCs w:val="21"/>
                      <w:lang w:bidi="ar"/>
                    </w:rPr>
                    <w:t>0.91</w:t>
                  </w:r>
                </w:p>
              </w:tc>
            </w:tr>
            <w:bookmarkEnd w:id="4"/>
          </w:tbl>
          <w:p/>
          <w:p>
            <w:pPr>
              <w:pStyle w:val="63"/>
              <w:jc w:val="center"/>
              <w:rPr>
                <w:rFonts w:ascii="Times New Roman" w:hAnsi="Times New Roman" w:eastAsia="宋体" w:cs="Times New Roman"/>
              </w:rPr>
            </w:pPr>
            <w:r>
              <w:drawing>
                <wp:anchor distT="0" distB="0" distL="114300" distR="114300" simplePos="0" relativeHeight="251660288" behindDoc="0" locked="0" layoutInCell="1" allowOverlap="1">
                  <wp:simplePos x="0" y="0"/>
                  <wp:positionH relativeFrom="column">
                    <wp:posOffset>4846320</wp:posOffset>
                  </wp:positionH>
                  <wp:positionV relativeFrom="paragraph">
                    <wp:posOffset>635</wp:posOffset>
                  </wp:positionV>
                  <wp:extent cx="643890" cy="648335"/>
                  <wp:effectExtent l="0" t="0" r="3810" b="18415"/>
                  <wp:wrapNone/>
                  <wp:docPr id="2" name="图片 29" descr="合肥市近20年风玫瑰图(1999-2018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9" descr="合肥市近20年风玫瑰图(1999-2018年)"/>
                          <pic:cNvPicPr>
                            <a:picLocks noChangeAspect="1"/>
                          </pic:cNvPicPr>
                        </pic:nvPicPr>
                        <pic:blipFill>
                          <a:blip r:embed="rId14"/>
                          <a:stretch>
                            <a:fillRect/>
                          </a:stretch>
                        </pic:blipFill>
                        <pic:spPr>
                          <a:xfrm>
                            <a:off x="0" y="0"/>
                            <a:ext cx="643890" cy="648335"/>
                          </a:xfrm>
                          <a:prstGeom prst="rect">
                            <a:avLst/>
                          </a:prstGeom>
                          <a:noFill/>
                          <a:ln>
                            <a:noFill/>
                          </a:ln>
                        </pic:spPr>
                      </pic:pic>
                    </a:graphicData>
                  </a:graphic>
                </wp:anchor>
              </w:drawing>
            </w:r>
            <w:r>
              <w:rPr>
                <w:rFonts w:ascii="Times New Roman" w:hAnsi="Times New Roman" w:eastAsia="宋体" w:cs="Times New Roman"/>
              </w:rPr>
              <mc:AlternateContent>
                <mc:Choice Requires="wps">
                  <w:drawing>
                    <wp:anchor distT="0" distB="0" distL="114300" distR="114300" simplePos="0" relativeHeight="251668480" behindDoc="0" locked="0" layoutInCell="1" allowOverlap="1">
                      <wp:simplePos x="0" y="0"/>
                      <wp:positionH relativeFrom="column">
                        <wp:posOffset>2509520</wp:posOffset>
                      </wp:positionH>
                      <wp:positionV relativeFrom="paragraph">
                        <wp:posOffset>1277620</wp:posOffset>
                      </wp:positionV>
                      <wp:extent cx="956945" cy="363855"/>
                      <wp:effectExtent l="0" t="0" r="0" b="0"/>
                      <wp:wrapNone/>
                      <wp:docPr id="10" name="文本框 42"/>
                      <wp:cNvGraphicFramePr/>
                      <a:graphic xmlns:a="http://schemas.openxmlformats.org/drawingml/2006/main">
                        <a:graphicData uri="http://schemas.microsoft.com/office/word/2010/wordprocessingShape">
                          <wps:wsp>
                            <wps:cNvSpPr txBox="1"/>
                            <wps:spPr>
                              <a:xfrm>
                                <a:off x="0" y="0"/>
                                <a:ext cx="956945" cy="363855"/>
                              </a:xfrm>
                              <a:prstGeom prst="rect">
                                <a:avLst/>
                              </a:prstGeom>
                              <a:noFill/>
                              <a:ln>
                                <a:noFill/>
                              </a:ln>
                            </wps:spPr>
                            <wps:txbx>
                              <w:txbxContent>
                                <w:p>
                                  <w:pPr>
                                    <w:rPr>
                                      <w:rFonts w:ascii="黑体" w:hAnsi="黑体" w:eastAsia="黑体" w:cs="黑体"/>
                                      <w:color w:val="FF0000"/>
                                      <w:szCs w:val="21"/>
                                      <w:highlight w:val="yellow"/>
                                    </w:rPr>
                                  </w:pPr>
                                  <w:r>
                                    <w:rPr>
                                      <w:rFonts w:hint="eastAsia" w:ascii="黑体" w:hAnsi="黑体" w:eastAsia="黑体" w:cs="黑体"/>
                                      <w:color w:val="FF0000"/>
                                      <w:szCs w:val="21"/>
                                      <w:highlight w:val="yellow"/>
                                    </w:rPr>
                                    <w:t>1671m</w:t>
                                  </w:r>
                                </w:p>
                              </w:txbxContent>
                            </wps:txbx>
                            <wps:bodyPr upright="1"/>
                          </wps:wsp>
                        </a:graphicData>
                      </a:graphic>
                    </wp:anchor>
                  </w:drawing>
                </mc:Choice>
                <mc:Fallback>
                  <w:pict>
                    <v:shape id="文本框 42" o:spid="_x0000_s1026" o:spt="202" type="#_x0000_t202" style="position:absolute;left:0pt;margin-left:197.6pt;margin-top:100.6pt;height:28.65pt;width:75.35pt;z-index:251668480;mso-width-relative:page;mso-height-relative:page;" filled="f" stroked="f" coordsize="21600,21600" o:gfxdata="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o7tFsNcA&#10;AAALAQAADwAAAAAAAAABACAAAAAiAAAAZHJzL2Rvd25yZXYueG1sUEsBAhQAFAAAAAgAh07iQPCS&#10;aa2uAQAATwMAAA4AAAAAAAAAAQAgAAAAJgEAAGRycy9lMm9Eb2MueG1sUEsFBgAAAAAGAAYAWQEA&#10;AEYFAAAAAA==&#10;">
                      <v:fill on="f" focussize="0,0"/>
                      <v:stroke on="f"/>
                      <v:imagedata o:title=""/>
                      <o:lock v:ext="edit" aspectratio="f"/>
                      <v:textbox>
                        <w:txbxContent>
                          <w:p>
                            <w:pPr>
                              <w:rPr>
                                <w:rFonts w:ascii="黑体" w:hAnsi="黑体" w:eastAsia="黑体" w:cs="黑体"/>
                                <w:color w:val="FF0000"/>
                                <w:szCs w:val="21"/>
                                <w:highlight w:val="yellow"/>
                              </w:rPr>
                            </w:pPr>
                            <w:r>
                              <w:rPr>
                                <w:rFonts w:hint="eastAsia" w:ascii="黑体" w:hAnsi="黑体" w:eastAsia="黑体" w:cs="黑体"/>
                                <w:color w:val="FF0000"/>
                                <w:szCs w:val="21"/>
                                <w:highlight w:val="yellow"/>
                              </w:rPr>
                              <w:t>1671m</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2853690</wp:posOffset>
                      </wp:positionH>
                      <wp:positionV relativeFrom="paragraph">
                        <wp:posOffset>963295</wp:posOffset>
                      </wp:positionV>
                      <wp:extent cx="190500" cy="1098550"/>
                      <wp:effectExtent l="36830" t="0" r="39370" b="6350"/>
                      <wp:wrapNone/>
                      <wp:docPr id="3" name="直线 65"/>
                      <wp:cNvGraphicFramePr/>
                      <a:graphic xmlns:a="http://schemas.openxmlformats.org/drawingml/2006/main">
                        <a:graphicData uri="http://schemas.microsoft.com/office/word/2010/wordprocessingShape">
                          <wps:wsp>
                            <wps:cNvCnPr/>
                            <wps:spPr>
                              <a:xfrm flipH="1">
                                <a:off x="4023360" y="6327140"/>
                                <a:ext cx="190500" cy="1098550"/>
                              </a:xfrm>
                              <a:prstGeom prst="line">
                                <a:avLst/>
                              </a:prstGeom>
                              <a:ln w="19050" cap="flat" cmpd="sng">
                                <a:solidFill>
                                  <a:srgbClr val="FF0000"/>
                                </a:solidFill>
                                <a:prstDash val="solid"/>
                                <a:headEnd type="arrow" w="med" len="med"/>
                                <a:tailEnd type="arrow" w="med" len="med"/>
                              </a:ln>
                            </wps:spPr>
                            <wps:bodyPr/>
                          </wps:wsp>
                        </a:graphicData>
                      </a:graphic>
                    </wp:anchor>
                  </w:drawing>
                </mc:Choice>
                <mc:Fallback>
                  <w:pict>
                    <v:line id="直线 65" o:spid="_x0000_s1026" o:spt="20" style="position:absolute;left:0pt;flip:x;margin-left:224.7pt;margin-top:75.85pt;height:86.5pt;width:15pt;z-index:251661312;mso-width-relative:page;mso-height-relative:page;" filled="f" stroked="t" coordsize="21600,21600" o:gfxdata="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2SHkLZAAAACwEAAA8AAAAAAAAAAQAgAAAAIgAAAGRycy9kb3ducmV2&#10;LnhtbFBLAQIUABQAAAAIAIdO4kBpzQCP+wEAAO4DAAAOAAAAAAAAAAEAIAAAACgBAABkcnMvZTJv&#10;RG9jLnhtbFBLBQYAAAAABgAGAFkBAACVBQAAAAA=&#10;">
                      <v:fill on="f" focussize="0,0"/>
                      <v:stroke weight="1.5pt" color="#FF0000" joinstyle="round" startarrow="open" endarrow="open"/>
                      <v:imagedata o:title=""/>
                      <o:lock v:ext="edit" aspectratio="f"/>
                    </v:line>
                  </w:pict>
                </mc:Fallback>
              </mc:AlternateContent>
            </w:r>
            <w:r>
              <w:rPr>
                <w:rFonts w:ascii="Times New Roman" w:hAnsi="Times New Roman" w:eastAsia="宋体" w:cs="Times New Roman"/>
              </w:rPr>
              <mc:AlternateContent>
                <mc:Choice Requires="wps">
                  <w:drawing>
                    <wp:anchor distT="0" distB="0" distL="114300" distR="114300" simplePos="0" relativeHeight="251664384" behindDoc="0" locked="0" layoutInCell="1" allowOverlap="1">
                      <wp:simplePos x="0" y="0"/>
                      <wp:positionH relativeFrom="column">
                        <wp:posOffset>4583430</wp:posOffset>
                      </wp:positionH>
                      <wp:positionV relativeFrom="paragraph">
                        <wp:posOffset>2037080</wp:posOffset>
                      </wp:positionV>
                      <wp:extent cx="160020" cy="137160"/>
                      <wp:effectExtent l="8255" t="9525" r="22225" b="5715"/>
                      <wp:wrapNone/>
                      <wp:docPr id="6" name="自选图形 32"/>
                      <wp:cNvGraphicFramePr/>
                      <a:graphic xmlns:a="http://schemas.openxmlformats.org/drawingml/2006/main">
                        <a:graphicData uri="http://schemas.microsoft.com/office/word/2010/wordprocessingShape">
                          <wps:wsp>
                            <wps:cNvSpPr/>
                            <wps:spPr>
                              <a:xfrm>
                                <a:off x="0" y="0"/>
                                <a:ext cx="160020" cy="137160"/>
                              </a:xfrm>
                              <a:prstGeom prst="triangle">
                                <a:avLst>
                                  <a:gd name="adj" fmla="val 50000"/>
                                </a:avLst>
                              </a:prstGeom>
                              <a:solidFill>
                                <a:srgbClr val="FFC000"/>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32" o:spid="_x0000_s1026" o:spt="5" type="#_x0000_t5" style="position:absolute;left:0pt;margin-left:360.9pt;margin-top:160.4pt;height:10.8pt;width:12.6pt;z-index:251664384;mso-width-relative:page;mso-height-relative:page;" fillcolor="#FFC000" filled="t" stroked="t" coordsize="21600,21600" o:gfxdata="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YCgw&#10;t9oAAAALAQAADwAAAAAAAAABACAAAAAiAAAAZHJzL2Rvd25yZXYueG1sUEsBAhQAFAAAAAgAh07i&#10;QIQjyCogAgAAVAQAAA4AAAAAAAAAAQAgAAAAKQEAAGRycy9lMm9Eb2MueG1sUEsFBgAAAAAGAAYA&#10;WQEAALsFAAAAAA==&#10;" adj="10800">
                      <v:fill on="t" focussize="0,0"/>
                      <v:stroke color="#000000" joinstyle="miter"/>
                      <v:imagedata o:title=""/>
                      <o:lock v:ext="edit" aspectratio="f"/>
                    </v:shape>
                  </w:pict>
                </mc:Fallback>
              </mc:AlternateContent>
            </w:r>
            <w:r>
              <w:rPr>
                <w:rFonts w:ascii="Times New Roman" w:hAnsi="Times New Roman" w:eastAsia="宋体" w:cs="Times New Roman"/>
              </w:rPr>
              <mc:AlternateContent>
                <mc:Choice Requires="wps">
                  <w:drawing>
                    <wp:anchor distT="0" distB="0" distL="114300" distR="114300" simplePos="0" relativeHeight="251663360" behindDoc="0" locked="0" layoutInCell="1" allowOverlap="1">
                      <wp:simplePos x="0" y="0"/>
                      <wp:positionH relativeFrom="column">
                        <wp:posOffset>4613275</wp:posOffset>
                      </wp:positionH>
                      <wp:positionV relativeFrom="paragraph">
                        <wp:posOffset>1701800</wp:posOffset>
                      </wp:positionV>
                      <wp:extent cx="1192530" cy="565785"/>
                      <wp:effectExtent l="0" t="0" r="0" b="0"/>
                      <wp:wrapNone/>
                      <wp:docPr id="5" name="文本框 31"/>
                      <wp:cNvGraphicFramePr/>
                      <a:graphic xmlns:a="http://schemas.openxmlformats.org/drawingml/2006/main">
                        <a:graphicData uri="http://schemas.microsoft.com/office/word/2010/wordprocessingShape">
                          <wps:wsp>
                            <wps:cNvSpPr txBox="1"/>
                            <wps:spPr>
                              <a:xfrm>
                                <a:off x="0" y="0"/>
                                <a:ext cx="1192530" cy="565785"/>
                              </a:xfrm>
                              <a:prstGeom prst="rect">
                                <a:avLst/>
                              </a:prstGeom>
                              <a:noFill/>
                              <a:ln>
                                <a:noFill/>
                              </a:ln>
                            </wps:spPr>
                            <wps:txbx>
                              <w:txbxContent>
                                <w:p>
                                  <w:pPr>
                                    <w:pStyle w:val="63"/>
                                    <w:ind w:firstLine="211" w:firstLineChars="100"/>
                                    <w:rPr>
                                      <w:rFonts w:ascii="黑体" w:hAnsi="黑体" w:cs="黑体"/>
                                      <w:color w:val="FFC000"/>
                                      <w:sz w:val="21"/>
                                      <w:szCs w:val="21"/>
                                    </w:rPr>
                                  </w:pPr>
                                  <w:r>
                                    <w:rPr>
                                      <w:rFonts w:hint="eastAsia" w:ascii="黑体" w:hAnsi="黑体" w:cs="黑体"/>
                                      <w:color w:val="FFC000"/>
                                      <w:sz w:val="21"/>
                                      <w:szCs w:val="21"/>
                                    </w:rPr>
                                    <w:t>图例</w:t>
                                  </w:r>
                                </w:p>
                                <w:p>
                                  <w:pPr>
                                    <w:pStyle w:val="63"/>
                                    <w:ind w:firstLine="211" w:firstLineChars="100"/>
                                    <w:rPr>
                                      <w:rFonts w:ascii="黑体" w:hAnsi="黑体" w:cs="黑体"/>
                                      <w:color w:val="FFC000"/>
                                      <w:sz w:val="21"/>
                                      <w:szCs w:val="21"/>
                                    </w:rPr>
                                  </w:pPr>
                                  <w:r>
                                    <w:rPr>
                                      <w:rFonts w:hint="eastAsia" w:ascii="黑体" w:hAnsi="黑体" w:cs="黑体"/>
                                      <w:color w:val="FFC000"/>
                                      <w:sz w:val="21"/>
                                      <w:szCs w:val="21"/>
                                    </w:rPr>
                                    <w:t>监测点位</w:t>
                                  </w:r>
                                </w:p>
                              </w:txbxContent>
                            </wps:txbx>
                            <wps:bodyPr upright="1"/>
                          </wps:wsp>
                        </a:graphicData>
                      </a:graphic>
                    </wp:anchor>
                  </w:drawing>
                </mc:Choice>
                <mc:Fallback>
                  <w:pict>
                    <v:shape id="文本框 31" o:spid="_x0000_s1026" o:spt="202" type="#_x0000_t202" style="position:absolute;left:0pt;margin-left:363.25pt;margin-top:134pt;height:44.55pt;width:93.9pt;z-index:251663360;mso-width-relative:page;mso-height-relative:page;" filled="f" stroked="f" coordsize="21600,21600" o:gfxdata="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PJfH3Z&#10;AAAACwEAAA8AAAAAAAAAAQAgAAAAIgAAAGRycy9kb3ducmV2LnhtbFBLAQIUABQAAAAIAIdO4kDf&#10;FfI3rQEAAE8DAAAOAAAAAAAAAAEAIAAAACgBAABkcnMvZTJvRG9jLnhtbFBLBQYAAAAABgAGAFkB&#10;AABHBQAAAAA=&#10;">
                      <v:fill on="f" focussize="0,0"/>
                      <v:stroke on="f"/>
                      <v:imagedata o:title=""/>
                      <o:lock v:ext="edit" aspectratio="f"/>
                      <v:textbox>
                        <w:txbxContent>
                          <w:p>
                            <w:pPr>
                              <w:pStyle w:val="63"/>
                              <w:ind w:firstLine="211" w:firstLineChars="100"/>
                              <w:rPr>
                                <w:rFonts w:ascii="黑体" w:hAnsi="黑体" w:cs="黑体"/>
                                <w:color w:val="FFC000"/>
                                <w:sz w:val="21"/>
                                <w:szCs w:val="21"/>
                              </w:rPr>
                            </w:pPr>
                            <w:r>
                              <w:rPr>
                                <w:rFonts w:hint="eastAsia" w:ascii="黑体" w:hAnsi="黑体" w:cs="黑体"/>
                                <w:color w:val="FFC000"/>
                                <w:sz w:val="21"/>
                                <w:szCs w:val="21"/>
                              </w:rPr>
                              <w:t>图例</w:t>
                            </w:r>
                          </w:p>
                          <w:p>
                            <w:pPr>
                              <w:pStyle w:val="63"/>
                              <w:ind w:firstLine="211" w:firstLineChars="100"/>
                              <w:rPr>
                                <w:rFonts w:ascii="黑体" w:hAnsi="黑体" w:cs="黑体"/>
                                <w:color w:val="FFC000"/>
                                <w:sz w:val="21"/>
                                <w:szCs w:val="21"/>
                              </w:rPr>
                            </w:pPr>
                            <w:r>
                              <w:rPr>
                                <w:rFonts w:hint="eastAsia" w:ascii="黑体" w:hAnsi="黑体" w:cs="黑体"/>
                                <w:color w:val="FFC000"/>
                                <w:sz w:val="21"/>
                                <w:szCs w:val="21"/>
                              </w:rPr>
                              <w:t>监测点位</w:t>
                            </w:r>
                          </w:p>
                        </w:txbxContent>
                      </v:textbox>
                    </v:shape>
                  </w:pict>
                </mc:Fallback>
              </mc:AlternateContent>
            </w:r>
            <w:r>
              <w:rPr>
                <w:rFonts w:ascii="Times New Roman" w:hAnsi="Times New Roman" w:eastAsia="宋体" w:cs="Times New Roman"/>
              </w:rPr>
              <mc:AlternateContent>
                <mc:Choice Requires="wps">
                  <w:drawing>
                    <wp:anchor distT="0" distB="0" distL="114300" distR="114300" simplePos="0" relativeHeight="251662336" behindDoc="0" locked="0" layoutInCell="1" allowOverlap="1">
                      <wp:simplePos x="0" y="0"/>
                      <wp:positionH relativeFrom="column">
                        <wp:posOffset>4474845</wp:posOffset>
                      </wp:positionH>
                      <wp:positionV relativeFrom="paragraph">
                        <wp:posOffset>1673860</wp:posOffset>
                      </wp:positionV>
                      <wp:extent cx="1000125" cy="681355"/>
                      <wp:effectExtent l="4445" t="5080" r="5080" b="18415"/>
                      <wp:wrapNone/>
                      <wp:docPr id="4" name="矩形 30"/>
                      <wp:cNvGraphicFramePr/>
                      <a:graphic xmlns:a="http://schemas.openxmlformats.org/drawingml/2006/main">
                        <a:graphicData uri="http://schemas.microsoft.com/office/word/2010/wordprocessingShape">
                          <wps:wsp>
                            <wps:cNvSpPr/>
                            <wps:spPr>
                              <a:xfrm>
                                <a:off x="0" y="0"/>
                                <a:ext cx="1000125" cy="681355"/>
                              </a:xfrm>
                              <a:prstGeom prst="rect">
                                <a:avLst/>
                              </a:prstGeom>
                              <a:noFill/>
                              <a:ln w="9525" cap="flat" cmpd="sng">
                                <a:solidFill>
                                  <a:srgbClr val="FFFF00"/>
                                </a:solidFill>
                                <a:prstDash val="solid"/>
                                <a:miter/>
                                <a:headEnd type="none" w="med" len="med"/>
                                <a:tailEnd type="none" w="med" len="med"/>
                              </a:ln>
                            </wps:spPr>
                            <wps:bodyPr upright="1"/>
                          </wps:wsp>
                        </a:graphicData>
                      </a:graphic>
                    </wp:anchor>
                  </w:drawing>
                </mc:Choice>
                <mc:Fallback>
                  <w:pict>
                    <v:rect id="矩形 30" o:spid="_x0000_s1026" o:spt="1" style="position:absolute;left:0pt;margin-left:352.35pt;margin-top:131.8pt;height:53.65pt;width:78.75pt;z-index:251662336;mso-width-relative:page;mso-height-relative:page;" filled="f" stroked="t" coordsize="21600,21600" o:gfxdata="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j/q+z3gAAAAsBAAAPAAAAAAAAAAEAIAAAACIAAABkcnMvZG93bnJl&#10;di54bWxQSwECFAAUAAAACACHTuJAbgzPuPcBAAD2AwAADgAAAAAAAAABACAAAAAtAQAAZHJzL2Uy&#10;b0RvYy54bWxQSwUGAAAAAAYABgBZAQAAlgUAAAAA&#10;">
                      <v:fill on="f" focussize="0,0"/>
                      <v:stroke color="#FFFF00" joinstyle="miter"/>
                      <v:imagedata o:title=""/>
                      <o:lock v:ext="edit" aspectratio="f"/>
                    </v:rect>
                  </w:pict>
                </mc:Fallback>
              </mc:AlternateContent>
            </w:r>
            <w:r>
              <w:rPr>
                <w:rFonts w:ascii="Times New Roman" w:hAnsi="Times New Roman" w:eastAsia="宋体" w:cs="Times New Roman"/>
              </w:rPr>
              <mc:AlternateContent>
                <mc:Choice Requires="wps">
                  <w:drawing>
                    <wp:anchor distT="0" distB="0" distL="114300" distR="114300" simplePos="0" relativeHeight="251659264" behindDoc="0" locked="0" layoutInCell="1" allowOverlap="1">
                      <wp:simplePos x="0" y="0"/>
                      <wp:positionH relativeFrom="column">
                        <wp:posOffset>2849245</wp:posOffset>
                      </wp:positionH>
                      <wp:positionV relativeFrom="paragraph">
                        <wp:posOffset>2146935</wp:posOffset>
                      </wp:positionV>
                      <wp:extent cx="956945" cy="363855"/>
                      <wp:effectExtent l="0" t="0" r="0" b="0"/>
                      <wp:wrapNone/>
                      <wp:docPr id="1" name="文本框 12"/>
                      <wp:cNvGraphicFramePr/>
                      <a:graphic xmlns:a="http://schemas.openxmlformats.org/drawingml/2006/main">
                        <a:graphicData uri="http://schemas.microsoft.com/office/word/2010/wordprocessingShape">
                          <wps:wsp>
                            <wps:cNvSpPr txBox="1"/>
                            <wps:spPr>
                              <a:xfrm>
                                <a:off x="0" y="0"/>
                                <a:ext cx="956945" cy="363855"/>
                              </a:xfrm>
                              <a:prstGeom prst="rect">
                                <a:avLst/>
                              </a:prstGeom>
                              <a:noFill/>
                              <a:ln>
                                <a:noFill/>
                              </a:ln>
                            </wps:spPr>
                            <wps:txbx>
                              <w:txbxContent>
                                <w:p>
                                  <w:pPr>
                                    <w:rPr>
                                      <w:rFonts w:ascii="黑体" w:hAnsi="黑体" w:eastAsia="黑体" w:cs="黑体"/>
                                      <w:color w:val="FF0000"/>
                                      <w:sz w:val="20"/>
                                      <w:szCs w:val="20"/>
                                      <w:highlight w:val="yellow"/>
                                    </w:rPr>
                                  </w:pPr>
                                  <w:r>
                                    <w:rPr>
                                      <w:rFonts w:hint="eastAsia" w:ascii="黑体" w:hAnsi="黑体" w:eastAsia="黑体" w:cs="黑体"/>
                                      <w:color w:val="FF0000"/>
                                      <w:sz w:val="20"/>
                                      <w:szCs w:val="20"/>
                                      <w:highlight w:val="yellow"/>
                                    </w:rPr>
                                    <w:t>本项目所在地</w:t>
                                  </w:r>
                                </w:p>
                              </w:txbxContent>
                            </wps:txbx>
                            <wps:bodyPr upright="1"/>
                          </wps:wsp>
                        </a:graphicData>
                      </a:graphic>
                    </wp:anchor>
                  </w:drawing>
                </mc:Choice>
                <mc:Fallback>
                  <w:pict>
                    <v:shape id="文本框 12" o:spid="_x0000_s1026" o:spt="202" type="#_x0000_t202" style="position:absolute;left:0pt;margin-left:224.35pt;margin-top:169.05pt;height:28.65pt;width:75.35pt;z-index:251659264;mso-width-relative:page;mso-height-relative:page;" filled="f" stroked="f" coordsize="21600,21600" o:gfxdata="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qv0r3Y&#10;AAAACwEAAA8AAAAAAAAAAQAgAAAAIgAAAGRycy9kb3ducmV2LnhtbFBLAQIUABQAAAAIAIdO4kCY&#10;vzDBrgEAAE4DAAAOAAAAAAAAAAEAIAAAACcBAABkcnMvZTJvRG9jLnhtbFBLBQYAAAAABgAGAFkB&#10;AABHBQAAAAA=&#10;">
                      <v:fill on="f" focussize="0,0"/>
                      <v:stroke on="f"/>
                      <v:imagedata o:title=""/>
                      <o:lock v:ext="edit" aspectratio="f"/>
                      <v:textbox>
                        <w:txbxContent>
                          <w:p>
                            <w:pPr>
                              <w:rPr>
                                <w:rFonts w:ascii="黑体" w:hAnsi="黑体" w:eastAsia="黑体" w:cs="黑体"/>
                                <w:color w:val="FF0000"/>
                                <w:sz w:val="20"/>
                                <w:szCs w:val="20"/>
                                <w:highlight w:val="yellow"/>
                              </w:rPr>
                            </w:pPr>
                            <w:r>
                              <w:rPr>
                                <w:rFonts w:hint="eastAsia" w:ascii="黑体" w:hAnsi="黑体" w:eastAsia="黑体" w:cs="黑体"/>
                                <w:color w:val="FF0000"/>
                                <w:sz w:val="20"/>
                                <w:szCs w:val="20"/>
                                <w:highlight w:val="yellow"/>
                              </w:rPr>
                              <w:t>本项目所在地</w:t>
                            </w:r>
                          </w:p>
                        </w:txbxContent>
                      </v:textbox>
                    </v:shape>
                  </w:pict>
                </mc:Fallback>
              </mc:AlternateContent>
            </w:r>
            <w:r>
              <w:rPr>
                <w:rFonts w:ascii="Times New Roman" w:hAnsi="Times New Roman" w:eastAsia="宋体" w:cs="Times New Roman"/>
              </w:rPr>
              <mc:AlternateContent>
                <mc:Choice Requires="wps">
                  <w:drawing>
                    <wp:anchor distT="0" distB="0" distL="114300" distR="114300" simplePos="0" relativeHeight="251667456" behindDoc="0" locked="0" layoutInCell="1" allowOverlap="1">
                      <wp:simplePos x="0" y="0"/>
                      <wp:positionH relativeFrom="column">
                        <wp:posOffset>2761615</wp:posOffset>
                      </wp:positionH>
                      <wp:positionV relativeFrom="paragraph">
                        <wp:posOffset>2092960</wp:posOffset>
                      </wp:positionV>
                      <wp:extent cx="160020" cy="137160"/>
                      <wp:effectExtent l="8255" t="9525" r="22225" b="5715"/>
                      <wp:wrapNone/>
                      <wp:docPr id="9" name="自选图形 40"/>
                      <wp:cNvGraphicFramePr/>
                      <a:graphic xmlns:a="http://schemas.openxmlformats.org/drawingml/2006/main">
                        <a:graphicData uri="http://schemas.microsoft.com/office/word/2010/wordprocessingShape">
                          <wps:wsp>
                            <wps:cNvSpPr/>
                            <wps:spPr>
                              <a:xfrm>
                                <a:off x="0" y="0"/>
                                <a:ext cx="160020" cy="137160"/>
                              </a:xfrm>
                              <a:prstGeom prst="triangle">
                                <a:avLst>
                                  <a:gd name="adj" fmla="val 50000"/>
                                </a:avLst>
                              </a:prstGeom>
                              <a:solidFill>
                                <a:srgbClr val="FF0000"/>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40" o:spid="_x0000_s1026" o:spt="5" type="#_x0000_t5" style="position:absolute;left:0pt;margin-left:217.45pt;margin-top:164.8pt;height:10.8pt;width:12.6pt;z-index:251667456;mso-width-relative:page;mso-height-relative:page;" fillcolor="#FF0000" filled="t" stroked="t" coordsize="21600,21600" o:gfxdata="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WcqQjb&#10;AAAACwEAAA8AAAAAAAAAAQAgAAAAIgAAAGRycy9kb3ducmV2LnhtbFBLAQIUABQAAAAIAIdO4kDw&#10;OJ41HQIAAFQEAAAOAAAAAAAAAAEAIAAAACoBAABkcnMvZTJvRG9jLnhtbFBLBQYAAAAABgAGAFkB&#10;AAC5BQAAAAA=&#10;" adj="10800">
                      <v:fill on="t" focussize="0,0"/>
                      <v:stroke color="#000000" joinstyle="miter"/>
                      <v:imagedata o:title=""/>
                      <o:lock v:ext="edit" aspectratio="f"/>
                    </v:shape>
                  </w:pict>
                </mc:Fallback>
              </mc:AlternateContent>
            </w:r>
            <w:r>
              <w:rPr>
                <w:rFonts w:ascii="Times New Roman" w:hAnsi="Times New Roman" w:eastAsia="宋体" w:cs="Times New Roman"/>
              </w:rPr>
              <mc:AlternateContent>
                <mc:Choice Requires="wps">
                  <w:drawing>
                    <wp:anchor distT="0" distB="0" distL="114300" distR="114300" simplePos="0" relativeHeight="251666432" behindDoc="0" locked="0" layoutInCell="1" allowOverlap="1">
                      <wp:simplePos x="0" y="0"/>
                      <wp:positionH relativeFrom="column">
                        <wp:posOffset>3167380</wp:posOffset>
                      </wp:positionH>
                      <wp:positionV relativeFrom="paragraph">
                        <wp:posOffset>749935</wp:posOffset>
                      </wp:positionV>
                      <wp:extent cx="956945" cy="363855"/>
                      <wp:effectExtent l="0" t="0" r="0" b="0"/>
                      <wp:wrapNone/>
                      <wp:docPr id="8" name="文本框 39"/>
                      <wp:cNvGraphicFramePr/>
                      <a:graphic xmlns:a="http://schemas.openxmlformats.org/drawingml/2006/main">
                        <a:graphicData uri="http://schemas.microsoft.com/office/word/2010/wordprocessingShape">
                          <wps:wsp>
                            <wps:cNvSpPr txBox="1"/>
                            <wps:spPr>
                              <a:xfrm>
                                <a:off x="0" y="0"/>
                                <a:ext cx="956945" cy="363855"/>
                              </a:xfrm>
                              <a:prstGeom prst="rect">
                                <a:avLst/>
                              </a:prstGeom>
                              <a:noFill/>
                              <a:ln>
                                <a:noFill/>
                              </a:ln>
                            </wps:spPr>
                            <wps:txbx>
                              <w:txbxContent>
                                <w:p>
                                  <w:pPr>
                                    <w:rPr>
                                      <w:rFonts w:ascii="黑体" w:hAnsi="黑体" w:eastAsia="黑体" w:cs="黑体"/>
                                      <w:color w:val="FF0000"/>
                                      <w:szCs w:val="21"/>
                                      <w:highlight w:val="yellow"/>
                                    </w:rPr>
                                  </w:pPr>
                                  <w:r>
                                    <w:rPr>
                                      <w:rFonts w:hint="eastAsia" w:ascii="黑体" w:hAnsi="黑体" w:eastAsia="黑体" w:cs="黑体"/>
                                      <w:color w:val="FF0000"/>
                                      <w:szCs w:val="21"/>
                                      <w:highlight w:val="yellow"/>
                                    </w:rPr>
                                    <w:t>复兴家园</w:t>
                                  </w:r>
                                </w:p>
                              </w:txbxContent>
                            </wps:txbx>
                            <wps:bodyPr upright="1"/>
                          </wps:wsp>
                        </a:graphicData>
                      </a:graphic>
                    </wp:anchor>
                  </w:drawing>
                </mc:Choice>
                <mc:Fallback>
                  <w:pict>
                    <v:shape id="文本框 39" o:spid="_x0000_s1026" o:spt="202" type="#_x0000_t202" style="position:absolute;left:0pt;margin-left:249.4pt;margin-top:59.05pt;height:28.65pt;width:75.35pt;z-index:251666432;mso-width-relative:page;mso-height-relative:page;" filled="f" stroked="f" coordsize="21600,21600" o:gfxdata="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8GErtcA&#10;AAALAQAADwAAAAAAAAABACAAAAAiAAAAZHJzL2Rvd25yZXYueG1sUEsBAhQAFAAAAAgAh07iQDR4&#10;g+WuAQAATgMAAA4AAAAAAAAAAQAgAAAAJgEAAGRycy9lMm9Eb2MueG1sUEsFBgAAAAAGAAYAWQEA&#10;AEYFAAAAAA==&#10;">
                      <v:fill on="f" focussize="0,0"/>
                      <v:stroke on="f"/>
                      <v:imagedata o:title=""/>
                      <o:lock v:ext="edit" aspectratio="f"/>
                      <v:textbox>
                        <w:txbxContent>
                          <w:p>
                            <w:pPr>
                              <w:rPr>
                                <w:rFonts w:ascii="黑体" w:hAnsi="黑体" w:eastAsia="黑体" w:cs="黑体"/>
                                <w:color w:val="FF0000"/>
                                <w:szCs w:val="21"/>
                                <w:highlight w:val="yellow"/>
                              </w:rPr>
                            </w:pPr>
                            <w:r>
                              <w:rPr>
                                <w:rFonts w:hint="eastAsia" w:ascii="黑体" w:hAnsi="黑体" w:eastAsia="黑体" w:cs="黑体"/>
                                <w:color w:val="FF0000"/>
                                <w:szCs w:val="21"/>
                                <w:highlight w:val="yellow"/>
                              </w:rPr>
                              <w:t>复兴家园</w:t>
                            </w:r>
                          </w:p>
                        </w:txbxContent>
                      </v:textbox>
                    </v:shape>
                  </w:pict>
                </mc:Fallback>
              </mc:AlternateContent>
            </w:r>
            <w:r>
              <w:rPr>
                <w:rFonts w:ascii="Times New Roman" w:hAnsi="Times New Roman" w:eastAsia="宋体" w:cs="Times New Roman"/>
              </w:rPr>
              <mc:AlternateContent>
                <mc:Choice Requires="wps">
                  <w:drawing>
                    <wp:anchor distT="0" distB="0" distL="114300" distR="114300" simplePos="0" relativeHeight="251665408" behindDoc="0" locked="0" layoutInCell="1" allowOverlap="1">
                      <wp:simplePos x="0" y="0"/>
                      <wp:positionH relativeFrom="column">
                        <wp:posOffset>2994660</wp:posOffset>
                      </wp:positionH>
                      <wp:positionV relativeFrom="paragraph">
                        <wp:posOffset>802005</wp:posOffset>
                      </wp:positionV>
                      <wp:extent cx="160020" cy="137160"/>
                      <wp:effectExtent l="8255" t="9525" r="22225" b="5715"/>
                      <wp:wrapNone/>
                      <wp:docPr id="7" name="自选图形 33"/>
                      <wp:cNvGraphicFramePr/>
                      <a:graphic xmlns:a="http://schemas.openxmlformats.org/drawingml/2006/main">
                        <a:graphicData uri="http://schemas.microsoft.com/office/word/2010/wordprocessingShape">
                          <wps:wsp>
                            <wps:cNvSpPr/>
                            <wps:spPr>
                              <a:xfrm>
                                <a:off x="0" y="0"/>
                                <a:ext cx="160020" cy="137160"/>
                              </a:xfrm>
                              <a:prstGeom prst="triangle">
                                <a:avLst>
                                  <a:gd name="adj" fmla="val 50000"/>
                                </a:avLst>
                              </a:prstGeom>
                              <a:solidFill>
                                <a:srgbClr val="FFC000"/>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33" o:spid="_x0000_s1026" o:spt="5" type="#_x0000_t5" style="position:absolute;left:0pt;margin-left:235.8pt;margin-top:63.15pt;height:10.8pt;width:12.6pt;z-index:251665408;mso-width-relative:page;mso-height-relative:page;" fillcolor="#FFC000" filled="t" stroked="t" coordsize="21600,21600" o:gfxdata="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g&#10;z76H2wAAAAsBAAAPAAAAAAAAAAEAIAAAACIAAABkcnMvZG93bnJldi54bWxQSwECFAAUAAAACACH&#10;TuJAqdRQryECAABUBAAADgAAAAAAAAABACAAAAAqAQAAZHJzL2Uyb0RvYy54bWxQSwUGAAAAAAYA&#10;BgBZAQAAvQUAAAAA&#10;" adj="10800">
                      <v:fill on="t" focussize="0,0"/>
                      <v:stroke color="#000000" joinstyle="miter"/>
                      <v:imagedata o:title=""/>
                      <o:lock v:ext="edit" aspectratio="f"/>
                    </v:shape>
                  </w:pict>
                </mc:Fallback>
              </mc:AlternateContent>
            </w:r>
            <w:r>
              <w:drawing>
                <wp:inline distT="0" distB="0" distL="114300" distR="114300">
                  <wp:extent cx="5486400" cy="2799715"/>
                  <wp:effectExtent l="0" t="0" r="0" b="635"/>
                  <wp:docPr id="1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8"/>
                          <pic:cNvPicPr>
                            <a:picLocks noChangeAspect="1"/>
                          </pic:cNvPicPr>
                        </pic:nvPicPr>
                        <pic:blipFill>
                          <a:blip r:embed="rId15"/>
                          <a:stretch>
                            <a:fillRect/>
                          </a:stretch>
                        </pic:blipFill>
                        <pic:spPr>
                          <a:xfrm>
                            <a:off x="0" y="0"/>
                            <a:ext cx="5486400" cy="2799715"/>
                          </a:xfrm>
                          <a:prstGeom prst="rect">
                            <a:avLst/>
                          </a:prstGeom>
                          <a:noFill/>
                          <a:ln>
                            <a:noFill/>
                          </a:ln>
                        </pic:spPr>
                      </pic:pic>
                    </a:graphicData>
                  </a:graphic>
                </wp:inline>
              </w:drawing>
            </w:r>
          </w:p>
          <w:p>
            <w:pPr>
              <w:autoSpaceDE w:val="0"/>
              <w:autoSpaceDN w:val="0"/>
              <w:adjustRightInd w:val="0"/>
              <w:spacing w:line="360" w:lineRule="auto"/>
              <w:ind w:firstLine="422" w:firstLineChars="200"/>
              <w:jc w:val="center"/>
              <w:rPr>
                <w:b/>
                <w:bCs/>
                <w:szCs w:val="21"/>
              </w:rPr>
            </w:pPr>
            <w:r>
              <w:rPr>
                <w:b/>
                <w:bCs/>
                <w:szCs w:val="21"/>
              </w:rPr>
              <w:t>图</w:t>
            </w:r>
            <w:r>
              <w:rPr>
                <w:rFonts w:hint="eastAsia"/>
                <w:b/>
                <w:bCs/>
                <w:szCs w:val="21"/>
              </w:rPr>
              <w:t>6</w:t>
            </w:r>
            <w:r>
              <w:rPr>
                <w:b/>
                <w:bCs/>
                <w:szCs w:val="21"/>
              </w:rPr>
              <w:t>环境空气特征因子现状监测点位图</w:t>
            </w:r>
          </w:p>
          <w:p/>
          <w:p>
            <w:pPr>
              <w:spacing w:line="360" w:lineRule="auto"/>
              <w:ind w:firstLine="480" w:firstLineChars="200"/>
              <w:rPr>
                <w:sz w:val="24"/>
                <w:szCs w:val="22"/>
              </w:rPr>
            </w:pPr>
            <w:r>
              <w:rPr>
                <w:sz w:val="24"/>
                <w:szCs w:val="22"/>
              </w:rPr>
              <w:t>根据引用补充监测结果，本项目区域环境空气非甲烷总烃小时值满足《大气污染物综合排放标准详解》中推荐的小时浓度限值2mg/m</w:t>
            </w:r>
            <w:r>
              <w:rPr>
                <w:sz w:val="24"/>
                <w:szCs w:val="22"/>
                <w:vertAlign w:val="superscript"/>
              </w:rPr>
              <w:t>3</w:t>
            </w:r>
            <w:r>
              <w:rPr>
                <w:sz w:val="24"/>
                <w:szCs w:val="22"/>
              </w:rPr>
              <w:t>要求。</w:t>
            </w:r>
          </w:p>
          <w:p>
            <w:pPr>
              <w:spacing w:line="360" w:lineRule="auto"/>
              <w:ind w:firstLine="482" w:firstLineChars="200"/>
              <w:rPr>
                <w:b/>
                <w:bCs/>
                <w:sz w:val="24"/>
                <w:szCs w:val="32"/>
              </w:rPr>
            </w:pPr>
            <w:r>
              <w:rPr>
                <w:b/>
                <w:bCs/>
                <w:sz w:val="24"/>
                <w:szCs w:val="32"/>
              </w:rPr>
              <w:t>（二）地表水环境质量现状</w:t>
            </w:r>
          </w:p>
          <w:p>
            <w:pPr>
              <w:spacing w:line="360" w:lineRule="auto"/>
              <w:ind w:firstLine="480" w:firstLineChars="200"/>
              <w:rPr>
                <w:sz w:val="24"/>
                <w:shd w:val="clear" w:color="auto" w:fill="FFFFFF"/>
              </w:rPr>
            </w:pPr>
            <w:r>
              <w:rPr>
                <w:sz w:val="24"/>
                <w:szCs w:val="32"/>
              </w:rPr>
              <w:t>本项目纳污水体为</w:t>
            </w:r>
            <w:r>
              <w:rPr>
                <w:rFonts w:hint="eastAsia"/>
                <w:sz w:val="24"/>
                <w:szCs w:val="32"/>
              </w:rPr>
              <w:t>派河</w:t>
            </w:r>
            <w:r>
              <w:rPr>
                <w:sz w:val="24"/>
                <w:szCs w:val="32"/>
              </w:rPr>
              <w:t>，</w:t>
            </w:r>
            <w:r>
              <w:rPr>
                <w:sz w:val="24"/>
              </w:rPr>
              <w:t>根据《202</w:t>
            </w:r>
            <w:r>
              <w:rPr>
                <w:rFonts w:hint="eastAsia"/>
                <w:sz w:val="24"/>
              </w:rPr>
              <w:t>2</w:t>
            </w:r>
            <w:r>
              <w:rPr>
                <w:sz w:val="24"/>
              </w:rPr>
              <w:t>年合肥市生态环境状况公报》</w:t>
            </w:r>
            <w:r>
              <w:rPr>
                <w:rFonts w:hint="eastAsia"/>
                <w:sz w:val="24"/>
              </w:rPr>
              <w:t>，本项目区域地表水</w:t>
            </w:r>
            <w:r>
              <w:rPr>
                <w:sz w:val="24"/>
              </w:rPr>
              <w:t>派河的氨氮</w:t>
            </w:r>
            <w:r>
              <w:rPr>
                <w:rFonts w:hint="eastAsia"/>
                <w:sz w:val="24"/>
              </w:rPr>
              <w:t>、化学需氧量</w:t>
            </w:r>
            <w:r>
              <w:rPr>
                <w:sz w:val="24"/>
              </w:rPr>
              <w:t>和总磷浓度均呈下降趋势</w:t>
            </w:r>
            <w:r>
              <w:rPr>
                <w:rFonts w:hint="eastAsia"/>
                <w:sz w:val="24"/>
              </w:rPr>
              <w:t>，</w:t>
            </w:r>
            <w:r>
              <w:rPr>
                <w:sz w:val="24"/>
              </w:rPr>
              <w:t>派河氨氮</w:t>
            </w:r>
            <w:r>
              <w:rPr>
                <w:rFonts w:hint="eastAsia"/>
                <w:sz w:val="24"/>
              </w:rPr>
              <w:t>、化学需氧量和</w:t>
            </w:r>
            <w:r>
              <w:rPr>
                <w:sz w:val="24"/>
              </w:rPr>
              <w:t>总磷浓度分别为0.</w:t>
            </w:r>
            <w:r>
              <w:rPr>
                <w:rFonts w:hint="eastAsia"/>
                <w:sz w:val="24"/>
              </w:rPr>
              <w:t>57</w:t>
            </w:r>
            <w:r>
              <w:rPr>
                <w:sz w:val="24"/>
              </w:rPr>
              <w:t>mg/L</w:t>
            </w:r>
            <w:r>
              <w:rPr>
                <w:rFonts w:hint="eastAsia"/>
                <w:sz w:val="24"/>
              </w:rPr>
              <w:t>、14.1</w:t>
            </w:r>
            <w:r>
              <w:rPr>
                <w:sz w:val="24"/>
              </w:rPr>
              <w:t>mg/L</w:t>
            </w:r>
            <w:r>
              <w:rPr>
                <w:rFonts w:hint="eastAsia"/>
                <w:sz w:val="24"/>
              </w:rPr>
              <w:t>和0.112</w:t>
            </w:r>
            <w:r>
              <w:rPr>
                <w:sz w:val="24"/>
              </w:rPr>
              <w:t>mg/L，较去年同期分别下降</w:t>
            </w:r>
            <w:r>
              <w:rPr>
                <w:rFonts w:hint="eastAsia"/>
                <w:sz w:val="24"/>
              </w:rPr>
              <w:t>35.96</w:t>
            </w:r>
            <w:r>
              <w:rPr>
                <w:sz w:val="24"/>
              </w:rPr>
              <w:t>%</w:t>
            </w:r>
            <w:r>
              <w:rPr>
                <w:rFonts w:hint="eastAsia"/>
                <w:sz w:val="24"/>
              </w:rPr>
              <w:t>、22.53%</w:t>
            </w:r>
            <w:r>
              <w:rPr>
                <w:sz w:val="24"/>
              </w:rPr>
              <w:t>和</w:t>
            </w:r>
            <w:r>
              <w:rPr>
                <w:rFonts w:hint="eastAsia"/>
                <w:sz w:val="24"/>
              </w:rPr>
              <w:t>22.76</w:t>
            </w:r>
            <w:r>
              <w:rPr>
                <w:sz w:val="24"/>
              </w:rPr>
              <w:t>%。根据合肥市《南淝河、十五里河、派河、双桥河水体达标方案》，拟通过外源截污、底泥清淤、水生生态修复、旁路人工湿地净化、生态补水，加强周边企业监管，严格环境执法、完善排污许可制度和总量控制等措施。</w:t>
            </w:r>
          </w:p>
          <w:p>
            <w:pPr>
              <w:spacing w:line="360" w:lineRule="auto"/>
              <w:ind w:firstLine="482" w:firstLineChars="200"/>
              <w:rPr>
                <w:b/>
                <w:bCs/>
                <w:sz w:val="24"/>
              </w:rPr>
            </w:pPr>
            <w:r>
              <w:rPr>
                <w:b/>
                <w:bCs/>
                <w:sz w:val="24"/>
              </w:rPr>
              <w:t>（三）声环境质量现状</w:t>
            </w:r>
          </w:p>
          <w:p>
            <w:pPr>
              <w:pStyle w:val="6"/>
              <w:spacing w:line="360" w:lineRule="auto"/>
              <w:ind w:firstLine="480"/>
              <w:rPr>
                <w:bCs/>
                <w:sz w:val="24"/>
                <w:szCs w:val="28"/>
              </w:rPr>
            </w:pPr>
            <w:r>
              <w:rPr>
                <w:bCs/>
                <w:sz w:val="24"/>
                <w:szCs w:val="28"/>
              </w:rPr>
              <w:t>根据《合肥市声环境功能区划2016-2020》，本评价项目所在区域为《声环境质量标准》（GB3096-2008）中3类区。项目厂界外周边50米范围内无声环境保护目标，根据《建设项目环境影响报告表编制技术指南》要求，本次不进行声环境质量现状评价。</w:t>
            </w:r>
          </w:p>
          <w:p>
            <w:pPr>
              <w:adjustRightInd w:val="0"/>
              <w:snapToGrid w:val="0"/>
              <w:spacing w:line="360" w:lineRule="auto"/>
              <w:ind w:firstLine="482" w:firstLineChars="200"/>
              <w:rPr>
                <w:b/>
                <w:bCs/>
                <w:sz w:val="24"/>
                <w:szCs w:val="32"/>
              </w:rPr>
            </w:pPr>
            <w:r>
              <w:rPr>
                <w:rFonts w:hint="eastAsia"/>
                <w:b/>
                <w:bCs/>
                <w:sz w:val="24"/>
                <w:szCs w:val="32"/>
              </w:rPr>
              <w:t>（四）地下水和土壤环境质量现状</w:t>
            </w:r>
          </w:p>
          <w:p>
            <w:pPr>
              <w:adjustRightInd w:val="0"/>
              <w:snapToGrid w:val="0"/>
              <w:spacing w:line="360" w:lineRule="auto"/>
              <w:ind w:firstLine="480" w:firstLineChars="200"/>
              <w:rPr>
                <w:sz w:val="24"/>
                <w:szCs w:val="32"/>
              </w:rPr>
            </w:pPr>
            <w:r>
              <w:rPr>
                <w:rFonts w:hint="eastAsia"/>
                <w:sz w:val="24"/>
                <w:szCs w:val="32"/>
              </w:rPr>
              <w:t>本项目建设的污水收集管网采取严格的防泄漏、防渗措施，对地下水、土壤无不利影响，根据《建设项目环境影响报告表编制技术指南（污染影响类）》（试行），无需对地下水、土壤背景值进行调查。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adjustRightInd w:val="0"/>
              <w:snapToGrid w:val="0"/>
              <w:jc w:val="center"/>
              <w:rPr>
                <w:b/>
                <w:kern w:val="0"/>
                <w:szCs w:val="21"/>
              </w:rPr>
            </w:pPr>
            <w:r>
              <w:rPr>
                <w:b/>
                <w:kern w:val="0"/>
                <w:szCs w:val="21"/>
              </w:rPr>
              <w:t>环境</w:t>
            </w:r>
          </w:p>
          <w:p>
            <w:pPr>
              <w:adjustRightInd w:val="0"/>
              <w:snapToGrid w:val="0"/>
              <w:jc w:val="center"/>
              <w:rPr>
                <w:b/>
                <w:kern w:val="0"/>
                <w:szCs w:val="21"/>
              </w:rPr>
            </w:pPr>
            <w:r>
              <w:rPr>
                <w:b/>
                <w:kern w:val="0"/>
                <w:szCs w:val="21"/>
              </w:rPr>
              <w:t>保护</w:t>
            </w:r>
          </w:p>
          <w:p>
            <w:pPr>
              <w:adjustRightInd w:val="0"/>
              <w:snapToGrid w:val="0"/>
              <w:jc w:val="center"/>
              <w:rPr>
                <w:kern w:val="0"/>
                <w:szCs w:val="21"/>
              </w:rPr>
            </w:pPr>
            <w:r>
              <w:rPr>
                <w:b/>
                <w:kern w:val="0"/>
                <w:szCs w:val="21"/>
              </w:rPr>
              <w:t>目标</w:t>
            </w:r>
          </w:p>
        </w:tc>
        <w:tc>
          <w:tcPr>
            <w:tcW w:w="8862" w:type="dxa"/>
            <w:vAlign w:val="center"/>
          </w:tcPr>
          <w:p>
            <w:pPr>
              <w:adjustRightInd w:val="0"/>
              <w:snapToGrid w:val="0"/>
              <w:spacing w:line="360" w:lineRule="auto"/>
              <w:ind w:firstLine="480" w:firstLineChars="200"/>
              <w:jc w:val="left"/>
              <w:rPr>
                <w:sz w:val="24"/>
              </w:rPr>
            </w:pPr>
            <w:r>
              <w:rPr>
                <w:sz w:val="24"/>
              </w:rPr>
              <w:t>本项目位于</w:t>
            </w:r>
            <w:r>
              <w:rPr>
                <w:rFonts w:hint="eastAsia"/>
                <w:sz w:val="24"/>
              </w:rPr>
              <w:t>合肥市高新技术产业开发区明珠产业园2C-3</w:t>
            </w:r>
            <w:r>
              <w:rPr>
                <w:rFonts w:hint="eastAsia"/>
                <w:sz w:val="24"/>
                <w:lang w:eastAsia="zh-CN"/>
              </w:rPr>
              <w:t>（</w:t>
            </w:r>
            <w:r>
              <w:rPr>
                <w:rFonts w:hint="eastAsia"/>
                <w:sz w:val="24"/>
                <w:lang w:val="en-US" w:eastAsia="zh-CN"/>
              </w:rPr>
              <w:t>2号楼3楼C区</w:t>
            </w:r>
            <w:r>
              <w:rPr>
                <w:rFonts w:hint="eastAsia"/>
                <w:sz w:val="24"/>
                <w:lang w:eastAsia="zh-CN"/>
              </w:rPr>
              <w:t>）</w:t>
            </w:r>
            <w:r>
              <w:rPr>
                <w:sz w:val="24"/>
              </w:rPr>
              <w:t>，</w:t>
            </w:r>
            <w:r>
              <w:rPr>
                <w:rFonts w:hint="eastAsia"/>
                <w:sz w:val="24"/>
              </w:rPr>
              <w:t>租赁明珠产业园现有标准化厂房，</w:t>
            </w:r>
            <w:r>
              <w:rPr>
                <w:sz w:val="24"/>
              </w:rPr>
              <w:t>项目</w:t>
            </w:r>
            <w:r>
              <w:rPr>
                <w:rFonts w:hint="eastAsia"/>
                <w:sz w:val="24"/>
              </w:rPr>
              <w:t>所在明珠产业园</w:t>
            </w:r>
            <w:r>
              <w:rPr>
                <w:sz w:val="24"/>
              </w:rPr>
              <w:t>东侧</w:t>
            </w:r>
            <w:r>
              <w:rPr>
                <w:rFonts w:hint="eastAsia"/>
                <w:sz w:val="24"/>
              </w:rPr>
              <w:t>为合肥高新公交公司，南侧为联创高新产业园、西侧</w:t>
            </w:r>
            <w:r>
              <w:rPr>
                <w:sz w:val="24"/>
              </w:rPr>
              <w:t>为</w:t>
            </w:r>
            <w:r>
              <w:rPr>
                <w:rFonts w:hint="eastAsia"/>
                <w:sz w:val="24"/>
              </w:rPr>
              <w:t>高新区大数据产业园、北</w:t>
            </w:r>
            <w:r>
              <w:rPr>
                <w:sz w:val="24"/>
              </w:rPr>
              <w:t>侧为</w:t>
            </w:r>
            <w:r>
              <w:rPr>
                <w:rFonts w:hint="eastAsia"/>
                <w:sz w:val="24"/>
              </w:rPr>
              <w:t>空地</w:t>
            </w:r>
            <w:r>
              <w:rPr>
                <w:rStyle w:val="31"/>
                <w:rFonts w:hint="eastAsia"/>
                <w:kern w:val="0"/>
                <w:szCs w:val="20"/>
                <w:lang w:eastAsia="zh-CN"/>
              </w:rPr>
              <w:t>；</w:t>
            </w:r>
            <w:r>
              <w:rPr>
                <w:rStyle w:val="31"/>
                <w:rFonts w:hint="eastAsia"/>
                <w:kern w:val="0"/>
                <w:sz w:val="24"/>
                <w:szCs w:val="24"/>
                <w:lang w:eastAsia="zh-CN"/>
              </w:rPr>
              <w:t>项目所在楼层为</w:t>
            </w:r>
            <w:r>
              <w:rPr>
                <w:rStyle w:val="31"/>
                <w:rFonts w:hint="eastAsia"/>
                <w:kern w:val="0"/>
                <w:sz w:val="24"/>
                <w:szCs w:val="24"/>
                <w:lang w:val="en-US" w:eastAsia="zh-CN"/>
              </w:rPr>
              <w:t>3楼，四楼为合肥康特微科技有限公司，2楼为闲置厂房</w:t>
            </w:r>
            <w:r>
              <w:rPr>
                <w:sz w:val="24"/>
                <w:szCs w:val="24"/>
              </w:rPr>
              <w:t>。</w:t>
            </w:r>
            <w:r>
              <w:rPr>
                <w:sz w:val="24"/>
              </w:rPr>
              <w:t>本项目周边环境保护目标情况如下：</w:t>
            </w:r>
          </w:p>
          <w:p>
            <w:pPr>
              <w:adjustRightInd w:val="0"/>
              <w:snapToGrid w:val="0"/>
              <w:spacing w:line="360" w:lineRule="auto"/>
              <w:ind w:firstLine="480" w:firstLineChars="200"/>
              <w:rPr>
                <w:sz w:val="24"/>
              </w:rPr>
            </w:pPr>
            <w:r>
              <w:rPr>
                <w:rFonts w:hint="eastAsia"/>
                <w:sz w:val="24"/>
              </w:rPr>
              <w:t>1、</w:t>
            </w:r>
            <w:r>
              <w:rPr>
                <w:sz w:val="24"/>
              </w:rPr>
              <w:t>大气环境；本项目厂界外500m范围内</w:t>
            </w:r>
            <w:r>
              <w:rPr>
                <w:rFonts w:hint="eastAsia"/>
                <w:sz w:val="24"/>
              </w:rPr>
              <w:t>无</w:t>
            </w:r>
            <w:r>
              <w:rPr>
                <w:sz w:val="24"/>
              </w:rPr>
              <w:t>环境保护目标</w:t>
            </w:r>
            <w:r>
              <w:rPr>
                <w:rFonts w:hint="eastAsia"/>
                <w:sz w:val="24"/>
              </w:rPr>
              <w:t>；</w:t>
            </w:r>
          </w:p>
          <w:p>
            <w:pPr>
              <w:adjustRightInd w:val="0"/>
              <w:snapToGrid w:val="0"/>
              <w:spacing w:line="360" w:lineRule="auto"/>
              <w:ind w:firstLine="480" w:firstLineChars="200"/>
              <w:rPr>
                <w:sz w:val="24"/>
              </w:rPr>
            </w:pPr>
            <w:r>
              <w:rPr>
                <w:rFonts w:hint="eastAsia"/>
                <w:sz w:val="24"/>
              </w:rPr>
              <w:t>2</w:t>
            </w:r>
            <w:r>
              <w:rPr>
                <w:sz w:val="24"/>
              </w:rPr>
              <w:t>、声环境：本项目厂界外50m无声环境保护目标；</w:t>
            </w:r>
          </w:p>
          <w:p>
            <w:pPr>
              <w:adjustRightInd w:val="0"/>
              <w:snapToGrid w:val="0"/>
              <w:spacing w:line="360" w:lineRule="auto"/>
              <w:ind w:firstLine="480" w:firstLineChars="200"/>
              <w:rPr>
                <w:sz w:val="24"/>
              </w:rPr>
            </w:pPr>
            <w:r>
              <w:rPr>
                <w:rFonts w:hint="eastAsia"/>
                <w:sz w:val="24"/>
              </w:rPr>
              <w:t>3</w:t>
            </w:r>
            <w:r>
              <w:rPr>
                <w:sz w:val="24"/>
              </w:rPr>
              <w:t>、地下水环境：本项目厂界外500m范围内无特殊地下水资源；</w:t>
            </w:r>
          </w:p>
          <w:p>
            <w:pPr>
              <w:adjustRightInd w:val="0"/>
              <w:snapToGrid w:val="0"/>
              <w:spacing w:line="360" w:lineRule="auto"/>
              <w:ind w:firstLine="480" w:firstLineChars="200"/>
            </w:pPr>
            <w:r>
              <w:rPr>
                <w:rFonts w:hint="eastAsia"/>
                <w:sz w:val="24"/>
              </w:rPr>
              <w:t>4</w:t>
            </w:r>
            <w:r>
              <w:rPr>
                <w:sz w:val="24"/>
              </w:rPr>
              <w:t>、生态环境：本项目不涉及生态环境保护目标</w:t>
            </w:r>
            <w:r>
              <w:rPr>
                <w:rFonts w:hint="eastAsia"/>
                <w:sz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Mar>
              <w:left w:w="28" w:type="dxa"/>
              <w:right w:w="28" w:type="dxa"/>
            </w:tcMar>
            <w:vAlign w:val="center"/>
          </w:tcPr>
          <w:p>
            <w:pPr>
              <w:adjustRightInd w:val="0"/>
              <w:snapToGrid w:val="0"/>
              <w:jc w:val="center"/>
              <w:rPr>
                <w:b/>
                <w:kern w:val="0"/>
                <w:szCs w:val="21"/>
              </w:rPr>
            </w:pPr>
            <w:r>
              <w:rPr>
                <w:b/>
                <w:kern w:val="0"/>
                <w:szCs w:val="21"/>
              </w:rPr>
              <w:t>污染</w:t>
            </w:r>
          </w:p>
          <w:p>
            <w:pPr>
              <w:adjustRightInd w:val="0"/>
              <w:snapToGrid w:val="0"/>
              <w:jc w:val="center"/>
              <w:rPr>
                <w:b/>
                <w:kern w:val="0"/>
                <w:szCs w:val="21"/>
              </w:rPr>
            </w:pPr>
            <w:r>
              <w:rPr>
                <w:b/>
                <w:kern w:val="0"/>
                <w:szCs w:val="21"/>
              </w:rPr>
              <w:t>物排</w:t>
            </w:r>
          </w:p>
          <w:p>
            <w:pPr>
              <w:adjustRightInd w:val="0"/>
              <w:snapToGrid w:val="0"/>
              <w:jc w:val="center"/>
              <w:rPr>
                <w:b/>
                <w:kern w:val="0"/>
                <w:szCs w:val="21"/>
              </w:rPr>
            </w:pPr>
            <w:r>
              <w:rPr>
                <w:b/>
                <w:kern w:val="0"/>
                <w:szCs w:val="21"/>
              </w:rPr>
              <w:t>放控</w:t>
            </w:r>
          </w:p>
          <w:p>
            <w:pPr>
              <w:adjustRightInd w:val="0"/>
              <w:snapToGrid w:val="0"/>
              <w:jc w:val="center"/>
              <w:rPr>
                <w:b/>
                <w:kern w:val="0"/>
                <w:szCs w:val="21"/>
              </w:rPr>
            </w:pPr>
            <w:r>
              <w:rPr>
                <w:b/>
                <w:kern w:val="0"/>
                <w:szCs w:val="21"/>
              </w:rPr>
              <w:t>制标</w:t>
            </w:r>
          </w:p>
          <w:p>
            <w:pPr>
              <w:adjustRightInd w:val="0"/>
              <w:snapToGrid w:val="0"/>
              <w:jc w:val="center"/>
              <w:rPr>
                <w:kern w:val="0"/>
                <w:szCs w:val="21"/>
              </w:rPr>
            </w:pPr>
            <w:r>
              <w:rPr>
                <w:b/>
                <w:kern w:val="0"/>
                <w:szCs w:val="21"/>
              </w:rPr>
              <w:t>准</w:t>
            </w:r>
          </w:p>
        </w:tc>
        <w:tc>
          <w:tcPr>
            <w:tcW w:w="8862" w:type="dxa"/>
            <w:vAlign w:val="center"/>
          </w:tcPr>
          <w:p>
            <w:pPr>
              <w:spacing w:line="360" w:lineRule="auto"/>
              <w:ind w:firstLine="482" w:firstLineChars="200"/>
              <w:rPr>
                <w:b/>
                <w:bCs/>
                <w:sz w:val="24"/>
              </w:rPr>
            </w:pPr>
            <w:r>
              <w:rPr>
                <w:b/>
                <w:bCs/>
                <w:sz w:val="24"/>
              </w:rPr>
              <w:t>1、废水</w:t>
            </w:r>
          </w:p>
          <w:p>
            <w:pPr>
              <w:spacing w:line="360" w:lineRule="auto"/>
              <w:ind w:firstLine="480" w:firstLineChars="200"/>
              <w:rPr>
                <w:sz w:val="24"/>
              </w:rPr>
            </w:pPr>
            <w:r>
              <w:rPr>
                <w:sz w:val="24"/>
              </w:rPr>
              <w:t>本项目废水总排放口污染物排放执行</w:t>
            </w:r>
            <w:r>
              <w:rPr>
                <w:rFonts w:hint="eastAsia"/>
                <w:sz w:val="24"/>
              </w:rPr>
              <w:t>《电子工业水污染物排放标准》（GB39731-2020）和</w:t>
            </w:r>
            <w:r>
              <w:rPr>
                <w:sz w:val="24"/>
              </w:rPr>
              <w:t>西部组团污水处理厂接管限值，西部组团污水处理厂出水执行《巢湖流域城镇污水处理厂和工业行业主要水污染物排放限值》（DB 34/2710-2016）（限值未规定的执行《城镇污水处理厂污染物排放标准》（GB18918-2002）一级标准中A标准）。具体标准值见下表。</w:t>
            </w:r>
          </w:p>
          <w:p>
            <w:pPr>
              <w:widowControl/>
              <w:numPr>
                <w:ilvl w:val="0"/>
                <w:numId w:val="1"/>
              </w:numPr>
              <w:jc w:val="center"/>
              <w:rPr>
                <w:b/>
                <w:kern w:val="0"/>
                <w:szCs w:val="21"/>
              </w:rPr>
            </w:pPr>
            <w:r>
              <w:rPr>
                <w:b/>
                <w:kern w:val="0"/>
                <w:szCs w:val="21"/>
              </w:rPr>
              <w:t xml:space="preserve">  废水污染物排放标准  单位：mg/L，pH无量纲</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9"/>
              <w:gridCol w:w="497"/>
              <w:gridCol w:w="683"/>
              <w:gridCol w:w="740"/>
              <w:gridCol w:w="647"/>
              <w:gridCol w:w="821"/>
              <w:gridCol w:w="594"/>
              <w:gridCol w:w="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污染物</w:t>
                  </w:r>
                </w:p>
              </w:tc>
              <w:tc>
                <w:tcPr>
                  <w:tcW w:w="0" w:type="auto"/>
                  <w:vAlign w:val="center"/>
                </w:tcPr>
                <w:p>
                  <w:pPr>
                    <w:tabs>
                      <w:tab w:val="right" w:leader="middleDot" w:pos="8505"/>
                    </w:tabs>
                    <w:jc w:val="center"/>
                    <w:rPr>
                      <w:rFonts w:hint="default" w:ascii="Times New Roman" w:hAnsi="Times New Roman" w:cs="Times New Roman"/>
                      <w:b/>
                      <w:sz w:val="21"/>
                      <w:szCs w:val="21"/>
                    </w:rPr>
                  </w:pPr>
                  <w:r>
                    <w:rPr>
                      <w:rFonts w:hint="default" w:ascii="Times New Roman" w:hAnsi="Times New Roman" w:cs="Times New Roman"/>
                      <w:b/>
                      <w:sz w:val="21"/>
                      <w:szCs w:val="21"/>
                    </w:rPr>
                    <w:t>pH</w:t>
                  </w:r>
                </w:p>
              </w:tc>
              <w:tc>
                <w:tcPr>
                  <w:tcW w:w="0" w:type="auto"/>
                  <w:vAlign w:val="center"/>
                </w:tcPr>
                <w:p>
                  <w:pPr>
                    <w:tabs>
                      <w:tab w:val="right" w:leader="middleDot" w:pos="8505"/>
                    </w:tabs>
                    <w:jc w:val="center"/>
                    <w:rPr>
                      <w:rFonts w:hint="default" w:ascii="Times New Roman" w:hAnsi="Times New Roman" w:cs="Times New Roman"/>
                      <w:b/>
                      <w:sz w:val="21"/>
                      <w:szCs w:val="21"/>
                    </w:rPr>
                  </w:pPr>
                  <w:r>
                    <w:rPr>
                      <w:rFonts w:hint="default" w:ascii="Times New Roman" w:hAnsi="Times New Roman" w:cs="Times New Roman"/>
                      <w:b/>
                      <w:sz w:val="21"/>
                      <w:szCs w:val="21"/>
                    </w:rPr>
                    <w:t>COD</w:t>
                  </w:r>
                </w:p>
              </w:tc>
              <w:tc>
                <w:tcPr>
                  <w:tcW w:w="0" w:type="auto"/>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BOD</w:t>
                  </w:r>
                  <w:r>
                    <w:rPr>
                      <w:rFonts w:hint="default" w:ascii="Times New Roman" w:hAnsi="Times New Roman" w:cs="Times New Roman"/>
                      <w:b/>
                      <w:sz w:val="21"/>
                      <w:szCs w:val="21"/>
                      <w:vertAlign w:val="subscript"/>
                    </w:rPr>
                    <w:t>5</w:t>
                  </w:r>
                </w:p>
              </w:tc>
              <w:tc>
                <w:tcPr>
                  <w:tcW w:w="0" w:type="auto"/>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SS</w:t>
                  </w:r>
                </w:p>
              </w:tc>
              <w:tc>
                <w:tcPr>
                  <w:tcW w:w="0" w:type="auto"/>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NH</w:t>
                  </w:r>
                  <w:r>
                    <w:rPr>
                      <w:rFonts w:hint="default" w:ascii="Times New Roman" w:hAnsi="Times New Roman" w:cs="Times New Roman"/>
                      <w:b/>
                      <w:sz w:val="21"/>
                      <w:szCs w:val="21"/>
                      <w:vertAlign w:val="subscript"/>
                    </w:rPr>
                    <w:t>3</w:t>
                  </w:r>
                  <w:r>
                    <w:rPr>
                      <w:rFonts w:hint="default" w:ascii="Times New Roman" w:hAnsi="Times New Roman" w:cs="Times New Roman"/>
                      <w:b/>
                      <w:sz w:val="21"/>
                      <w:szCs w:val="21"/>
                    </w:rPr>
                    <w:t>-N</w:t>
                  </w:r>
                </w:p>
              </w:tc>
              <w:tc>
                <w:tcPr>
                  <w:tcW w:w="0" w:type="auto"/>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TP</w:t>
                  </w:r>
                </w:p>
              </w:tc>
              <w:tc>
                <w:tcPr>
                  <w:tcW w:w="0" w:type="auto"/>
                  <w:vAlign w:val="center"/>
                </w:tcPr>
                <w:p>
                  <w:pPr>
                    <w:jc w:val="center"/>
                    <w:rPr>
                      <w:rFonts w:hint="default" w:ascii="Times New Roman" w:hAnsi="Times New Roman" w:cs="Times New Roman"/>
                      <w:b/>
                      <w:sz w:val="21"/>
                      <w:szCs w:val="21"/>
                    </w:rPr>
                  </w:pPr>
                  <w:r>
                    <w:rPr>
                      <w:rFonts w:hint="default" w:ascii="Times New Roman" w:hAnsi="Times New Roman" w:cs="Times New Roman"/>
                      <w:b/>
                      <w:sz w:val="21"/>
                      <w:szCs w:val="21"/>
                    </w:rPr>
                    <w:t>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default" w:ascii="Times New Roman" w:hAnsi="Times New Roman" w:cs="Times New Roman"/>
                      <w:bCs/>
                      <w:sz w:val="21"/>
                      <w:szCs w:val="21"/>
                    </w:rPr>
                  </w:pPr>
                  <w:r>
                    <w:rPr>
                      <w:rFonts w:hint="default" w:ascii="Times New Roman" w:hAnsi="Times New Roman" w:cs="Times New Roman"/>
                      <w:bCs/>
                      <w:sz w:val="21"/>
                      <w:szCs w:val="21"/>
                    </w:rPr>
                    <w:t>电子工业水污染物排放标准（GB39731-2020）</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6-9</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500</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400</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45</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6</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default" w:ascii="Times New Roman" w:hAnsi="Times New Roman" w:cs="Times New Roman"/>
                      <w:sz w:val="21"/>
                      <w:szCs w:val="21"/>
                    </w:rPr>
                  </w:pPr>
                  <w:r>
                    <w:rPr>
                      <w:rFonts w:hint="default" w:ascii="Times New Roman" w:hAnsi="Times New Roman" w:cs="Times New Roman"/>
                      <w:bCs/>
                      <w:sz w:val="21"/>
                      <w:szCs w:val="21"/>
                    </w:rPr>
                    <w:t>西部组团污水处理厂接管标准</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6-9</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350</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180</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250</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35</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6</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default" w:ascii="Times New Roman" w:hAnsi="Times New Roman" w:cs="Times New Roman"/>
                      <w:bCs/>
                      <w:sz w:val="21"/>
                      <w:szCs w:val="21"/>
                    </w:rPr>
                  </w:pPr>
                  <w:r>
                    <w:rPr>
                      <w:rFonts w:hint="default" w:ascii="Times New Roman" w:hAnsi="Times New Roman" w:cs="Times New Roman"/>
                      <w:bCs/>
                      <w:sz w:val="21"/>
                      <w:szCs w:val="21"/>
                    </w:rPr>
                    <w:t>本项目总排口废水排放标准</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6-9</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350</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180</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250</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35</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6</w:t>
                  </w:r>
                </w:p>
              </w:tc>
              <w:tc>
                <w:tcPr>
                  <w:tcW w:w="0" w:type="auto"/>
                  <w:vAlign w:val="center"/>
                </w:tcPr>
                <w:p>
                  <w:pPr>
                    <w:pStyle w:val="15"/>
                    <w:jc w:val="center"/>
                    <w:rPr>
                      <w:rFonts w:hint="default" w:ascii="Times New Roman" w:hAnsi="Times New Roman" w:cs="Times New Roman"/>
                      <w:kern w:val="2"/>
                      <w:sz w:val="21"/>
                      <w:szCs w:val="21"/>
                    </w:rPr>
                  </w:pPr>
                  <w:r>
                    <w:rPr>
                      <w:rFonts w:hint="default" w:ascii="Times New Roman" w:hAnsi="Times New Roman" w:cs="Times New Roman"/>
                      <w:sz w:val="21"/>
                      <w:szCs w:val="21"/>
                    </w:rPr>
                    <w:t>≤</w:t>
                  </w:r>
                  <w:r>
                    <w:rPr>
                      <w:rFonts w:hint="default" w:ascii="Times New Roman" w:hAnsi="Times New Roman" w:cs="Times New Roman"/>
                      <w:kern w:val="2"/>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西部组团污水处理厂出水执行标准</w:t>
                  </w:r>
                </w:p>
              </w:tc>
              <w:tc>
                <w:tcPr>
                  <w:tcW w:w="0" w:type="auto"/>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6-9</w:t>
                  </w:r>
                </w:p>
              </w:tc>
              <w:tc>
                <w:tcPr>
                  <w:tcW w:w="0" w:type="auto"/>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≤40</w:t>
                  </w:r>
                </w:p>
              </w:tc>
              <w:tc>
                <w:tcPr>
                  <w:tcW w:w="0" w:type="auto"/>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0" w:type="auto"/>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0" w:type="auto"/>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0" w:type="auto"/>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≤0.3</w:t>
                  </w:r>
                </w:p>
              </w:tc>
              <w:tc>
                <w:tcPr>
                  <w:tcW w:w="0" w:type="auto"/>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w:t>
                  </w:r>
                </w:p>
              </w:tc>
            </w:tr>
          </w:tbl>
          <w:p>
            <w:pPr>
              <w:spacing w:line="360" w:lineRule="auto"/>
              <w:ind w:firstLine="482" w:firstLineChars="200"/>
              <w:rPr>
                <w:b/>
                <w:bCs/>
                <w:sz w:val="24"/>
              </w:rPr>
            </w:pPr>
            <w:r>
              <w:rPr>
                <w:b/>
                <w:bCs/>
                <w:sz w:val="24"/>
              </w:rPr>
              <w:t>2、废气</w:t>
            </w:r>
          </w:p>
          <w:p>
            <w:pPr>
              <w:pStyle w:val="2"/>
              <w:spacing w:before="0" w:after="0" w:line="360" w:lineRule="auto"/>
              <w:ind w:firstLine="480" w:firstLineChars="200"/>
              <w:rPr>
                <w:rFonts w:ascii="Times New Roman" w:hAnsi="Times New Roman"/>
                <w:b w:val="0"/>
                <w:bCs w:val="0"/>
                <w:sz w:val="24"/>
                <w:szCs w:val="21"/>
              </w:rPr>
            </w:pPr>
            <w:r>
              <w:rPr>
                <w:rFonts w:ascii="Times New Roman" w:hAnsi="Times New Roman"/>
                <w:b w:val="0"/>
                <w:sz w:val="24"/>
                <w:szCs w:val="24"/>
              </w:rPr>
              <w:t>本项目非甲烷总烃</w:t>
            </w:r>
            <w:r>
              <w:rPr>
                <w:rFonts w:hint="eastAsia" w:ascii="Times New Roman" w:hAnsi="Times New Roman"/>
                <w:b w:val="0"/>
                <w:sz w:val="24"/>
                <w:szCs w:val="24"/>
              </w:rPr>
              <w:t>、氯化氢</w:t>
            </w:r>
            <w:r>
              <w:rPr>
                <w:rFonts w:ascii="Times New Roman" w:hAnsi="Times New Roman"/>
                <w:b w:val="0"/>
                <w:sz w:val="24"/>
                <w:szCs w:val="24"/>
              </w:rPr>
              <w:t>排放参照执行上海市《大气污染物综合排放标准》（DB31933-2015）中表1、表3排放限值；厂区内VOC</w:t>
            </w:r>
            <w:r>
              <w:rPr>
                <w:rFonts w:ascii="Times New Roman" w:hAnsi="Times New Roman"/>
                <w:b w:val="0"/>
                <w:sz w:val="24"/>
                <w:szCs w:val="24"/>
                <w:vertAlign w:val="subscript"/>
              </w:rPr>
              <w:t>S</w:t>
            </w:r>
            <w:r>
              <w:rPr>
                <w:rFonts w:ascii="Times New Roman" w:hAnsi="Times New Roman"/>
                <w:b w:val="0"/>
                <w:sz w:val="24"/>
                <w:szCs w:val="24"/>
              </w:rPr>
              <w:t>无组织排放执行《挥发性有机物无组织排放控制标准》（GB37822-2019）中特别排放限值；具体排放限值见下表。</w:t>
            </w:r>
          </w:p>
          <w:p>
            <w:pPr>
              <w:widowControl/>
              <w:numPr>
                <w:ilvl w:val="0"/>
                <w:numId w:val="1"/>
              </w:numPr>
              <w:jc w:val="center"/>
              <w:rPr>
                <w:b/>
                <w:kern w:val="0"/>
                <w:szCs w:val="21"/>
              </w:rPr>
            </w:pPr>
            <w:r>
              <w:rPr>
                <w:b/>
                <w:kern w:val="0"/>
                <w:szCs w:val="21"/>
              </w:rPr>
              <w:t xml:space="preserve">  废气排放标准一览表</w:t>
            </w:r>
          </w:p>
          <w:tbl>
            <w:tblPr>
              <w:tblStyle w:val="24"/>
              <w:tblW w:w="4993"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28" w:type="dxa"/>
                <w:left w:w="28" w:type="dxa"/>
                <w:bottom w:w="28" w:type="dxa"/>
                <w:right w:w="28" w:type="dxa"/>
              </w:tblCellMar>
            </w:tblPr>
            <w:tblGrid>
              <w:gridCol w:w="1251"/>
              <w:gridCol w:w="1300"/>
              <w:gridCol w:w="1193"/>
              <w:gridCol w:w="1015"/>
              <w:gridCol w:w="1539"/>
              <w:gridCol w:w="232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290" w:hRule="atLeast"/>
                <w:jc w:val="center"/>
              </w:trPr>
              <w:tc>
                <w:tcPr>
                  <w:tcW w:w="725" w:type="pct"/>
                  <w:vMerge w:val="restart"/>
                  <w:vAlign w:val="center"/>
                </w:tcPr>
                <w:p>
                  <w:pPr>
                    <w:jc w:val="center"/>
                    <w:rPr>
                      <w:b/>
                      <w:bCs/>
                      <w:snapToGrid w:val="0"/>
                      <w:kern w:val="0"/>
                      <w:szCs w:val="21"/>
                    </w:rPr>
                  </w:pPr>
                  <w:r>
                    <w:rPr>
                      <w:b/>
                      <w:bCs/>
                      <w:snapToGrid w:val="0"/>
                      <w:kern w:val="0"/>
                      <w:szCs w:val="21"/>
                    </w:rPr>
                    <w:t>污染</w:t>
                  </w:r>
                </w:p>
                <w:p>
                  <w:pPr>
                    <w:jc w:val="center"/>
                    <w:rPr>
                      <w:b/>
                      <w:bCs/>
                      <w:snapToGrid w:val="0"/>
                      <w:kern w:val="0"/>
                      <w:szCs w:val="21"/>
                    </w:rPr>
                  </w:pPr>
                  <w:r>
                    <w:rPr>
                      <w:b/>
                      <w:bCs/>
                      <w:snapToGrid w:val="0"/>
                      <w:kern w:val="0"/>
                      <w:szCs w:val="21"/>
                    </w:rPr>
                    <w:t>因子</w:t>
                  </w:r>
                </w:p>
              </w:tc>
              <w:tc>
                <w:tcPr>
                  <w:tcW w:w="1444" w:type="pct"/>
                  <w:gridSpan w:val="2"/>
                  <w:vAlign w:val="center"/>
                </w:tcPr>
                <w:p>
                  <w:pPr>
                    <w:jc w:val="center"/>
                    <w:rPr>
                      <w:b/>
                      <w:bCs/>
                      <w:snapToGrid w:val="0"/>
                      <w:kern w:val="0"/>
                      <w:szCs w:val="21"/>
                    </w:rPr>
                  </w:pPr>
                  <w:r>
                    <w:rPr>
                      <w:b/>
                      <w:bCs/>
                      <w:snapToGrid w:val="0"/>
                      <w:kern w:val="0"/>
                      <w:szCs w:val="21"/>
                    </w:rPr>
                    <w:t>有组织排放限值</w:t>
                  </w:r>
                </w:p>
              </w:tc>
              <w:tc>
                <w:tcPr>
                  <w:tcW w:w="1480" w:type="pct"/>
                  <w:gridSpan w:val="2"/>
                  <w:vAlign w:val="center"/>
                </w:tcPr>
                <w:p>
                  <w:pPr>
                    <w:jc w:val="center"/>
                    <w:rPr>
                      <w:b/>
                      <w:bCs/>
                      <w:snapToGrid w:val="0"/>
                      <w:kern w:val="0"/>
                      <w:szCs w:val="21"/>
                    </w:rPr>
                  </w:pPr>
                  <w:r>
                    <w:rPr>
                      <w:b/>
                      <w:bCs/>
                      <w:snapToGrid w:val="0"/>
                      <w:kern w:val="0"/>
                      <w:szCs w:val="21"/>
                    </w:rPr>
                    <w:t>无组织排放限值</w:t>
                  </w:r>
                </w:p>
              </w:tc>
              <w:tc>
                <w:tcPr>
                  <w:tcW w:w="1349" w:type="pct"/>
                  <w:vMerge w:val="restart"/>
                  <w:vAlign w:val="center"/>
                </w:tcPr>
                <w:p>
                  <w:pPr>
                    <w:jc w:val="center"/>
                    <w:rPr>
                      <w:snapToGrid w:val="0"/>
                      <w:kern w:val="0"/>
                      <w:szCs w:val="21"/>
                    </w:rPr>
                  </w:pPr>
                  <w:r>
                    <w:rPr>
                      <w:b/>
                      <w:bCs/>
                      <w:szCs w:val="21"/>
                    </w:rPr>
                    <w:t>执行标准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548" w:hRule="atLeast"/>
                <w:jc w:val="center"/>
              </w:trPr>
              <w:tc>
                <w:tcPr>
                  <w:tcW w:w="725" w:type="pct"/>
                  <w:vMerge w:val="continue"/>
                  <w:vAlign w:val="center"/>
                </w:tcPr>
                <w:p>
                  <w:pPr>
                    <w:jc w:val="center"/>
                    <w:rPr>
                      <w:b/>
                      <w:bCs/>
                      <w:snapToGrid w:val="0"/>
                      <w:kern w:val="0"/>
                      <w:szCs w:val="21"/>
                    </w:rPr>
                  </w:pPr>
                </w:p>
              </w:tc>
              <w:tc>
                <w:tcPr>
                  <w:tcW w:w="753" w:type="pct"/>
                  <w:vAlign w:val="center"/>
                </w:tcPr>
                <w:p>
                  <w:pPr>
                    <w:jc w:val="center"/>
                    <w:rPr>
                      <w:b/>
                      <w:bCs/>
                      <w:szCs w:val="21"/>
                    </w:rPr>
                  </w:pPr>
                  <w:r>
                    <w:rPr>
                      <w:b/>
                      <w:bCs/>
                      <w:szCs w:val="21"/>
                    </w:rPr>
                    <w:t>排放浓度</w:t>
                  </w:r>
                </w:p>
                <w:p>
                  <w:pPr>
                    <w:jc w:val="center"/>
                    <w:rPr>
                      <w:b/>
                      <w:bCs/>
                      <w:snapToGrid w:val="0"/>
                      <w:kern w:val="0"/>
                      <w:szCs w:val="21"/>
                    </w:rPr>
                  </w:pPr>
                  <w:r>
                    <w:rPr>
                      <w:b/>
                      <w:bCs/>
                      <w:szCs w:val="21"/>
                    </w:rPr>
                    <w:t>（mg/m</w:t>
                  </w:r>
                  <w:r>
                    <w:rPr>
                      <w:b/>
                      <w:bCs/>
                      <w:szCs w:val="21"/>
                      <w:vertAlign w:val="superscript"/>
                    </w:rPr>
                    <w:t>3</w:t>
                  </w:r>
                  <w:r>
                    <w:rPr>
                      <w:b/>
                      <w:bCs/>
                      <w:szCs w:val="21"/>
                    </w:rPr>
                    <w:t>）</w:t>
                  </w:r>
                </w:p>
              </w:tc>
              <w:tc>
                <w:tcPr>
                  <w:tcW w:w="691" w:type="pct"/>
                  <w:vAlign w:val="center"/>
                </w:tcPr>
                <w:p>
                  <w:pPr>
                    <w:jc w:val="center"/>
                    <w:rPr>
                      <w:b/>
                      <w:bCs/>
                      <w:snapToGrid w:val="0"/>
                      <w:kern w:val="0"/>
                      <w:szCs w:val="21"/>
                    </w:rPr>
                  </w:pPr>
                  <w:r>
                    <w:rPr>
                      <w:b/>
                      <w:bCs/>
                      <w:szCs w:val="21"/>
                    </w:rPr>
                    <w:t>排放速率（kg/h）</w:t>
                  </w:r>
                </w:p>
              </w:tc>
              <w:tc>
                <w:tcPr>
                  <w:tcW w:w="588" w:type="pct"/>
                  <w:vAlign w:val="center"/>
                </w:tcPr>
                <w:p>
                  <w:pPr>
                    <w:jc w:val="center"/>
                    <w:rPr>
                      <w:b/>
                      <w:bCs/>
                      <w:snapToGrid w:val="0"/>
                      <w:kern w:val="0"/>
                      <w:szCs w:val="21"/>
                    </w:rPr>
                  </w:pPr>
                  <w:r>
                    <w:rPr>
                      <w:b/>
                      <w:bCs/>
                      <w:snapToGrid w:val="0"/>
                      <w:kern w:val="0"/>
                      <w:szCs w:val="21"/>
                    </w:rPr>
                    <w:t>监控点</w:t>
                  </w:r>
                </w:p>
              </w:tc>
              <w:tc>
                <w:tcPr>
                  <w:tcW w:w="892" w:type="pct"/>
                  <w:vAlign w:val="center"/>
                </w:tcPr>
                <w:p>
                  <w:pPr>
                    <w:jc w:val="center"/>
                    <w:rPr>
                      <w:b/>
                      <w:bCs/>
                      <w:snapToGrid w:val="0"/>
                      <w:kern w:val="0"/>
                      <w:szCs w:val="21"/>
                    </w:rPr>
                  </w:pPr>
                  <w:r>
                    <w:rPr>
                      <w:b/>
                      <w:bCs/>
                      <w:snapToGrid w:val="0"/>
                      <w:kern w:val="0"/>
                      <w:szCs w:val="21"/>
                    </w:rPr>
                    <w:t>浓度</w:t>
                  </w:r>
                </w:p>
                <w:p>
                  <w:pPr>
                    <w:jc w:val="center"/>
                    <w:rPr>
                      <w:b/>
                      <w:bCs/>
                      <w:snapToGrid w:val="0"/>
                      <w:kern w:val="0"/>
                      <w:szCs w:val="21"/>
                    </w:rPr>
                  </w:pPr>
                  <w:r>
                    <w:rPr>
                      <w:b/>
                      <w:bCs/>
                      <w:szCs w:val="21"/>
                    </w:rPr>
                    <w:t>（mg/m</w:t>
                  </w:r>
                  <w:r>
                    <w:rPr>
                      <w:b/>
                      <w:bCs/>
                      <w:szCs w:val="21"/>
                      <w:vertAlign w:val="superscript"/>
                    </w:rPr>
                    <w:t>3</w:t>
                  </w:r>
                  <w:r>
                    <w:rPr>
                      <w:b/>
                      <w:bCs/>
                      <w:szCs w:val="21"/>
                    </w:rPr>
                    <w:t>）</w:t>
                  </w:r>
                </w:p>
              </w:tc>
              <w:tc>
                <w:tcPr>
                  <w:tcW w:w="1349" w:type="pct"/>
                  <w:vMerge w:val="continue"/>
                  <w:vAlign w:val="center"/>
                </w:tcPr>
                <w:p>
                  <w:pPr>
                    <w:jc w:val="center"/>
                    <w:rPr>
                      <w:snapToGrid w:val="0"/>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60" w:hRule="atLeast"/>
                <w:jc w:val="center"/>
              </w:trPr>
              <w:tc>
                <w:tcPr>
                  <w:tcW w:w="725" w:type="pct"/>
                  <w:vAlign w:val="center"/>
                </w:tcPr>
                <w:p>
                  <w:pPr>
                    <w:widowControl/>
                    <w:jc w:val="center"/>
                    <w:textAlignment w:val="center"/>
                    <w:rPr>
                      <w:szCs w:val="21"/>
                    </w:rPr>
                  </w:pPr>
                  <w:r>
                    <w:rPr>
                      <w:rFonts w:hint="eastAsia" w:ascii="宋体" w:hAnsi="宋体" w:cs="宋体"/>
                      <w:kern w:val="0"/>
                      <w:szCs w:val="21"/>
                      <w:lang w:bidi="ar"/>
                    </w:rPr>
                    <w:t>氯化氢</w:t>
                  </w:r>
                </w:p>
              </w:tc>
              <w:tc>
                <w:tcPr>
                  <w:tcW w:w="753" w:type="pct"/>
                  <w:vAlign w:val="center"/>
                </w:tcPr>
                <w:p>
                  <w:pPr>
                    <w:widowControl/>
                    <w:jc w:val="center"/>
                    <w:textAlignment w:val="center"/>
                    <w:rPr>
                      <w:snapToGrid w:val="0"/>
                      <w:kern w:val="0"/>
                      <w:szCs w:val="21"/>
                    </w:rPr>
                  </w:pPr>
                  <w:r>
                    <w:rPr>
                      <w:rFonts w:hint="eastAsia"/>
                    </w:rPr>
                    <w:t>10</w:t>
                  </w:r>
                </w:p>
              </w:tc>
              <w:tc>
                <w:tcPr>
                  <w:tcW w:w="691" w:type="pct"/>
                  <w:vAlign w:val="center"/>
                </w:tcPr>
                <w:p>
                  <w:pPr>
                    <w:widowControl/>
                    <w:jc w:val="center"/>
                    <w:textAlignment w:val="center"/>
                    <w:rPr>
                      <w:szCs w:val="21"/>
                    </w:rPr>
                  </w:pPr>
                  <w:r>
                    <w:rPr>
                      <w:rFonts w:hint="eastAsia"/>
                    </w:rPr>
                    <w:t>0.18</w:t>
                  </w:r>
                </w:p>
              </w:tc>
              <w:tc>
                <w:tcPr>
                  <w:tcW w:w="588" w:type="pct"/>
                  <w:vMerge w:val="restart"/>
                  <w:vAlign w:val="center"/>
                </w:tcPr>
                <w:p>
                  <w:pPr>
                    <w:jc w:val="center"/>
                  </w:pPr>
                  <w:r>
                    <w:rPr>
                      <w:rFonts w:hint="eastAsia"/>
                    </w:rPr>
                    <w:t>厂界</w:t>
                  </w:r>
                </w:p>
              </w:tc>
              <w:tc>
                <w:tcPr>
                  <w:tcW w:w="892" w:type="pct"/>
                  <w:vAlign w:val="center"/>
                </w:tcPr>
                <w:p>
                  <w:pPr>
                    <w:jc w:val="center"/>
                    <w:rPr>
                      <w:snapToGrid w:val="0"/>
                      <w:kern w:val="0"/>
                      <w:szCs w:val="21"/>
                    </w:rPr>
                  </w:pPr>
                  <w:r>
                    <w:rPr>
                      <w:rFonts w:hint="eastAsia"/>
                      <w:snapToGrid w:val="0"/>
                      <w:kern w:val="0"/>
                      <w:szCs w:val="21"/>
                    </w:rPr>
                    <w:t>0.15</w:t>
                  </w:r>
                </w:p>
              </w:tc>
              <w:tc>
                <w:tcPr>
                  <w:tcW w:w="1349" w:type="pct"/>
                  <w:vMerge w:val="restart"/>
                  <w:vAlign w:val="center"/>
                </w:tcPr>
                <w:p>
                  <w:pPr>
                    <w:jc w:val="center"/>
                    <w:rPr>
                      <w:szCs w:val="21"/>
                    </w:rPr>
                  </w:pPr>
                  <w:r>
                    <w:rPr>
                      <w:rFonts w:hint="eastAsia"/>
                      <w:szCs w:val="21"/>
                    </w:rPr>
                    <w:t>上海市</w:t>
                  </w:r>
                  <w:r>
                    <w:rPr>
                      <w:szCs w:val="21"/>
                    </w:rPr>
                    <w:t>《大气污染物综合排放标准》（DB31933-2015）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60" w:hRule="atLeast"/>
                <w:jc w:val="center"/>
              </w:trPr>
              <w:tc>
                <w:tcPr>
                  <w:tcW w:w="725" w:type="pct"/>
                  <w:vMerge w:val="restart"/>
                  <w:vAlign w:val="center"/>
                </w:tcPr>
                <w:p>
                  <w:pPr>
                    <w:jc w:val="center"/>
                    <w:rPr>
                      <w:szCs w:val="21"/>
                    </w:rPr>
                  </w:pPr>
                  <w:r>
                    <w:rPr>
                      <w:szCs w:val="21"/>
                    </w:rPr>
                    <w:t>非甲烷</w:t>
                  </w:r>
                </w:p>
                <w:p>
                  <w:pPr>
                    <w:jc w:val="center"/>
                    <w:rPr>
                      <w:kern w:val="0"/>
                      <w:szCs w:val="21"/>
                    </w:rPr>
                  </w:pPr>
                  <w:r>
                    <w:rPr>
                      <w:szCs w:val="21"/>
                    </w:rPr>
                    <w:t>总烃</w:t>
                  </w:r>
                </w:p>
              </w:tc>
              <w:tc>
                <w:tcPr>
                  <w:tcW w:w="753" w:type="pct"/>
                  <w:vAlign w:val="center"/>
                </w:tcPr>
                <w:p>
                  <w:pPr>
                    <w:jc w:val="center"/>
                    <w:rPr>
                      <w:snapToGrid w:val="0"/>
                      <w:kern w:val="0"/>
                      <w:szCs w:val="21"/>
                    </w:rPr>
                  </w:pPr>
                  <w:r>
                    <w:rPr>
                      <w:rFonts w:hint="eastAsia"/>
                      <w:snapToGrid w:val="0"/>
                      <w:kern w:val="0"/>
                      <w:szCs w:val="21"/>
                    </w:rPr>
                    <w:t>70</w:t>
                  </w:r>
                </w:p>
              </w:tc>
              <w:tc>
                <w:tcPr>
                  <w:tcW w:w="691" w:type="pct"/>
                  <w:vAlign w:val="center"/>
                </w:tcPr>
                <w:p>
                  <w:pPr>
                    <w:jc w:val="center"/>
                    <w:rPr>
                      <w:szCs w:val="21"/>
                    </w:rPr>
                  </w:pPr>
                  <w:r>
                    <w:rPr>
                      <w:rFonts w:hint="eastAsia"/>
                      <w:szCs w:val="21"/>
                    </w:rPr>
                    <w:t>3.0</w:t>
                  </w:r>
                </w:p>
              </w:tc>
              <w:tc>
                <w:tcPr>
                  <w:tcW w:w="588" w:type="pct"/>
                  <w:vMerge w:val="continue"/>
                  <w:vAlign w:val="center"/>
                </w:tcPr>
                <w:p>
                  <w:pPr>
                    <w:jc w:val="center"/>
                    <w:rPr>
                      <w:snapToGrid w:val="0"/>
                      <w:kern w:val="0"/>
                      <w:szCs w:val="21"/>
                    </w:rPr>
                  </w:pPr>
                </w:p>
              </w:tc>
              <w:tc>
                <w:tcPr>
                  <w:tcW w:w="892" w:type="pct"/>
                  <w:vAlign w:val="center"/>
                </w:tcPr>
                <w:p>
                  <w:pPr>
                    <w:jc w:val="center"/>
                    <w:rPr>
                      <w:snapToGrid w:val="0"/>
                      <w:kern w:val="0"/>
                      <w:szCs w:val="21"/>
                    </w:rPr>
                  </w:pPr>
                  <w:r>
                    <w:rPr>
                      <w:rFonts w:hint="eastAsia"/>
                      <w:snapToGrid w:val="0"/>
                      <w:kern w:val="0"/>
                      <w:szCs w:val="21"/>
                    </w:rPr>
                    <w:t>4.0</w:t>
                  </w:r>
                </w:p>
              </w:tc>
              <w:tc>
                <w:tcPr>
                  <w:tcW w:w="1349" w:type="pct"/>
                  <w:vMerge w:val="continue"/>
                  <w:vAlign w:val="center"/>
                </w:tcPr>
                <w:p>
                  <w:pPr>
                    <w:jc w:val="center"/>
                    <w:rPr>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756" w:hRule="atLeast"/>
                <w:jc w:val="center"/>
              </w:trPr>
              <w:tc>
                <w:tcPr>
                  <w:tcW w:w="725" w:type="pct"/>
                  <w:vMerge w:val="continue"/>
                  <w:vAlign w:val="center"/>
                </w:tcPr>
                <w:p>
                  <w:pPr>
                    <w:widowControl/>
                    <w:jc w:val="center"/>
                    <w:rPr>
                      <w:kern w:val="0"/>
                      <w:szCs w:val="21"/>
                    </w:rPr>
                  </w:pPr>
                </w:p>
              </w:tc>
              <w:tc>
                <w:tcPr>
                  <w:tcW w:w="753" w:type="pct"/>
                  <w:vAlign w:val="center"/>
                </w:tcPr>
                <w:p>
                  <w:pPr>
                    <w:jc w:val="center"/>
                    <w:rPr>
                      <w:snapToGrid w:val="0"/>
                      <w:kern w:val="0"/>
                      <w:szCs w:val="21"/>
                    </w:rPr>
                  </w:pPr>
                  <w:r>
                    <w:rPr>
                      <w:rFonts w:hint="eastAsia"/>
                      <w:snapToGrid w:val="0"/>
                      <w:kern w:val="0"/>
                      <w:szCs w:val="21"/>
                    </w:rPr>
                    <w:t>/</w:t>
                  </w:r>
                </w:p>
              </w:tc>
              <w:tc>
                <w:tcPr>
                  <w:tcW w:w="691" w:type="pct"/>
                  <w:vAlign w:val="center"/>
                </w:tcPr>
                <w:p>
                  <w:pPr>
                    <w:jc w:val="center"/>
                    <w:rPr>
                      <w:szCs w:val="21"/>
                    </w:rPr>
                  </w:pPr>
                  <w:r>
                    <w:rPr>
                      <w:rFonts w:hint="eastAsia"/>
                      <w:szCs w:val="21"/>
                    </w:rPr>
                    <w:t>/</w:t>
                  </w:r>
                </w:p>
              </w:tc>
              <w:tc>
                <w:tcPr>
                  <w:tcW w:w="588" w:type="pct"/>
                  <w:vAlign w:val="center"/>
                </w:tcPr>
                <w:p>
                  <w:pPr>
                    <w:jc w:val="center"/>
                  </w:pPr>
                  <w:r>
                    <w:rPr>
                      <w:rFonts w:hint="eastAsia"/>
                    </w:rPr>
                    <w:t>厂区内</w:t>
                  </w:r>
                </w:p>
                <w:p>
                  <w:pPr>
                    <w:jc w:val="center"/>
                  </w:pPr>
                  <w:r>
                    <w:rPr>
                      <w:rFonts w:hint="eastAsia"/>
                    </w:rPr>
                    <w:t>厂房外</w:t>
                  </w:r>
                </w:p>
              </w:tc>
              <w:tc>
                <w:tcPr>
                  <w:tcW w:w="892" w:type="pct"/>
                  <w:vAlign w:val="center"/>
                </w:tcPr>
                <w:p>
                  <w:pPr>
                    <w:jc w:val="center"/>
                  </w:pPr>
                  <w:r>
                    <w:t>6.0（1h平均值）；20(任意一次值)</w:t>
                  </w:r>
                </w:p>
              </w:tc>
              <w:tc>
                <w:tcPr>
                  <w:tcW w:w="1349" w:type="pct"/>
                  <w:vAlign w:val="center"/>
                </w:tcPr>
                <w:p>
                  <w:pPr>
                    <w:jc w:val="center"/>
                  </w:pPr>
                  <w:r>
                    <w:t>《挥发性有机物无组织排放控制标准》（GB37822-2019）</w:t>
                  </w:r>
                </w:p>
              </w:tc>
            </w:tr>
          </w:tbl>
          <w:p>
            <w:pPr>
              <w:spacing w:line="360" w:lineRule="auto"/>
              <w:ind w:firstLine="482" w:firstLineChars="200"/>
              <w:rPr>
                <w:b/>
                <w:bCs/>
                <w:sz w:val="24"/>
              </w:rPr>
            </w:pPr>
            <w:r>
              <w:rPr>
                <w:b/>
                <w:bCs/>
                <w:sz w:val="24"/>
              </w:rPr>
              <w:t>3、噪声</w:t>
            </w:r>
          </w:p>
          <w:p>
            <w:pPr>
              <w:tabs>
                <w:tab w:val="left" w:pos="5142"/>
              </w:tabs>
              <w:snapToGrid w:val="0"/>
              <w:spacing w:line="360" w:lineRule="auto"/>
              <w:ind w:firstLine="600" w:firstLineChars="250"/>
              <w:rPr>
                <w:sz w:val="24"/>
              </w:rPr>
            </w:pPr>
            <w:r>
              <w:rPr>
                <w:bCs/>
                <w:sz w:val="24"/>
                <w:szCs w:val="28"/>
              </w:rPr>
              <w:t>根据《合肥市声环境功能区划2016-2020》，本评价项目所在区域为《声环境质量标准》（GB3096-2008）中3类区，</w:t>
            </w:r>
            <w:r>
              <w:rPr>
                <w:sz w:val="24"/>
              </w:rPr>
              <w:t>本项目厂界噪声排放执行《工业企业厂界环境噪声排放标准》（GB12348-2008）中3</w:t>
            </w:r>
            <w:r>
              <w:rPr>
                <w:kern w:val="0"/>
                <w:sz w:val="24"/>
              </w:rPr>
              <w:t>类标准，具体</w:t>
            </w:r>
            <w:r>
              <w:rPr>
                <w:sz w:val="24"/>
              </w:rPr>
              <w:t>标准见下表。</w:t>
            </w:r>
          </w:p>
          <w:p>
            <w:pPr>
              <w:widowControl/>
              <w:numPr>
                <w:ilvl w:val="0"/>
                <w:numId w:val="1"/>
              </w:numPr>
              <w:jc w:val="center"/>
              <w:rPr>
                <w:b/>
                <w:kern w:val="0"/>
                <w:szCs w:val="21"/>
              </w:rPr>
            </w:pPr>
            <w:r>
              <w:rPr>
                <w:b/>
                <w:kern w:val="0"/>
                <w:szCs w:val="21"/>
              </w:rPr>
              <w:t xml:space="preserve">  工业企业厂界环境噪声排放标准值   单位：dB（A）</w:t>
            </w:r>
          </w:p>
          <w:tbl>
            <w:tblPr>
              <w:tblStyle w:val="24"/>
              <w:tblW w:w="0" w:type="auto"/>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3699"/>
              <w:gridCol w:w="2793"/>
              <w:gridCol w:w="21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2" w:hRule="exact"/>
              </w:trPr>
              <w:tc>
                <w:tcPr>
                  <w:tcW w:w="3699" w:type="dxa"/>
                  <w:vAlign w:val="center"/>
                </w:tcPr>
                <w:p>
                  <w:pPr>
                    <w:jc w:val="center"/>
                    <w:rPr>
                      <w:b/>
                      <w:bCs/>
                    </w:rPr>
                  </w:pPr>
                  <w:r>
                    <w:rPr>
                      <w:b/>
                    </w:rPr>
                    <w:t>类别</w:t>
                  </w:r>
                </w:p>
              </w:tc>
              <w:tc>
                <w:tcPr>
                  <w:tcW w:w="2793" w:type="dxa"/>
                  <w:vAlign w:val="center"/>
                </w:tcPr>
                <w:p>
                  <w:pPr>
                    <w:jc w:val="center"/>
                    <w:rPr>
                      <w:b/>
                      <w:bCs/>
                    </w:rPr>
                  </w:pPr>
                  <w:r>
                    <w:rPr>
                      <w:b/>
                      <w:bCs/>
                    </w:rPr>
                    <w:t>昼间</w:t>
                  </w:r>
                </w:p>
              </w:tc>
              <w:tc>
                <w:tcPr>
                  <w:tcW w:w="2136" w:type="dxa"/>
                  <w:vAlign w:val="center"/>
                </w:tcPr>
                <w:p>
                  <w:pPr>
                    <w:jc w:val="center"/>
                    <w:rPr>
                      <w:b/>
                      <w:bCs/>
                    </w:rPr>
                  </w:pPr>
                  <w:r>
                    <w:rPr>
                      <w:b/>
                      <w:bCs/>
                    </w:rPr>
                    <w:t>夜间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7" w:hRule="exact"/>
              </w:trPr>
              <w:tc>
                <w:tcPr>
                  <w:tcW w:w="3699" w:type="dxa"/>
                  <w:vAlign w:val="center"/>
                </w:tcPr>
                <w:p>
                  <w:pPr>
                    <w:jc w:val="center"/>
                    <w:rPr>
                      <w:bCs/>
                    </w:rPr>
                  </w:pPr>
                  <w:r>
                    <w:t>GB12348-2008中3</w:t>
                  </w:r>
                  <w:r>
                    <w:rPr>
                      <w:kern w:val="0"/>
                    </w:rPr>
                    <w:t>类标准</w:t>
                  </w:r>
                </w:p>
              </w:tc>
              <w:tc>
                <w:tcPr>
                  <w:tcW w:w="2793" w:type="dxa"/>
                  <w:vAlign w:val="center"/>
                </w:tcPr>
                <w:p>
                  <w:pPr>
                    <w:jc w:val="center"/>
                    <w:rPr>
                      <w:bCs/>
                    </w:rPr>
                  </w:pPr>
                  <w:r>
                    <w:rPr>
                      <w:bCs/>
                    </w:rPr>
                    <w:t>65</w:t>
                  </w:r>
                </w:p>
              </w:tc>
              <w:tc>
                <w:tcPr>
                  <w:tcW w:w="2136" w:type="dxa"/>
                  <w:vAlign w:val="center"/>
                </w:tcPr>
                <w:p>
                  <w:pPr>
                    <w:jc w:val="center"/>
                    <w:rPr>
                      <w:bCs/>
                    </w:rPr>
                  </w:pPr>
                  <w:r>
                    <w:rPr>
                      <w:bCs/>
                    </w:rPr>
                    <w:t>55</w:t>
                  </w:r>
                </w:p>
              </w:tc>
            </w:tr>
          </w:tbl>
          <w:p>
            <w:pPr>
              <w:spacing w:line="360" w:lineRule="auto"/>
              <w:ind w:firstLine="482" w:firstLineChars="200"/>
              <w:rPr>
                <w:b/>
                <w:bCs/>
                <w:sz w:val="24"/>
              </w:rPr>
            </w:pPr>
            <w:r>
              <w:rPr>
                <w:b/>
                <w:bCs/>
                <w:sz w:val="24"/>
              </w:rPr>
              <w:t>4、固体废物</w:t>
            </w:r>
          </w:p>
          <w:p>
            <w:pPr>
              <w:adjustRightInd w:val="0"/>
              <w:snapToGrid w:val="0"/>
              <w:spacing w:line="360" w:lineRule="auto"/>
              <w:ind w:firstLine="480" w:firstLineChars="200"/>
              <w:rPr>
                <w:kern w:val="0"/>
                <w:szCs w:val="21"/>
              </w:rPr>
            </w:pPr>
            <w:r>
              <w:rPr>
                <w:sz w:val="24"/>
              </w:rPr>
              <w:t>本项目一般工业固体废物贮存</w:t>
            </w:r>
            <w:r>
              <w:rPr>
                <w:rFonts w:hint="eastAsia"/>
                <w:sz w:val="24"/>
                <w:lang w:eastAsia="zh-CN"/>
              </w:rPr>
              <w:t>参照</w:t>
            </w:r>
            <w:r>
              <w:rPr>
                <w:sz w:val="24"/>
              </w:rPr>
              <w:t>执行《中华人民共和国固体废物污染环境防治法》（中华人民共和国主席令第四十三号）、《一般工业固体废物贮存和填埋污染控制标准》（GB18599-2020）标准要求；危险废物</w:t>
            </w:r>
            <w:r>
              <w:rPr>
                <w:rFonts w:hint="eastAsia"/>
                <w:sz w:val="24"/>
              </w:rPr>
              <w:t>临时</w:t>
            </w:r>
            <w:r>
              <w:rPr>
                <w:sz w:val="24"/>
              </w:rPr>
              <w:t>贮存执行</w:t>
            </w:r>
            <w:r>
              <w:rPr>
                <w:rFonts w:hint="eastAsia"/>
                <w:sz w:val="24"/>
              </w:rPr>
              <w:t>《危险废物贮存污染控制标准》（GB18597-2023）</w:t>
            </w:r>
            <w:r>
              <w:rPr>
                <w:sz w:val="24"/>
              </w:rPr>
              <w:t>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90" w:hRule="atLeast"/>
          <w:jc w:val="center"/>
        </w:trPr>
        <w:tc>
          <w:tcPr>
            <w:tcW w:w="425" w:type="dxa"/>
            <w:vAlign w:val="center"/>
          </w:tcPr>
          <w:p>
            <w:pPr>
              <w:adjustRightInd w:val="0"/>
              <w:snapToGrid w:val="0"/>
              <w:jc w:val="center"/>
              <w:rPr>
                <w:b/>
                <w:kern w:val="0"/>
                <w:szCs w:val="21"/>
              </w:rPr>
            </w:pPr>
            <w:r>
              <w:rPr>
                <w:b/>
                <w:kern w:val="0"/>
                <w:szCs w:val="21"/>
              </w:rPr>
              <w:t>总量</w:t>
            </w:r>
          </w:p>
          <w:p>
            <w:pPr>
              <w:adjustRightInd w:val="0"/>
              <w:snapToGrid w:val="0"/>
              <w:jc w:val="center"/>
              <w:rPr>
                <w:b/>
                <w:kern w:val="0"/>
                <w:szCs w:val="21"/>
              </w:rPr>
            </w:pPr>
            <w:r>
              <w:rPr>
                <w:b/>
                <w:kern w:val="0"/>
                <w:szCs w:val="21"/>
              </w:rPr>
              <w:t>控制</w:t>
            </w:r>
          </w:p>
          <w:p>
            <w:pPr>
              <w:adjustRightInd w:val="0"/>
              <w:snapToGrid w:val="0"/>
              <w:jc w:val="center"/>
              <w:rPr>
                <w:kern w:val="0"/>
                <w:szCs w:val="21"/>
              </w:rPr>
            </w:pPr>
            <w:r>
              <w:rPr>
                <w:b/>
                <w:kern w:val="0"/>
                <w:szCs w:val="21"/>
              </w:rPr>
              <w:t>指标</w:t>
            </w:r>
          </w:p>
        </w:tc>
        <w:tc>
          <w:tcPr>
            <w:tcW w:w="8862" w:type="dxa"/>
            <w:vAlign w:val="center"/>
          </w:tcPr>
          <w:p>
            <w:pPr>
              <w:spacing w:line="440" w:lineRule="exact"/>
              <w:ind w:firstLine="480" w:firstLineChars="200"/>
              <w:rPr>
                <w:bCs/>
                <w:sz w:val="24"/>
                <w:lang w:bidi="ar"/>
              </w:rPr>
            </w:pPr>
            <w:r>
              <w:rPr>
                <w:bCs/>
                <w:sz w:val="24"/>
                <w:lang w:bidi="ar"/>
              </w:rPr>
              <w:t>本项目为</w:t>
            </w:r>
            <w:r>
              <w:rPr>
                <w:rFonts w:hint="eastAsia"/>
                <w:bCs/>
                <w:sz w:val="24"/>
                <w:lang w:bidi="ar"/>
              </w:rPr>
              <w:t>新建</w:t>
            </w:r>
            <w:r>
              <w:rPr>
                <w:bCs/>
                <w:sz w:val="24"/>
                <w:lang w:bidi="ar"/>
              </w:rPr>
              <w:t>项目，</w:t>
            </w:r>
            <w:r>
              <w:rPr>
                <w:sz w:val="24"/>
                <w:lang w:bidi="ar"/>
              </w:rPr>
              <w:t>参照安徽省环保厅</w:t>
            </w:r>
            <w:r>
              <w:rPr>
                <w:sz w:val="24"/>
                <w:lang w:val="en-AU" w:bidi="ar"/>
              </w:rPr>
              <w:t>《关于进一步加强建设项目新增大气主要污染物总量指标管理工作的通知》（皖环发[201</w:t>
            </w:r>
            <w:r>
              <w:rPr>
                <w:sz w:val="24"/>
                <w:lang w:bidi="ar"/>
              </w:rPr>
              <w:t>7</w:t>
            </w:r>
            <w:r>
              <w:rPr>
                <w:sz w:val="24"/>
                <w:lang w:val="en-AU" w:bidi="ar"/>
              </w:rPr>
              <w:t>]</w:t>
            </w:r>
            <w:r>
              <w:rPr>
                <w:sz w:val="24"/>
                <w:lang w:bidi="ar"/>
              </w:rPr>
              <w:t>19</w:t>
            </w:r>
            <w:r>
              <w:rPr>
                <w:sz w:val="24"/>
                <w:lang w:val="en-AU" w:bidi="ar"/>
              </w:rPr>
              <w:t>号）要求</w:t>
            </w:r>
            <w:r>
              <w:rPr>
                <w:sz w:val="24"/>
                <w:lang w:bidi="ar"/>
              </w:rPr>
              <w:t>，提出本项目总量控制指</w:t>
            </w:r>
            <w:r>
              <w:rPr>
                <w:bCs/>
                <w:sz w:val="24"/>
                <w:lang w:bidi="ar"/>
              </w:rPr>
              <w:t>标为：COD、NH</w:t>
            </w:r>
            <w:r>
              <w:rPr>
                <w:bCs/>
                <w:sz w:val="24"/>
                <w:vertAlign w:val="subscript"/>
                <w:lang w:bidi="ar"/>
              </w:rPr>
              <w:t>3</w:t>
            </w:r>
            <w:r>
              <w:rPr>
                <w:bCs/>
                <w:sz w:val="24"/>
                <w:lang w:bidi="ar"/>
              </w:rPr>
              <w:t>-N、VOCs。</w:t>
            </w:r>
          </w:p>
          <w:p>
            <w:pPr>
              <w:spacing w:line="440" w:lineRule="exact"/>
              <w:ind w:firstLine="480" w:firstLineChars="200"/>
              <w:rPr>
                <w:bCs/>
                <w:sz w:val="24"/>
                <w:lang w:bidi="ar"/>
              </w:rPr>
            </w:pPr>
            <w:r>
              <w:rPr>
                <w:bCs/>
                <w:sz w:val="24"/>
                <w:lang w:bidi="ar"/>
              </w:rPr>
              <w:t>本项目废水COD、NH</w:t>
            </w:r>
            <w:r>
              <w:rPr>
                <w:bCs/>
                <w:sz w:val="24"/>
                <w:vertAlign w:val="subscript"/>
                <w:lang w:bidi="ar"/>
              </w:rPr>
              <w:t>3</w:t>
            </w:r>
            <w:r>
              <w:rPr>
                <w:bCs/>
                <w:sz w:val="24"/>
                <w:lang w:bidi="ar"/>
              </w:rPr>
              <w:t>-N排放量为</w:t>
            </w:r>
            <w:r>
              <w:rPr>
                <w:rFonts w:hint="eastAsia"/>
                <w:bCs/>
                <w:sz w:val="24"/>
                <w:lang w:bidi="ar"/>
              </w:rPr>
              <w:t>0.158t/a、0.017t/a</w:t>
            </w:r>
            <w:r>
              <w:rPr>
                <w:bCs/>
                <w:sz w:val="24"/>
                <w:lang w:bidi="ar"/>
              </w:rPr>
              <w:t>，COD、NH</w:t>
            </w:r>
            <w:r>
              <w:rPr>
                <w:bCs/>
                <w:sz w:val="24"/>
                <w:vertAlign w:val="subscript"/>
                <w:lang w:bidi="ar"/>
              </w:rPr>
              <w:t>3</w:t>
            </w:r>
            <w:r>
              <w:rPr>
                <w:bCs/>
                <w:sz w:val="24"/>
                <w:lang w:bidi="ar"/>
              </w:rPr>
              <w:t>-N总量已纳入西部组团污水处理厂范畴，无需另外申请总量。</w:t>
            </w:r>
          </w:p>
          <w:p>
            <w:pPr>
              <w:spacing w:line="440" w:lineRule="exact"/>
              <w:ind w:firstLine="480" w:firstLineChars="200"/>
              <w:rPr>
                <w:kern w:val="0"/>
                <w:szCs w:val="21"/>
              </w:rPr>
            </w:pPr>
            <w:r>
              <w:rPr>
                <w:rFonts w:hint="eastAsia"/>
                <w:kern w:val="0"/>
                <w:sz w:val="24"/>
                <w:lang w:bidi="ar"/>
              </w:rPr>
              <w:t>本项目</w:t>
            </w:r>
            <w:r>
              <w:rPr>
                <w:kern w:val="0"/>
                <w:sz w:val="24"/>
                <w:lang w:bidi="ar"/>
              </w:rPr>
              <w:t>废气控制指标为：VOCs有组织排放量为</w:t>
            </w:r>
            <w:r>
              <w:rPr>
                <w:rFonts w:hint="eastAsia"/>
                <w:kern w:val="0"/>
                <w:sz w:val="24"/>
                <w:lang w:bidi="ar"/>
              </w:rPr>
              <w:t>0.01205</w:t>
            </w:r>
            <w:r>
              <w:rPr>
                <w:kern w:val="0"/>
                <w:sz w:val="24"/>
                <w:lang w:bidi="ar"/>
              </w:rPr>
              <w:t>t/a，根据</w:t>
            </w:r>
            <w:r>
              <w:rPr>
                <w:rFonts w:hint="eastAsia"/>
                <w:kern w:val="0"/>
                <w:sz w:val="24"/>
                <w:lang w:bidi="ar"/>
              </w:rPr>
              <w:t>等</w:t>
            </w:r>
            <w:r>
              <w:rPr>
                <w:kern w:val="0"/>
                <w:sz w:val="24"/>
                <w:lang w:bidi="ar"/>
              </w:rPr>
              <w:t>量替代的要求，向合肥市高新技术产业开发区生态环境分局申请VOCs总量为0.</w:t>
            </w:r>
            <w:r>
              <w:rPr>
                <w:rFonts w:hint="eastAsia"/>
                <w:kern w:val="0"/>
                <w:sz w:val="24"/>
                <w:lang w:bidi="ar"/>
              </w:rPr>
              <w:t>01205</w:t>
            </w:r>
            <w:r>
              <w:rPr>
                <w:kern w:val="0"/>
                <w:sz w:val="24"/>
                <w:lang w:bidi="ar"/>
              </w:rPr>
              <w:t>t/a。</w:t>
            </w:r>
          </w:p>
        </w:tc>
      </w:tr>
    </w:tbl>
    <w:p>
      <w:pPr>
        <w:pStyle w:val="20"/>
        <w:jc w:val="center"/>
        <w:outlineLvl w:val="0"/>
        <w:rPr>
          <w:rFonts w:ascii="Times New Roman" w:hAnsi="Times New Roman" w:eastAsia="黑体"/>
          <w:snapToGrid w:val="0"/>
          <w:color w:val="000000"/>
          <w:sz w:val="30"/>
          <w:szCs w:val="30"/>
        </w:rPr>
      </w:pPr>
      <w:r>
        <w:rPr>
          <w:rFonts w:ascii="Times New Roman" w:hAnsi="Times New Roman" w:eastAsia="黑体"/>
          <w:snapToGrid w:val="0"/>
          <w:color w:val="000000"/>
          <w:sz w:val="36"/>
          <w:szCs w:val="36"/>
        </w:rPr>
        <w:br w:type="page"/>
      </w:r>
      <w:r>
        <w:rPr>
          <w:rFonts w:ascii="Times New Roman" w:hAnsi="Times New Roman" w:eastAsia="黑体"/>
          <w:snapToGrid w:val="0"/>
          <w:color w:val="000000"/>
          <w:sz w:val="30"/>
          <w:szCs w:val="30"/>
        </w:rPr>
        <w:t>四、主要环境影响和保护措施</w:t>
      </w: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5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778" w:type="dxa"/>
            <w:tcMar>
              <w:left w:w="28" w:type="dxa"/>
              <w:right w:w="28" w:type="dxa"/>
            </w:tcMar>
            <w:vAlign w:val="center"/>
          </w:tcPr>
          <w:p>
            <w:pPr>
              <w:pStyle w:val="20"/>
              <w:adjustRightInd w:val="0"/>
              <w:snapToGrid w:val="0"/>
              <w:spacing w:before="0" w:beforeAutospacing="0" w:after="0" w:afterAutospacing="0"/>
              <w:jc w:val="center"/>
              <w:rPr>
                <w:rFonts w:ascii="Times New Roman" w:hAnsi="Times New Roman"/>
                <w:b/>
                <w:kern w:val="2"/>
                <w:sz w:val="21"/>
                <w:szCs w:val="21"/>
              </w:rPr>
            </w:pPr>
            <w:r>
              <w:rPr>
                <w:rFonts w:ascii="Times New Roman" w:hAnsi="Times New Roman"/>
                <w:b/>
                <w:kern w:val="2"/>
                <w:sz w:val="21"/>
                <w:szCs w:val="21"/>
              </w:rPr>
              <w:t>施工</w:t>
            </w:r>
          </w:p>
          <w:p>
            <w:pPr>
              <w:pStyle w:val="20"/>
              <w:adjustRightInd w:val="0"/>
              <w:snapToGrid w:val="0"/>
              <w:spacing w:before="0" w:beforeAutospacing="0" w:after="0" w:afterAutospacing="0"/>
              <w:jc w:val="center"/>
              <w:rPr>
                <w:rFonts w:ascii="Times New Roman" w:hAnsi="Times New Roman"/>
                <w:b/>
                <w:kern w:val="2"/>
                <w:sz w:val="21"/>
                <w:szCs w:val="21"/>
              </w:rPr>
            </w:pPr>
            <w:r>
              <w:rPr>
                <w:rFonts w:ascii="Times New Roman" w:hAnsi="Times New Roman"/>
                <w:b/>
                <w:kern w:val="2"/>
                <w:sz w:val="21"/>
                <w:szCs w:val="21"/>
              </w:rPr>
              <w:t>期环</w:t>
            </w:r>
          </w:p>
          <w:p>
            <w:pPr>
              <w:pStyle w:val="20"/>
              <w:adjustRightInd w:val="0"/>
              <w:snapToGrid w:val="0"/>
              <w:spacing w:before="0" w:beforeAutospacing="0" w:after="0" w:afterAutospacing="0"/>
              <w:jc w:val="center"/>
              <w:rPr>
                <w:rFonts w:ascii="Times New Roman" w:hAnsi="Times New Roman"/>
                <w:b/>
                <w:kern w:val="2"/>
                <w:sz w:val="21"/>
                <w:szCs w:val="21"/>
              </w:rPr>
            </w:pPr>
            <w:r>
              <w:rPr>
                <w:rFonts w:ascii="Times New Roman" w:hAnsi="Times New Roman"/>
                <w:b/>
                <w:kern w:val="2"/>
                <w:sz w:val="21"/>
                <w:szCs w:val="21"/>
              </w:rPr>
              <w:t>境保</w:t>
            </w:r>
          </w:p>
          <w:p>
            <w:pPr>
              <w:pStyle w:val="20"/>
              <w:adjustRightInd w:val="0"/>
              <w:snapToGrid w:val="0"/>
              <w:spacing w:before="0" w:beforeAutospacing="0" w:after="0" w:afterAutospacing="0"/>
              <w:jc w:val="center"/>
              <w:rPr>
                <w:rFonts w:ascii="Times New Roman" w:hAnsi="Times New Roman"/>
                <w:b/>
                <w:kern w:val="2"/>
                <w:sz w:val="21"/>
                <w:szCs w:val="21"/>
              </w:rPr>
            </w:pPr>
            <w:r>
              <w:rPr>
                <w:rFonts w:ascii="Times New Roman" w:hAnsi="Times New Roman"/>
                <w:b/>
                <w:kern w:val="2"/>
                <w:sz w:val="21"/>
                <w:szCs w:val="21"/>
              </w:rPr>
              <w:t>护措</w:t>
            </w:r>
          </w:p>
          <w:p>
            <w:pPr>
              <w:pStyle w:val="20"/>
              <w:adjustRightInd w:val="0"/>
              <w:snapToGrid w:val="0"/>
              <w:spacing w:before="0" w:beforeAutospacing="0" w:after="0" w:afterAutospacing="0"/>
              <w:jc w:val="center"/>
              <w:rPr>
                <w:rFonts w:ascii="Times New Roman" w:hAnsi="Times New Roman"/>
                <w:bCs/>
                <w:kern w:val="2"/>
                <w:sz w:val="21"/>
                <w:szCs w:val="21"/>
              </w:rPr>
            </w:pPr>
            <w:r>
              <w:rPr>
                <w:rFonts w:ascii="Times New Roman" w:hAnsi="Times New Roman"/>
                <w:b/>
                <w:kern w:val="2"/>
                <w:sz w:val="21"/>
                <w:szCs w:val="21"/>
              </w:rPr>
              <w:t>施</w:t>
            </w:r>
          </w:p>
        </w:tc>
        <w:tc>
          <w:tcPr>
            <w:tcW w:w="8509" w:type="dxa"/>
            <w:vAlign w:val="center"/>
          </w:tcPr>
          <w:p>
            <w:pPr>
              <w:spacing w:line="360" w:lineRule="auto"/>
              <w:ind w:firstLine="480" w:firstLineChars="200"/>
              <w:rPr>
                <w:bCs/>
                <w:spacing w:val="-10"/>
                <w:szCs w:val="21"/>
              </w:rPr>
            </w:pPr>
            <w:r>
              <w:rPr>
                <w:bCs/>
                <w:sz w:val="24"/>
              </w:rPr>
              <w:t>本项目</w:t>
            </w:r>
            <w:r>
              <w:rPr>
                <w:rFonts w:hint="eastAsia"/>
                <w:sz w:val="24"/>
              </w:rPr>
              <w:t>租赁合肥市高新技术产业开发区明珠产业园2C-3现有标准化厂房</w:t>
            </w:r>
            <w:r>
              <w:rPr>
                <w:sz w:val="24"/>
              </w:rPr>
              <w:t>，</w:t>
            </w:r>
            <w:r>
              <w:rPr>
                <w:bCs/>
                <w:sz w:val="24"/>
              </w:rPr>
              <w:t>目前厂房、供水、供电、排水、道路等基础工程已经全部建成。施工期的主要工作是室内分割、装饰及设备安装调试。</w:t>
            </w:r>
            <w:r>
              <w:rPr>
                <w:sz w:val="24"/>
              </w:rPr>
              <w:t>施工期产生的施工垃圾等固体废物委托物资公司处理，施工期施工人员生活污水依托现有厂房化粪池预处理，</w:t>
            </w:r>
            <w:r>
              <w:rPr>
                <w:bCs/>
                <w:sz w:val="24"/>
              </w:rPr>
              <w:t>设备安装、调试产生的噪声通过设备减振、厂房隔声等降噪措施。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93" w:hRule="atLeast"/>
          <w:jc w:val="center"/>
        </w:trPr>
        <w:tc>
          <w:tcPr>
            <w:tcW w:w="778" w:type="dxa"/>
            <w:tcMar>
              <w:left w:w="28" w:type="dxa"/>
              <w:right w:w="28" w:type="dxa"/>
            </w:tcMar>
            <w:vAlign w:val="center"/>
          </w:tcPr>
          <w:p>
            <w:pPr>
              <w:adjustRightInd w:val="0"/>
              <w:snapToGrid w:val="0"/>
              <w:jc w:val="center"/>
              <w:rPr>
                <w:b/>
                <w:bCs/>
                <w:szCs w:val="21"/>
              </w:rPr>
            </w:pPr>
            <w:r>
              <w:rPr>
                <w:b/>
                <w:bCs/>
                <w:szCs w:val="21"/>
              </w:rPr>
              <w:t>运营</w:t>
            </w:r>
          </w:p>
          <w:p>
            <w:pPr>
              <w:adjustRightInd w:val="0"/>
              <w:snapToGrid w:val="0"/>
              <w:jc w:val="center"/>
              <w:rPr>
                <w:b/>
                <w:bCs/>
                <w:szCs w:val="21"/>
              </w:rPr>
            </w:pPr>
            <w:r>
              <w:rPr>
                <w:b/>
                <w:bCs/>
                <w:szCs w:val="21"/>
              </w:rPr>
              <w:t>期环</w:t>
            </w:r>
          </w:p>
          <w:p>
            <w:pPr>
              <w:adjustRightInd w:val="0"/>
              <w:snapToGrid w:val="0"/>
              <w:jc w:val="center"/>
              <w:rPr>
                <w:b/>
                <w:bCs/>
                <w:szCs w:val="21"/>
              </w:rPr>
            </w:pPr>
            <w:r>
              <w:rPr>
                <w:b/>
                <w:bCs/>
                <w:szCs w:val="21"/>
              </w:rPr>
              <w:t>境影</w:t>
            </w:r>
          </w:p>
          <w:p>
            <w:pPr>
              <w:adjustRightInd w:val="0"/>
              <w:snapToGrid w:val="0"/>
              <w:jc w:val="center"/>
              <w:rPr>
                <w:b/>
                <w:bCs/>
                <w:szCs w:val="21"/>
              </w:rPr>
            </w:pPr>
            <w:r>
              <w:rPr>
                <w:b/>
                <w:bCs/>
                <w:szCs w:val="21"/>
              </w:rPr>
              <w:t>响和</w:t>
            </w:r>
          </w:p>
          <w:p>
            <w:pPr>
              <w:adjustRightInd w:val="0"/>
              <w:snapToGrid w:val="0"/>
              <w:jc w:val="center"/>
              <w:rPr>
                <w:b/>
                <w:bCs/>
                <w:szCs w:val="21"/>
              </w:rPr>
            </w:pPr>
            <w:r>
              <w:rPr>
                <w:b/>
                <w:bCs/>
                <w:szCs w:val="21"/>
              </w:rPr>
              <w:t>保护</w:t>
            </w:r>
          </w:p>
          <w:p>
            <w:pPr>
              <w:adjustRightInd w:val="0"/>
              <w:snapToGrid w:val="0"/>
              <w:jc w:val="center"/>
              <w:rPr>
                <w:bCs/>
                <w:szCs w:val="21"/>
              </w:rPr>
            </w:pPr>
            <w:r>
              <w:rPr>
                <w:b/>
                <w:bCs/>
                <w:szCs w:val="21"/>
              </w:rPr>
              <w:t>措施</w:t>
            </w:r>
          </w:p>
        </w:tc>
        <w:tc>
          <w:tcPr>
            <w:tcW w:w="8509" w:type="dxa"/>
            <w:vAlign w:val="center"/>
          </w:tcPr>
          <w:p>
            <w:pPr>
              <w:spacing w:line="360" w:lineRule="auto"/>
              <w:ind w:firstLine="472" w:firstLineChars="196"/>
              <w:rPr>
                <w:b/>
                <w:bCs/>
                <w:sz w:val="24"/>
              </w:rPr>
            </w:pPr>
            <w:r>
              <w:rPr>
                <w:b/>
                <w:bCs/>
                <w:sz w:val="24"/>
              </w:rPr>
              <w:t>（一）废气</w:t>
            </w:r>
          </w:p>
          <w:p>
            <w:pPr>
              <w:spacing w:line="360" w:lineRule="auto"/>
              <w:ind w:firstLine="472" w:firstLineChars="196"/>
              <w:rPr>
                <w:sz w:val="24"/>
              </w:rPr>
            </w:pPr>
            <w:r>
              <w:rPr>
                <w:b/>
                <w:bCs/>
                <w:sz w:val="24"/>
              </w:rPr>
              <w:t>1、废气处理与排放</w:t>
            </w:r>
          </w:p>
          <w:p>
            <w:pPr>
              <w:spacing w:line="360" w:lineRule="auto"/>
              <w:ind w:firstLine="470" w:firstLineChars="196"/>
              <w:rPr>
                <w:sz w:val="24"/>
              </w:rPr>
            </w:pPr>
            <w:r>
              <w:rPr>
                <w:rFonts w:hint="eastAsia"/>
                <w:sz w:val="24"/>
              </w:rPr>
              <w:t>本项目废气主要为电极片生产过程中喷砂产生的粉尘；酸洗产生的酸洗废气；涂覆过程产生的氯化氢和有机废气（以非甲烷总烃计）；实验室催化剂研发过程产生的有机废气（以非甲烷总烃计）。</w:t>
            </w:r>
          </w:p>
          <w:p>
            <w:pPr>
              <w:spacing w:line="360" w:lineRule="auto"/>
              <w:ind w:firstLine="470" w:firstLineChars="196"/>
              <w:rPr>
                <w:sz w:val="24"/>
              </w:rPr>
            </w:pPr>
            <w:r>
              <w:rPr>
                <w:rFonts w:hint="eastAsia"/>
                <w:sz w:val="24"/>
              </w:rPr>
              <w:t>①喷砂粉尘</w:t>
            </w:r>
          </w:p>
          <w:p>
            <w:pPr>
              <w:spacing w:line="360" w:lineRule="auto"/>
              <w:ind w:firstLine="470" w:firstLineChars="196"/>
              <w:rPr>
                <w:sz w:val="24"/>
              </w:rPr>
            </w:pPr>
            <w:r>
              <w:rPr>
                <w:rFonts w:hint="eastAsia"/>
                <w:sz w:val="24"/>
              </w:rPr>
              <w:t>本项目TP270钛板需要进行喷砂，喷砂过程会产生粉尘，</w:t>
            </w:r>
            <w:r>
              <w:rPr>
                <w:rFonts w:hint="eastAsia"/>
                <w:kern w:val="0"/>
                <w:sz w:val="24"/>
                <w:lang w:bidi="ar"/>
              </w:rPr>
              <w:t>钛片总</w:t>
            </w:r>
            <w:r>
              <w:rPr>
                <w:kern w:val="0"/>
                <w:sz w:val="24"/>
                <w:lang w:bidi="ar"/>
              </w:rPr>
              <w:t>年用量为1t/a</w:t>
            </w:r>
            <w:r>
              <w:rPr>
                <w:rFonts w:hint="eastAsia"/>
                <w:kern w:val="0"/>
                <w:sz w:val="24"/>
                <w:lang w:bidi="ar"/>
              </w:rPr>
              <w:t>，</w:t>
            </w:r>
            <w:r>
              <w:rPr>
                <w:kern w:val="0"/>
                <w:sz w:val="24"/>
                <w:lang w:bidi="ar"/>
              </w:rPr>
              <w:t xml:space="preserve">根据《排放源统计调查产排污核算方法和系数手册 </w:t>
            </w:r>
            <w:r>
              <w:rPr>
                <w:rFonts w:hint="eastAsia"/>
                <w:kern w:val="0"/>
                <w:sz w:val="24"/>
                <w:lang w:bidi="ar"/>
              </w:rPr>
              <w:t>33金属制品业、34通用设备制造业、35专用设备制造业、36汽车制造业、37铁路、船舶、航空航天和其他运输设备制造业、431金属制品修理、432通用设备修理、433专用设备修理、434铁路、船舶、航空航天等运输设备修理（不包括电镀工艺）</w:t>
            </w:r>
            <w:r>
              <w:rPr>
                <w:kern w:val="0"/>
                <w:sz w:val="24"/>
                <w:lang w:bidi="ar"/>
              </w:rPr>
              <w:t>行业系数手册》中“</w:t>
            </w:r>
            <w:r>
              <w:rPr>
                <w:rFonts w:hint="eastAsia"/>
                <w:kern w:val="0"/>
                <w:sz w:val="24"/>
                <w:lang w:bidi="ar"/>
              </w:rPr>
              <w:t>06预处理干式预处理件抛丸、喷砂、打磨、滚筒</w:t>
            </w:r>
            <w:r>
              <w:rPr>
                <w:kern w:val="0"/>
                <w:sz w:val="24"/>
                <w:lang w:bidi="ar"/>
              </w:rPr>
              <w:t>颗粒物产生量为</w:t>
            </w:r>
            <w:r>
              <w:rPr>
                <w:rFonts w:hint="eastAsia"/>
                <w:kern w:val="0"/>
                <w:sz w:val="24"/>
                <w:lang w:bidi="ar"/>
              </w:rPr>
              <w:t>2.19k</w:t>
            </w:r>
            <w:r>
              <w:rPr>
                <w:kern w:val="0"/>
                <w:sz w:val="24"/>
                <w:lang w:bidi="ar"/>
              </w:rPr>
              <w:t>g/</w:t>
            </w:r>
            <w:r>
              <w:rPr>
                <w:rFonts w:hint="eastAsia"/>
                <w:kern w:val="0"/>
                <w:sz w:val="24"/>
                <w:lang w:bidi="ar"/>
              </w:rPr>
              <w:t>t</w:t>
            </w:r>
            <w:r>
              <w:rPr>
                <w:kern w:val="0"/>
                <w:sz w:val="24"/>
                <w:lang w:bidi="ar"/>
              </w:rPr>
              <w:t>-原料”，则粉尘产生量为</w:t>
            </w:r>
            <w:r>
              <w:rPr>
                <w:rFonts w:hint="eastAsia"/>
                <w:kern w:val="0"/>
                <w:sz w:val="24"/>
                <w:lang w:bidi="ar"/>
              </w:rPr>
              <w:t>2.19</w:t>
            </w:r>
            <w:r>
              <w:rPr>
                <w:kern w:val="0"/>
                <w:sz w:val="24"/>
                <w:lang w:bidi="ar"/>
              </w:rPr>
              <w:t>kg/a，</w:t>
            </w:r>
            <w:r>
              <w:rPr>
                <w:rFonts w:hint="eastAsia"/>
                <w:kern w:val="0"/>
                <w:sz w:val="24"/>
                <w:lang w:bidi="ar"/>
              </w:rPr>
              <w:t>喷砂过程设备全密闭，经</w:t>
            </w:r>
            <w:r>
              <w:rPr>
                <w:rFonts w:hint="eastAsia"/>
                <w:sz w:val="24"/>
              </w:rPr>
              <w:t>设备自带布袋除尘器处理后车间内无组织排放，处理效率为90%，则粉尘的无组织排放量为0.219kg/a，此过程粉尘产生量较小；</w:t>
            </w:r>
          </w:p>
          <w:p>
            <w:pPr>
              <w:spacing w:line="360" w:lineRule="auto"/>
              <w:ind w:firstLine="470" w:firstLineChars="196"/>
              <w:rPr>
                <w:sz w:val="24"/>
              </w:rPr>
            </w:pPr>
            <w:r>
              <w:rPr>
                <w:rFonts w:hint="eastAsia"/>
                <w:sz w:val="24"/>
              </w:rPr>
              <w:t>②酸洗废气</w:t>
            </w:r>
          </w:p>
          <w:p>
            <w:pPr>
              <w:spacing w:line="360" w:lineRule="auto"/>
              <w:ind w:firstLine="480" w:firstLineChars="200"/>
              <w:rPr>
                <w:sz w:val="24"/>
              </w:rPr>
            </w:pPr>
            <w:r>
              <w:rPr>
                <w:rFonts w:hint="eastAsia"/>
                <w:sz w:val="24"/>
              </w:rPr>
              <w:t>酸洗过程全密闭，产生的酸性废气由酸洗槽上方集气罩收集后通过管道经1套碱喷淋塔+</w:t>
            </w:r>
            <w:r>
              <w:rPr>
                <w:rFonts w:hint="eastAsia"/>
                <w:sz w:val="24"/>
                <w:lang w:eastAsia="zh-CN"/>
              </w:rPr>
              <w:t>除湿棉</w:t>
            </w:r>
            <w:r>
              <w:rPr>
                <w:rFonts w:hint="eastAsia"/>
                <w:sz w:val="24"/>
              </w:rPr>
              <w:t>+二级活性炭吸附装置处理后通过楼顶22.5m高排气筒排放（DA001）；根据企业提供资料，酸洗过程中草酸溶液50%用于酸蚀钛板表面的氧化层，40%进入废草酸溶液作为危废处置，10%挥发成气体，草酸固体的年用量为500kg/a，则挥发成气体的酸性废气产生量为50kg/a。</w:t>
            </w:r>
          </w:p>
          <w:p>
            <w:pPr>
              <w:spacing w:line="360" w:lineRule="auto"/>
              <w:ind w:firstLine="480" w:firstLineChars="200"/>
              <w:rPr>
                <w:sz w:val="24"/>
              </w:rPr>
            </w:pPr>
            <w:r>
              <w:rPr>
                <w:sz w:val="24"/>
              </w:rPr>
              <w:t>本次环评按照以下经验公式计算得出</w:t>
            </w:r>
            <w:r>
              <w:rPr>
                <w:rFonts w:hint="eastAsia"/>
                <w:sz w:val="24"/>
              </w:rPr>
              <w:t>酸洗槽</w:t>
            </w:r>
            <w:r>
              <w:rPr>
                <w:sz w:val="24"/>
              </w:rPr>
              <w:t>集气罩所需风量L。</w:t>
            </w:r>
          </w:p>
          <w:p>
            <w:pPr>
              <w:spacing w:line="360" w:lineRule="auto"/>
              <w:jc w:val="center"/>
              <w:rPr>
                <w:sz w:val="24"/>
              </w:rPr>
            </w:pPr>
            <w:r>
              <w:rPr>
                <w:sz w:val="24"/>
              </w:rPr>
              <w:t>L=3600（5X</w:t>
            </w:r>
            <w:r>
              <w:rPr>
                <w:sz w:val="24"/>
                <w:vertAlign w:val="superscript"/>
              </w:rPr>
              <w:t>2</w:t>
            </w:r>
            <w:r>
              <w:rPr>
                <w:sz w:val="24"/>
              </w:rPr>
              <w:t>+F）*V</w:t>
            </w:r>
          </w:p>
          <w:p>
            <w:pPr>
              <w:spacing w:line="360" w:lineRule="auto"/>
              <w:ind w:firstLine="480" w:firstLineChars="200"/>
              <w:rPr>
                <w:sz w:val="24"/>
              </w:rPr>
            </w:pPr>
            <w:r>
              <w:rPr>
                <w:sz w:val="24"/>
              </w:rPr>
              <w:t>其中：X——集气罩至</w:t>
            </w:r>
            <w:r>
              <w:rPr>
                <w:rFonts w:hint="eastAsia"/>
                <w:sz w:val="24"/>
              </w:rPr>
              <w:t>酸洗槽</w:t>
            </w:r>
            <w:r>
              <w:rPr>
                <w:sz w:val="24"/>
              </w:rPr>
              <w:t>的距离（取0.</w:t>
            </w:r>
            <w:r>
              <w:rPr>
                <w:rFonts w:hint="eastAsia"/>
                <w:sz w:val="24"/>
              </w:rPr>
              <w:t>2</w:t>
            </w:r>
            <w:r>
              <w:rPr>
                <w:sz w:val="24"/>
              </w:rPr>
              <w:t>m）；</w:t>
            </w:r>
          </w:p>
          <w:p>
            <w:pPr>
              <w:spacing w:line="360" w:lineRule="auto"/>
              <w:ind w:firstLine="480" w:firstLineChars="200"/>
              <w:rPr>
                <w:sz w:val="24"/>
              </w:rPr>
            </w:pPr>
            <w:r>
              <w:rPr>
                <w:sz w:val="24"/>
              </w:rPr>
              <w:t>F——集气罩面积（</w:t>
            </w:r>
            <w:r>
              <w:rPr>
                <w:rFonts w:hint="eastAsia"/>
                <w:sz w:val="24"/>
              </w:rPr>
              <w:t>酸洗槽</w:t>
            </w:r>
            <w:r>
              <w:rPr>
                <w:sz w:val="24"/>
              </w:rPr>
              <w:t>集气罩尺寸约为</w:t>
            </w:r>
            <w:r>
              <w:rPr>
                <w:rFonts w:hint="eastAsia"/>
                <w:sz w:val="24"/>
              </w:rPr>
              <w:t>1.1</w:t>
            </w:r>
            <w:r>
              <w:rPr>
                <w:sz w:val="24"/>
              </w:rPr>
              <w:t>m×</w:t>
            </w:r>
            <w:r>
              <w:rPr>
                <w:rFonts w:hint="eastAsia"/>
                <w:sz w:val="24"/>
              </w:rPr>
              <w:t>1.2</w:t>
            </w:r>
            <w:r>
              <w:rPr>
                <w:sz w:val="24"/>
              </w:rPr>
              <w:t>m，面积为</w:t>
            </w:r>
            <w:r>
              <w:rPr>
                <w:rFonts w:hint="eastAsia"/>
                <w:sz w:val="24"/>
              </w:rPr>
              <w:t>1.32</w:t>
            </w:r>
            <w:r>
              <w:rPr>
                <w:sz w:val="24"/>
              </w:rPr>
              <w:t>m</w:t>
            </w:r>
            <w:r>
              <w:rPr>
                <w:sz w:val="24"/>
                <w:vertAlign w:val="superscript"/>
              </w:rPr>
              <w:t>2</w:t>
            </w:r>
            <w:r>
              <w:rPr>
                <w:sz w:val="24"/>
              </w:rPr>
              <w:t>）；</w:t>
            </w:r>
          </w:p>
          <w:p>
            <w:pPr>
              <w:spacing w:line="360" w:lineRule="auto"/>
              <w:ind w:firstLine="470" w:firstLineChars="196"/>
              <w:rPr>
                <w:sz w:val="24"/>
              </w:rPr>
            </w:pPr>
            <w:r>
              <w:rPr>
                <w:sz w:val="24"/>
              </w:rPr>
              <w:t>V——控制风速（取0.5m/s）。</w:t>
            </w:r>
          </w:p>
          <w:p>
            <w:pPr>
              <w:spacing w:line="360" w:lineRule="auto"/>
              <w:ind w:firstLine="470" w:firstLineChars="196"/>
              <w:rPr>
                <w:sz w:val="24"/>
              </w:rPr>
            </w:pPr>
            <w:r>
              <w:rPr>
                <w:sz w:val="24"/>
              </w:rPr>
              <w:t>经计算，</w:t>
            </w:r>
            <w:r>
              <w:rPr>
                <w:rFonts w:hint="eastAsia"/>
                <w:sz w:val="24"/>
              </w:rPr>
              <w:t>项目设置1套集气罩，</w:t>
            </w:r>
            <w:r>
              <w:rPr>
                <w:sz w:val="24"/>
              </w:rPr>
              <w:t>集气罩</w:t>
            </w:r>
            <w:r>
              <w:rPr>
                <w:rFonts w:hint="eastAsia"/>
                <w:sz w:val="24"/>
              </w:rPr>
              <w:t>所需</w:t>
            </w:r>
            <w:r>
              <w:rPr>
                <w:sz w:val="24"/>
              </w:rPr>
              <w:t>风量为</w:t>
            </w:r>
            <w:r>
              <w:rPr>
                <w:rFonts w:hint="eastAsia"/>
                <w:sz w:val="24"/>
              </w:rPr>
              <w:t>2736</w:t>
            </w:r>
            <w:r>
              <w:rPr>
                <w:sz w:val="24"/>
              </w:rPr>
              <w:t>m</w:t>
            </w:r>
            <w:r>
              <w:rPr>
                <w:sz w:val="24"/>
                <w:vertAlign w:val="superscript"/>
              </w:rPr>
              <w:t>3</w:t>
            </w:r>
            <w:r>
              <w:rPr>
                <w:sz w:val="24"/>
              </w:rPr>
              <w:t>/h，</w:t>
            </w:r>
            <w:r>
              <w:rPr>
                <w:rFonts w:hint="eastAsia"/>
                <w:sz w:val="24"/>
              </w:rPr>
              <w:t>本次环评风量取3500</w:t>
            </w:r>
            <w:r>
              <w:rPr>
                <w:sz w:val="24"/>
              </w:rPr>
              <w:t>m</w:t>
            </w:r>
            <w:r>
              <w:rPr>
                <w:sz w:val="24"/>
                <w:vertAlign w:val="superscript"/>
              </w:rPr>
              <w:t>3</w:t>
            </w:r>
            <w:r>
              <w:rPr>
                <w:sz w:val="24"/>
              </w:rPr>
              <w:t>/h</w:t>
            </w:r>
            <w:r>
              <w:rPr>
                <w:rFonts w:hint="eastAsia"/>
                <w:sz w:val="24"/>
              </w:rPr>
              <w:t>，全密闭车间内集气罩的收集效率为98%，碱喷淋塔的处理效率为95%，则酸性气体的有组织排放量为2.45kg/a，无组织排放量为1kg/a。</w:t>
            </w:r>
          </w:p>
          <w:p>
            <w:pPr>
              <w:spacing w:line="360" w:lineRule="auto"/>
              <w:ind w:firstLine="470" w:firstLineChars="196"/>
              <w:rPr>
                <w:sz w:val="24"/>
              </w:rPr>
            </w:pPr>
            <w:r>
              <w:rPr>
                <w:rFonts w:hint="eastAsia"/>
                <w:sz w:val="24"/>
              </w:rPr>
              <w:t>③涂覆废气</w:t>
            </w:r>
          </w:p>
          <w:p>
            <w:pPr>
              <w:spacing w:line="360" w:lineRule="auto"/>
              <w:ind w:firstLine="480" w:firstLineChars="200"/>
              <w:rPr>
                <w:sz w:val="24"/>
              </w:rPr>
            </w:pPr>
            <w:r>
              <w:rPr>
                <w:rFonts w:hint="eastAsia"/>
                <w:sz w:val="24"/>
              </w:rPr>
              <w:t>涂覆过程37%浓盐酸、正丁醇、异丙醇的年使用量分别为40kg、100kg、100kg，由于涂覆后进行100℃烘干，考虑最不利影响即氯化氢、正丁醇、异丙醇全部挥发，则有机废气（以非甲烷总烃计）、氯化氢的产生量分别为200kg/a、14.8kg/a；产生的有机废气和氯化氢经密闭车间负压收集经1套碱喷淋塔+</w:t>
            </w:r>
            <w:r>
              <w:rPr>
                <w:rFonts w:hint="eastAsia"/>
                <w:sz w:val="24"/>
                <w:lang w:eastAsia="zh-CN"/>
              </w:rPr>
              <w:t>除湿棉</w:t>
            </w:r>
            <w:r>
              <w:rPr>
                <w:rFonts w:hint="eastAsia"/>
                <w:sz w:val="24"/>
              </w:rPr>
              <w:t>+二级活性炭吸附装置处理后通过楼顶22.5m高排气筒排放（DA001）；</w:t>
            </w:r>
          </w:p>
          <w:p>
            <w:pPr>
              <w:spacing w:line="360" w:lineRule="auto"/>
              <w:ind w:firstLine="480" w:firstLineChars="200"/>
              <w:rPr>
                <w:sz w:val="24"/>
              </w:rPr>
            </w:pPr>
            <w:r>
              <w:rPr>
                <w:sz w:val="24"/>
              </w:rPr>
              <w:t>本次环评按照以下经验公式计算得出</w:t>
            </w:r>
            <w:r>
              <w:rPr>
                <w:rFonts w:hint="eastAsia"/>
                <w:sz w:val="24"/>
              </w:rPr>
              <w:t>生产1区域</w:t>
            </w:r>
            <w:r>
              <w:rPr>
                <w:sz w:val="24"/>
              </w:rPr>
              <w:t>负压所需风量L。</w:t>
            </w:r>
          </w:p>
          <w:p>
            <w:pPr>
              <w:spacing w:line="360" w:lineRule="auto"/>
              <w:jc w:val="center"/>
              <w:rPr>
                <w:sz w:val="24"/>
              </w:rPr>
            </w:pPr>
            <w:r>
              <w:rPr>
                <w:sz w:val="24"/>
              </w:rPr>
              <w:t>L=V*C</w:t>
            </w:r>
          </w:p>
          <w:p>
            <w:pPr>
              <w:spacing w:line="360" w:lineRule="auto"/>
              <w:ind w:firstLine="480" w:firstLineChars="200"/>
              <w:rPr>
                <w:sz w:val="24"/>
              </w:rPr>
            </w:pPr>
            <w:r>
              <w:rPr>
                <w:sz w:val="24"/>
              </w:rPr>
              <w:t>其中：V——</w:t>
            </w:r>
            <w:r>
              <w:rPr>
                <w:rFonts w:hint="eastAsia"/>
                <w:sz w:val="24"/>
              </w:rPr>
              <w:t>生产1区域</w:t>
            </w:r>
            <w:r>
              <w:rPr>
                <w:sz w:val="24"/>
              </w:rPr>
              <w:t>体积（长*宽*高），</w:t>
            </w:r>
            <w:r>
              <w:rPr>
                <w:rFonts w:hint="eastAsia"/>
                <w:sz w:val="24"/>
              </w:rPr>
              <w:t>554.05</w:t>
            </w:r>
            <w:r>
              <w:rPr>
                <w:sz w:val="24"/>
              </w:rPr>
              <w:t>m</w:t>
            </w:r>
            <w:r>
              <w:rPr>
                <w:sz w:val="24"/>
                <w:vertAlign w:val="superscript"/>
              </w:rPr>
              <w:t>3</w:t>
            </w:r>
            <w:r>
              <w:rPr>
                <w:sz w:val="24"/>
              </w:rPr>
              <w:t>；</w:t>
            </w:r>
          </w:p>
          <w:p>
            <w:pPr>
              <w:spacing w:line="360" w:lineRule="auto"/>
              <w:ind w:firstLine="1200" w:firstLineChars="500"/>
              <w:rPr>
                <w:sz w:val="24"/>
              </w:rPr>
            </w:pPr>
            <w:r>
              <w:rPr>
                <w:sz w:val="24"/>
              </w:rPr>
              <w:t>C——换气次数，不小于</w:t>
            </w:r>
            <w:r>
              <w:rPr>
                <w:rFonts w:hint="eastAsia"/>
                <w:sz w:val="24"/>
              </w:rPr>
              <w:t>8</w:t>
            </w:r>
            <w:r>
              <w:rPr>
                <w:sz w:val="24"/>
              </w:rPr>
              <w:t>次/h；</w:t>
            </w:r>
          </w:p>
          <w:p>
            <w:pPr>
              <w:spacing w:line="360" w:lineRule="auto"/>
              <w:ind w:firstLine="470" w:firstLineChars="196"/>
              <w:rPr>
                <w:sz w:val="24"/>
              </w:rPr>
            </w:pPr>
            <w:r>
              <w:rPr>
                <w:sz w:val="24"/>
              </w:rPr>
              <w:t>经计算，</w:t>
            </w:r>
            <w:r>
              <w:rPr>
                <w:rFonts w:hint="eastAsia"/>
                <w:sz w:val="24"/>
              </w:rPr>
              <w:t>生产1区域</w:t>
            </w:r>
            <w:r>
              <w:rPr>
                <w:sz w:val="24"/>
              </w:rPr>
              <w:t>负压风量约为</w:t>
            </w:r>
            <w:r>
              <w:rPr>
                <w:rFonts w:hint="eastAsia"/>
                <w:sz w:val="24"/>
              </w:rPr>
              <w:t>4432</w:t>
            </w:r>
            <w:r>
              <w:rPr>
                <w:sz w:val="24"/>
              </w:rPr>
              <w:t>m</w:t>
            </w:r>
            <w:r>
              <w:rPr>
                <w:sz w:val="24"/>
                <w:vertAlign w:val="superscript"/>
              </w:rPr>
              <w:t>3</w:t>
            </w:r>
            <w:r>
              <w:rPr>
                <w:sz w:val="24"/>
              </w:rPr>
              <w:t>/h，本项目</w:t>
            </w:r>
            <w:r>
              <w:rPr>
                <w:rFonts w:hint="eastAsia"/>
                <w:sz w:val="24"/>
              </w:rPr>
              <w:t>风量</w:t>
            </w:r>
            <w:r>
              <w:rPr>
                <w:sz w:val="24"/>
              </w:rPr>
              <w:t>取</w:t>
            </w:r>
            <w:r>
              <w:rPr>
                <w:rFonts w:hint="eastAsia"/>
                <w:sz w:val="24"/>
              </w:rPr>
              <w:t>5000</w:t>
            </w:r>
            <w:r>
              <w:rPr>
                <w:sz w:val="24"/>
              </w:rPr>
              <w:t>m</w:t>
            </w:r>
            <w:r>
              <w:rPr>
                <w:sz w:val="24"/>
                <w:vertAlign w:val="superscript"/>
              </w:rPr>
              <w:t>3</w:t>
            </w:r>
            <w:r>
              <w:rPr>
                <w:sz w:val="24"/>
              </w:rPr>
              <w:t>/h。负压收集效率为98%，废气处理效率为90%，则</w:t>
            </w:r>
            <w:r>
              <w:rPr>
                <w:rFonts w:hint="eastAsia"/>
                <w:sz w:val="24"/>
              </w:rPr>
              <w:t>非甲烷总烃</w:t>
            </w:r>
            <w:r>
              <w:rPr>
                <w:sz w:val="24"/>
              </w:rPr>
              <w:t>有组织排放量为</w:t>
            </w:r>
            <w:r>
              <w:rPr>
                <w:rFonts w:hint="eastAsia"/>
                <w:sz w:val="24"/>
              </w:rPr>
              <w:t>19.6</w:t>
            </w:r>
            <w:r>
              <w:rPr>
                <w:sz w:val="24"/>
              </w:rPr>
              <w:t>kg/a，无组织排放量为</w:t>
            </w:r>
            <w:r>
              <w:rPr>
                <w:rFonts w:hint="eastAsia"/>
                <w:sz w:val="24"/>
              </w:rPr>
              <w:t>4</w:t>
            </w:r>
            <w:r>
              <w:rPr>
                <w:sz w:val="24"/>
              </w:rPr>
              <w:t>kg/a</w:t>
            </w:r>
            <w:r>
              <w:rPr>
                <w:rFonts w:hint="eastAsia"/>
                <w:sz w:val="24"/>
              </w:rPr>
              <w:t>；氯化氢有组织排放量为1.45kg/a，无组织排放量为0.296kg/a</w:t>
            </w:r>
            <w:r>
              <w:rPr>
                <w:sz w:val="24"/>
              </w:rPr>
              <w:t>。</w:t>
            </w:r>
          </w:p>
          <w:p>
            <w:pPr>
              <w:spacing w:line="360" w:lineRule="auto"/>
              <w:ind w:firstLine="470" w:firstLineChars="196"/>
              <w:rPr>
                <w:rFonts w:ascii="宋体" w:hAnsi="宋体" w:cs="宋体"/>
                <w:sz w:val="24"/>
              </w:rPr>
            </w:pPr>
            <w:r>
              <w:rPr>
                <w:rFonts w:hint="eastAsia" w:ascii="宋体" w:hAnsi="宋体" w:cs="宋体"/>
                <w:sz w:val="24"/>
              </w:rPr>
              <w:t>④实验室有机废气</w:t>
            </w:r>
          </w:p>
          <w:p>
            <w:pPr>
              <w:spacing w:line="360" w:lineRule="auto"/>
              <w:ind w:firstLine="480" w:firstLineChars="200"/>
              <w:rPr>
                <w:sz w:val="24"/>
              </w:rPr>
            </w:pPr>
            <w:r>
              <w:rPr>
                <w:rFonts w:hint="eastAsia" w:ascii="宋体" w:hAnsi="宋体" w:cs="宋体"/>
                <w:sz w:val="24"/>
              </w:rPr>
              <w:t>催化剂实验过程使用乙醇的量</w:t>
            </w:r>
            <w:r>
              <w:rPr>
                <w:sz w:val="24"/>
              </w:rPr>
              <w:t>为100kg/a，考虑最不利影响即乙醇全部挥发，则有机废气（以非甲烷总烃计）产生量为100kg/a；实验室及煅烧间整体微负压，产生的有机废气由万向集气罩负压收集经1套碱喷淋塔+</w:t>
            </w:r>
            <w:r>
              <w:rPr>
                <w:rFonts w:hint="eastAsia"/>
                <w:sz w:val="24"/>
                <w:lang w:eastAsia="zh-CN"/>
              </w:rPr>
              <w:t>除湿棉</w:t>
            </w:r>
            <w:r>
              <w:rPr>
                <w:sz w:val="24"/>
              </w:rPr>
              <w:t>+二级活性炭吸附装置处理后通过楼顶22.5m高排气筒排放（DA001）；</w:t>
            </w:r>
          </w:p>
          <w:p>
            <w:pPr>
              <w:spacing w:line="360" w:lineRule="auto"/>
              <w:ind w:firstLine="480" w:firstLineChars="200"/>
              <w:rPr>
                <w:sz w:val="24"/>
              </w:rPr>
            </w:pPr>
            <w:r>
              <w:rPr>
                <w:sz w:val="24"/>
              </w:rPr>
              <w:t>本次环评按照以下经验公式计算得出</w:t>
            </w:r>
            <w:r>
              <w:rPr>
                <w:rFonts w:hint="eastAsia"/>
                <w:sz w:val="24"/>
              </w:rPr>
              <w:t>研发实验室及煅烧间</w:t>
            </w:r>
            <w:r>
              <w:rPr>
                <w:sz w:val="24"/>
              </w:rPr>
              <w:t>负压所需风量L。</w:t>
            </w:r>
          </w:p>
          <w:p>
            <w:pPr>
              <w:spacing w:line="360" w:lineRule="auto"/>
              <w:jc w:val="center"/>
              <w:rPr>
                <w:sz w:val="24"/>
              </w:rPr>
            </w:pPr>
            <w:r>
              <w:rPr>
                <w:sz w:val="24"/>
              </w:rPr>
              <w:t>L=V*C</w:t>
            </w:r>
          </w:p>
          <w:p>
            <w:pPr>
              <w:spacing w:line="360" w:lineRule="auto"/>
              <w:ind w:firstLine="480" w:firstLineChars="200"/>
              <w:rPr>
                <w:sz w:val="24"/>
              </w:rPr>
            </w:pPr>
            <w:r>
              <w:rPr>
                <w:sz w:val="24"/>
              </w:rPr>
              <w:t>其中：V——</w:t>
            </w:r>
            <w:r>
              <w:rPr>
                <w:rFonts w:hint="eastAsia"/>
                <w:sz w:val="24"/>
              </w:rPr>
              <w:t>研发实验室及煅烧间</w:t>
            </w:r>
            <w:r>
              <w:rPr>
                <w:sz w:val="24"/>
              </w:rPr>
              <w:t>体积（长*宽*高），</w:t>
            </w:r>
            <w:r>
              <w:rPr>
                <w:rFonts w:hint="eastAsia"/>
                <w:sz w:val="24"/>
              </w:rPr>
              <w:t>917</w:t>
            </w:r>
            <w:r>
              <w:rPr>
                <w:sz w:val="24"/>
              </w:rPr>
              <w:t>m</w:t>
            </w:r>
            <w:r>
              <w:rPr>
                <w:sz w:val="24"/>
                <w:vertAlign w:val="superscript"/>
              </w:rPr>
              <w:t>3</w:t>
            </w:r>
            <w:r>
              <w:rPr>
                <w:sz w:val="24"/>
              </w:rPr>
              <w:t>；</w:t>
            </w:r>
          </w:p>
          <w:p>
            <w:pPr>
              <w:spacing w:line="360" w:lineRule="auto"/>
              <w:ind w:firstLine="1200" w:firstLineChars="500"/>
              <w:rPr>
                <w:sz w:val="24"/>
              </w:rPr>
            </w:pPr>
            <w:r>
              <w:rPr>
                <w:sz w:val="24"/>
              </w:rPr>
              <w:t>C——换气次数，不小于</w:t>
            </w:r>
            <w:r>
              <w:rPr>
                <w:rFonts w:hint="eastAsia"/>
                <w:sz w:val="24"/>
              </w:rPr>
              <w:t>10</w:t>
            </w:r>
            <w:r>
              <w:rPr>
                <w:sz w:val="24"/>
              </w:rPr>
              <w:t>次/h；</w:t>
            </w:r>
          </w:p>
          <w:p>
            <w:pPr>
              <w:spacing w:line="360" w:lineRule="auto"/>
              <w:ind w:firstLine="470" w:firstLineChars="196"/>
              <w:rPr>
                <w:sz w:val="24"/>
              </w:rPr>
            </w:pPr>
            <w:r>
              <w:rPr>
                <w:sz w:val="24"/>
              </w:rPr>
              <w:t>经计算，</w:t>
            </w:r>
            <w:r>
              <w:rPr>
                <w:rFonts w:hint="eastAsia"/>
                <w:sz w:val="24"/>
              </w:rPr>
              <w:t>研发实验室及煅烧间</w:t>
            </w:r>
            <w:r>
              <w:rPr>
                <w:sz w:val="24"/>
              </w:rPr>
              <w:t>负压风量约为</w:t>
            </w:r>
            <w:r>
              <w:rPr>
                <w:rFonts w:hint="eastAsia"/>
                <w:sz w:val="24"/>
              </w:rPr>
              <w:t>7336</w:t>
            </w:r>
            <w:r>
              <w:rPr>
                <w:sz w:val="24"/>
              </w:rPr>
              <w:t>m</w:t>
            </w:r>
            <w:r>
              <w:rPr>
                <w:sz w:val="24"/>
                <w:vertAlign w:val="superscript"/>
              </w:rPr>
              <w:t>3</w:t>
            </w:r>
            <w:r>
              <w:rPr>
                <w:sz w:val="24"/>
              </w:rPr>
              <w:t>/h，本项目</w:t>
            </w:r>
            <w:r>
              <w:rPr>
                <w:rFonts w:hint="eastAsia"/>
                <w:sz w:val="24"/>
              </w:rPr>
              <w:t>风量</w:t>
            </w:r>
            <w:r>
              <w:rPr>
                <w:sz w:val="24"/>
              </w:rPr>
              <w:t>取</w:t>
            </w:r>
            <w:r>
              <w:rPr>
                <w:rFonts w:hint="eastAsia"/>
                <w:sz w:val="24"/>
              </w:rPr>
              <w:t>8000</w:t>
            </w:r>
            <w:r>
              <w:rPr>
                <w:sz w:val="24"/>
              </w:rPr>
              <w:t>m</w:t>
            </w:r>
            <w:r>
              <w:rPr>
                <w:sz w:val="24"/>
                <w:vertAlign w:val="superscript"/>
              </w:rPr>
              <w:t>3</w:t>
            </w:r>
            <w:r>
              <w:rPr>
                <w:sz w:val="24"/>
              </w:rPr>
              <w:t>/h。负压收集效率为98%，废气处理效率为90%，则</w:t>
            </w:r>
            <w:r>
              <w:rPr>
                <w:rFonts w:hint="eastAsia"/>
                <w:sz w:val="24"/>
              </w:rPr>
              <w:t>非甲烷总烃</w:t>
            </w:r>
            <w:r>
              <w:rPr>
                <w:sz w:val="24"/>
              </w:rPr>
              <w:t>有组织排放量为</w:t>
            </w:r>
            <w:r>
              <w:rPr>
                <w:rFonts w:hint="eastAsia"/>
                <w:sz w:val="24"/>
              </w:rPr>
              <w:t>9.8</w:t>
            </w:r>
            <w:r>
              <w:rPr>
                <w:sz w:val="24"/>
              </w:rPr>
              <w:t>kg/a，无组织排放量为</w:t>
            </w:r>
            <w:r>
              <w:rPr>
                <w:rFonts w:hint="eastAsia"/>
                <w:sz w:val="24"/>
              </w:rPr>
              <w:t>2</w:t>
            </w:r>
            <w:r>
              <w:rPr>
                <w:sz w:val="24"/>
              </w:rPr>
              <w:t>kg/a</w:t>
            </w:r>
            <w:r>
              <w:rPr>
                <w:rFonts w:hint="eastAsia"/>
                <w:sz w:val="24"/>
              </w:rPr>
              <w:t>；</w:t>
            </w:r>
          </w:p>
          <w:p>
            <w:pPr>
              <w:pStyle w:val="66"/>
              <w:adjustRightInd w:val="0"/>
              <w:snapToGrid w:val="0"/>
              <w:ind w:firstLine="480"/>
              <w:rPr>
                <w:rFonts w:cs="Times New Roman"/>
              </w:rPr>
            </w:pPr>
            <w:r>
              <w:rPr>
                <w:rFonts w:hint="eastAsia"/>
              </w:rPr>
              <w:t>酸洗工序所需风量为3500</w:t>
            </w:r>
            <w:r>
              <w:t>m</w:t>
            </w:r>
            <w:r>
              <w:rPr>
                <w:vertAlign w:val="superscript"/>
              </w:rPr>
              <w:t>3</w:t>
            </w:r>
            <w:r>
              <w:t>/h</w:t>
            </w:r>
            <w:r>
              <w:rPr>
                <w:rFonts w:hint="eastAsia"/>
              </w:rPr>
              <w:t>，涂覆工序所需风量为5000</w:t>
            </w:r>
            <w:r>
              <w:t>m</w:t>
            </w:r>
            <w:r>
              <w:rPr>
                <w:vertAlign w:val="superscript"/>
              </w:rPr>
              <w:t>3</w:t>
            </w:r>
            <w:r>
              <w:t>/h</w:t>
            </w:r>
            <w:r>
              <w:rPr>
                <w:rFonts w:hint="eastAsia"/>
              </w:rPr>
              <w:t>，实验室负压所需风量为8000</w:t>
            </w:r>
            <w:r>
              <w:t>m</w:t>
            </w:r>
            <w:r>
              <w:rPr>
                <w:vertAlign w:val="superscript"/>
              </w:rPr>
              <w:t>3</w:t>
            </w:r>
            <w:r>
              <w:t>/h</w:t>
            </w:r>
            <w:r>
              <w:rPr>
                <w:rFonts w:hint="eastAsia"/>
              </w:rPr>
              <w:t>，则废气设施理论所需废气风量为16500m</w:t>
            </w:r>
            <w:r>
              <w:rPr>
                <w:rFonts w:hint="eastAsia"/>
                <w:vertAlign w:val="superscript"/>
              </w:rPr>
              <w:t>3</w:t>
            </w:r>
            <w:r>
              <w:rPr>
                <w:rFonts w:hint="eastAsia"/>
              </w:rPr>
              <w:t>/h，根据建设单位提供资料，</w:t>
            </w:r>
            <w:r>
              <w:rPr>
                <w:rFonts w:hint="eastAsia"/>
                <w:kern w:val="0"/>
                <w:lang w:bidi="ar"/>
              </w:rPr>
              <w:t>废气设施</w:t>
            </w:r>
            <w:r>
              <w:rPr>
                <w:rFonts w:hint="eastAsia"/>
              </w:rPr>
              <w:t>碱喷淋塔+</w:t>
            </w:r>
            <w:r>
              <w:rPr>
                <w:rFonts w:hint="eastAsia"/>
                <w:lang w:eastAsia="zh-CN"/>
              </w:rPr>
              <w:t>除湿棉</w:t>
            </w:r>
            <w:r>
              <w:rPr>
                <w:rFonts w:hint="eastAsia"/>
              </w:rPr>
              <w:t>+二级活性炭吸附装置的设计风量为20000m</w:t>
            </w:r>
            <w:r>
              <w:rPr>
                <w:rFonts w:hint="eastAsia"/>
                <w:vertAlign w:val="superscript"/>
              </w:rPr>
              <w:t>3</w:t>
            </w:r>
            <w:r>
              <w:rPr>
                <w:rFonts w:hint="eastAsia"/>
              </w:rPr>
              <w:t>/h，故废气设施设计风量满足所需风量要求。</w:t>
            </w:r>
          </w:p>
          <w:p>
            <w:pPr>
              <w:spacing w:line="360" w:lineRule="auto"/>
              <w:ind w:firstLine="480" w:firstLineChars="200"/>
              <w:rPr>
                <w:kern w:val="0"/>
                <w:sz w:val="24"/>
                <w:lang w:bidi="ar"/>
              </w:rPr>
            </w:pPr>
            <w:r>
              <w:rPr>
                <w:kern w:val="0"/>
                <w:sz w:val="24"/>
                <w:lang w:bidi="ar"/>
              </w:rPr>
              <w:t>本项目废气收集及排放情况见下表。</w:t>
            </w:r>
          </w:p>
          <w:p>
            <w:pPr>
              <w:widowControl/>
              <w:numPr>
                <w:ilvl w:val="0"/>
                <w:numId w:val="1"/>
              </w:numPr>
              <w:jc w:val="center"/>
              <w:rPr>
                <w:b/>
                <w:kern w:val="0"/>
                <w:szCs w:val="21"/>
              </w:rPr>
            </w:pPr>
            <w:r>
              <w:rPr>
                <w:b/>
                <w:kern w:val="0"/>
                <w:szCs w:val="21"/>
              </w:rPr>
              <w:t xml:space="preserve">  废气收集设施相关参数一览表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1213"/>
              <w:gridCol w:w="1296"/>
              <w:gridCol w:w="1213"/>
              <w:gridCol w:w="928"/>
              <w:gridCol w:w="1336"/>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86" w:type="dxa"/>
                  <w:gridSpan w:val="2"/>
                  <w:vAlign w:val="center"/>
                </w:tcPr>
                <w:p>
                  <w:pPr>
                    <w:widowControl/>
                    <w:jc w:val="center"/>
                    <w:textAlignment w:val="center"/>
                    <w:rPr>
                      <w:b/>
                      <w:bCs/>
                      <w:kern w:val="0"/>
                      <w:szCs w:val="21"/>
                      <w:lang w:bidi="ar"/>
                    </w:rPr>
                  </w:pPr>
                  <w:r>
                    <w:rPr>
                      <w:b/>
                      <w:bCs/>
                      <w:kern w:val="0"/>
                      <w:szCs w:val="21"/>
                      <w:lang w:bidi="ar"/>
                    </w:rPr>
                    <w:t>生产环节</w:t>
                  </w:r>
                </w:p>
              </w:tc>
              <w:tc>
                <w:tcPr>
                  <w:tcW w:w="1296" w:type="dxa"/>
                  <w:vAlign w:val="center"/>
                </w:tcPr>
                <w:p>
                  <w:pPr>
                    <w:widowControl/>
                    <w:jc w:val="center"/>
                    <w:textAlignment w:val="center"/>
                    <w:rPr>
                      <w:b/>
                      <w:bCs/>
                      <w:kern w:val="0"/>
                      <w:szCs w:val="21"/>
                      <w:lang w:bidi="ar"/>
                    </w:rPr>
                  </w:pPr>
                  <w:r>
                    <w:rPr>
                      <w:b/>
                      <w:bCs/>
                      <w:kern w:val="0"/>
                      <w:szCs w:val="21"/>
                      <w:lang w:bidi="ar"/>
                    </w:rPr>
                    <w:t>污染物种类</w:t>
                  </w:r>
                </w:p>
              </w:tc>
              <w:tc>
                <w:tcPr>
                  <w:tcW w:w="1213" w:type="dxa"/>
                  <w:vAlign w:val="center"/>
                </w:tcPr>
                <w:p>
                  <w:pPr>
                    <w:widowControl/>
                    <w:jc w:val="center"/>
                    <w:textAlignment w:val="center"/>
                    <w:rPr>
                      <w:b/>
                      <w:bCs/>
                      <w:kern w:val="0"/>
                      <w:szCs w:val="21"/>
                      <w:lang w:bidi="ar"/>
                    </w:rPr>
                  </w:pPr>
                  <w:r>
                    <w:rPr>
                      <w:b/>
                      <w:bCs/>
                      <w:kern w:val="0"/>
                      <w:szCs w:val="21"/>
                      <w:lang w:bidi="ar"/>
                    </w:rPr>
                    <w:t>收集方式</w:t>
                  </w:r>
                </w:p>
              </w:tc>
              <w:tc>
                <w:tcPr>
                  <w:tcW w:w="928" w:type="dxa"/>
                  <w:vAlign w:val="center"/>
                </w:tcPr>
                <w:p>
                  <w:pPr>
                    <w:widowControl/>
                    <w:jc w:val="center"/>
                    <w:textAlignment w:val="center"/>
                    <w:rPr>
                      <w:b/>
                      <w:bCs/>
                      <w:kern w:val="0"/>
                      <w:szCs w:val="21"/>
                      <w:lang w:bidi="ar"/>
                    </w:rPr>
                  </w:pPr>
                  <w:r>
                    <w:rPr>
                      <w:b/>
                      <w:bCs/>
                      <w:kern w:val="0"/>
                      <w:szCs w:val="21"/>
                      <w:lang w:bidi="ar"/>
                    </w:rPr>
                    <w:t>收集设施数量</w:t>
                  </w:r>
                </w:p>
              </w:tc>
              <w:tc>
                <w:tcPr>
                  <w:tcW w:w="1336" w:type="dxa"/>
                  <w:vAlign w:val="center"/>
                </w:tcPr>
                <w:p>
                  <w:pPr>
                    <w:widowControl/>
                    <w:jc w:val="center"/>
                    <w:textAlignment w:val="center"/>
                    <w:rPr>
                      <w:b/>
                      <w:bCs/>
                      <w:kern w:val="0"/>
                      <w:szCs w:val="21"/>
                      <w:lang w:bidi="ar"/>
                    </w:rPr>
                  </w:pPr>
                  <w:r>
                    <w:rPr>
                      <w:b/>
                      <w:bCs/>
                      <w:kern w:val="0"/>
                      <w:szCs w:val="21"/>
                      <w:lang w:bidi="ar"/>
                    </w:rPr>
                    <w:t>风机风量</w:t>
                  </w:r>
                </w:p>
              </w:tc>
              <w:tc>
                <w:tcPr>
                  <w:tcW w:w="1224" w:type="dxa"/>
                  <w:vAlign w:val="center"/>
                </w:tcPr>
                <w:p>
                  <w:pPr>
                    <w:widowControl/>
                    <w:jc w:val="center"/>
                    <w:textAlignment w:val="center"/>
                    <w:rPr>
                      <w:b/>
                      <w:bCs/>
                      <w:kern w:val="0"/>
                      <w:szCs w:val="21"/>
                      <w:lang w:bidi="ar"/>
                    </w:rPr>
                  </w:pPr>
                  <w:r>
                    <w:rPr>
                      <w:b/>
                      <w:bCs/>
                      <w:kern w:val="0"/>
                      <w:szCs w:val="21"/>
                      <w:lang w:bidi="ar"/>
                    </w:rPr>
                    <w:t>设备/房间内部尺寸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3" w:type="dxa"/>
                  <w:vMerge w:val="restart"/>
                  <w:vAlign w:val="center"/>
                </w:tcPr>
                <w:p>
                  <w:pPr>
                    <w:widowControl/>
                    <w:jc w:val="center"/>
                    <w:textAlignment w:val="center"/>
                    <w:rPr>
                      <w:kern w:val="0"/>
                      <w:szCs w:val="21"/>
                      <w:lang w:bidi="ar"/>
                    </w:rPr>
                  </w:pPr>
                  <w:r>
                    <w:rPr>
                      <w:rFonts w:hint="eastAsia"/>
                      <w:kern w:val="0"/>
                      <w:szCs w:val="21"/>
                      <w:lang w:bidi="ar"/>
                    </w:rPr>
                    <w:t>电极片</w:t>
                  </w:r>
                </w:p>
              </w:tc>
              <w:tc>
                <w:tcPr>
                  <w:tcW w:w="1213" w:type="dxa"/>
                  <w:vAlign w:val="center"/>
                </w:tcPr>
                <w:p>
                  <w:pPr>
                    <w:jc w:val="center"/>
                    <w:rPr>
                      <w:kern w:val="0"/>
                      <w:szCs w:val="21"/>
                      <w:lang w:bidi="ar"/>
                    </w:rPr>
                  </w:pPr>
                  <w:r>
                    <w:rPr>
                      <w:rFonts w:hint="eastAsia"/>
                      <w:kern w:val="0"/>
                      <w:szCs w:val="21"/>
                    </w:rPr>
                    <w:t>喷砂</w:t>
                  </w:r>
                </w:p>
              </w:tc>
              <w:tc>
                <w:tcPr>
                  <w:tcW w:w="1296" w:type="dxa"/>
                  <w:vAlign w:val="center"/>
                </w:tcPr>
                <w:p>
                  <w:pPr>
                    <w:widowControl/>
                    <w:jc w:val="center"/>
                    <w:textAlignment w:val="center"/>
                    <w:rPr>
                      <w:kern w:val="0"/>
                      <w:szCs w:val="21"/>
                      <w:lang w:bidi="ar"/>
                    </w:rPr>
                  </w:pPr>
                  <w:r>
                    <w:rPr>
                      <w:rFonts w:hint="eastAsia"/>
                      <w:kern w:val="0"/>
                      <w:szCs w:val="21"/>
                      <w:lang w:bidi="ar"/>
                    </w:rPr>
                    <w:t>颗粒物</w:t>
                  </w:r>
                </w:p>
              </w:tc>
              <w:tc>
                <w:tcPr>
                  <w:tcW w:w="1213" w:type="dxa"/>
                  <w:vAlign w:val="center"/>
                </w:tcPr>
                <w:p>
                  <w:pPr>
                    <w:widowControl/>
                    <w:jc w:val="center"/>
                    <w:textAlignment w:val="center"/>
                    <w:rPr>
                      <w:kern w:val="0"/>
                      <w:szCs w:val="21"/>
                      <w:lang w:bidi="ar"/>
                    </w:rPr>
                  </w:pPr>
                  <w:r>
                    <w:rPr>
                      <w:rFonts w:hint="eastAsia"/>
                      <w:kern w:val="0"/>
                      <w:szCs w:val="21"/>
                      <w:lang w:bidi="ar"/>
                    </w:rPr>
                    <w:t>设备密闭负压收集</w:t>
                  </w:r>
                </w:p>
              </w:tc>
              <w:tc>
                <w:tcPr>
                  <w:tcW w:w="928" w:type="dxa"/>
                  <w:vAlign w:val="center"/>
                </w:tcPr>
                <w:p>
                  <w:pPr>
                    <w:widowControl/>
                    <w:jc w:val="center"/>
                    <w:textAlignment w:val="center"/>
                    <w:rPr>
                      <w:kern w:val="0"/>
                      <w:szCs w:val="21"/>
                      <w:lang w:bidi="ar"/>
                    </w:rPr>
                  </w:pPr>
                  <w:r>
                    <w:rPr>
                      <w:rFonts w:hint="eastAsia"/>
                      <w:kern w:val="0"/>
                      <w:szCs w:val="21"/>
                      <w:lang w:bidi="ar"/>
                    </w:rPr>
                    <w:t>/</w:t>
                  </w:r>
                </w:p>
              </w:tc>
              <w:tc>
                <w:tcPr>
                  <w:tcW w:w="1336" w:type="dxa"/>
                  <w:vAlign w:val="center"/>
                </w:tcPr>
                <w:p>
                  <w:pPr>
                    <w:widowControl/>
                    <w:jc w:val="center"/>
                    <w:textAlignment w:val="center"/>
                    <w:rPr>
                      <w:kern w:val="0"/>
                      <w:szCs w:val="21"/>
                      <w:lang w:bidi="ar"/>
                    </w:rPr>
                  </w:pPr>
                  <w:r>
                    <w:rPr>
                      <w:rFonts w:hint="eastAsia"/>
                      <w:kern w:val="0"/>
                      <w:szCs w:val="21"/>
                      <w:lang w:bidi="ar"/>
                    </w:rPr>
                    <w:t>/</w:t>
                  </w:r>
                </w:p>
              </w:tc>
              <w:tc>
                <w:tcPr>
                  <w:tcW w:w="1224" w:type="dxa"/>
                  <w:vAlign w:val="center"/>
                </w:tcPr>
                <w:p>
                  <w:pPr>
                    <w:widowControl/>
                    <w:jc w:val="center"/>
                    <w:textAlignment w:val="center"/>
                    <w:rPr>
                      <w:kern w:val="0"/>
                      <w:szCs w:val="21"/>
                      <w:lang w:bidi="ar"/>
                    </w:rPr>
                  </w:pPr>
                  <w:r>
                    <w:rPr>
                      <w:rFonts w:hint="eastAsia"/>
                      <w:kern w:val="0"/>
                      <w:szCs w:val="21"/>
                      <w:lang w:bidi="ar"/>
                    </w:rPr>
                    <w:t>69.5</w:t>
                  </w:r>
                  <w:r>
                    <w:rPr>
                      <w:kern w:val="0"/>
                      <w:szCs w:val="21"/>
                      <w:lang w:bidi="ar"/>
                    </w:rPr>
                    <w:t>m</w:t>
                  </w:r>
                  <w:r>
                    <w:rPr>
                      <w:rFonts w:hint="eastAsia"/>
                      <w:kern w:val="0"/>
                      <w:szCs w:val="21"/>
                      <w:vertAlign w:val="superscript"/>
                      <w:lang w:bidi="ar"/>
                    </w:rPr>
                    <w:t>2</w:t>
                  </w:r>
                  <w:r>
                    <w:rPr>
                      <w:kern w:val="0"/>
                      <w:szCs w:val="21"/>
                      <w:lang w:bidi="ar"/>
                    </w:rPr>
                    <w:t>×</w:t>
                  </w:r>
                  <w:r>
                    <w:rPr>
                      <w:rFonts w:hint="eastAsia"/>
                      <w:kern w:val="0"/>
                      <w:szCs w:val="21"/>
                      <w:lang w:bidi="ar"/>
                    </w:rPr>
                    <w:t>3.5</w:t>
                  </w:r>
                  <w:r>
                    <w:rPr>
                      <w:kern w:val="0"/>
                      <w:szCs w:val="21"/>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3" w:type="dxa"/>
                  <w:vMerge w:val="continue"/>
                  <w:vAlign w:val="center"/>
                </w:tcPr>
                <w:p>
                  <w:pPr>
                    <w:widowControl/>
                    <w:jc w:val="center"/>
                    <w:textAlignment w:val="center"/>
                    <w:rPr>
                      <w:kern w:val="0"/>
                      <w:szCs w:val="21"/>
                      <w:lang w:bidi="ar"/>
                    </w:rPr>
                  </w:pPr>
                </w:p>
              </w:tc>
              <w:tc>
                <w:tcPr>
                  <w:tcW w:w="1213" w:type="dxa"/>
                  <w:vAlign w:val="center"/>
                </w:tcPr>
                <w:p>
                  <w:pPr>
                    <w:jc w:val="center"/>
                    <w:rPr>
                      <w:kern w:val="0"/>
                      <w:szCs w:val="21"/>
                      <w:lang w:bidi="ar"/>
                    </w:rPr>
                  </w:pPr>
                  <w:r>
                    <w:rPr>
                      <w:rFonts w:hint="eastAsia"/>
                      <w:kern w:val="0"/>
                      <w:szCs w:val="21"/>
                    </w:rPr>
                    <w:t>酸洗</w:t>
                  </w:r>
                </w:p>
              </w:tc>
              <w:tc>
                <w:tcPr>
                  <w:tcW w:w="1296" w:type="dxa"/>
                  <w:vAlign w:val="center"/>
                </w:tcPr>
                <w:p>
                  <w:pPr>
                    <w:widowControl/>
                    <w:jc w:val="center"/>
                    <w:textAlignment w:val="center"/>
                    <w:rPr>
                      <w:kern w:val="0"/>
                      <w:szCs w:val="21"/>
                      <w:lang w:bidi="ar"/>
                    </w:rPr>
                  </w:pPr>
                  <w:r>
                    <w:rPr>
                      <w:rFonts w:hint="eastAsia"/>
                      <w:kern w:val="0"/>
                      <w:szCs w:val="21"/>
                      <w:lang w:bidi="ar"/>
                    </w:rPr>
                    <w:t>酸性气体</w:t>
                  </w:r>
                </w:p>
              </w:tc>
              <w:tc>
                <w:tcPr>
                  <w:tcW w:w="1213" w:type="dxa"/>
                  <w:vAlign w:val="center"/>
                </w:tcPr>
                <w:p>
                  <w:pPr>
                    <w:widowControl/>
                    <w:jc w:val="center"/>
                    <w:textAlignment w:val="center"/>
                    <w:rPr>
                      <w:kern w:val="0"/>
                      <w:szCs w:val="21"/>
                      <w:lang w:bidi="ar"/>
                    </w:rPr>
                  </w:pPr>
                  <w:r>
                    <w:rPr>
                      <w:rFonts w:hint="eastAsia"/>
                      <w:kern w:val="0"/>
                      <w:szCs w:val="21"/>
                      <w:lang w:bidi="ar"/>
                    </w:rPr>
                    <w:t>一根风管，集气罩</w:t>
                  </w:r>
                  <w:r>
                    <w:rPr>
                      <w:kern w:val="0"/>
                      <w:szCs w:val="21"/>
                      <w:lang w:bidi="ar"/>
                    </w:rPr>
                    <w:t>收集</w:t>
                  </w:r>
                </w:p>
              </w:tc>
              <w:tc>
                <w:tcPr>
                  <w:tcW w:w="928" w:type="dxa"/>
                  <w:vAlign w:val="center"/>
                </w:tcPr>
                <w:p>
                  <w:pPr>
                    <w:widowControl/>
                    <w:jc w:val="center"/>
                    <w:textAlignment w:val="center"/>
                    <w:rPr>
                      <w:kern w:val="0"/>
                      <w:szCs w:val="21"/>
                      <w:lang w:bidi="ar"/>
                    </w:rPr>
                  </w:pPr>
                  <w:r>
                    <w:rPr>
                      <w:rFonts w:hint="eastAsia"/>
                      <w:kern w:val="0"/>
                      <w:szCs w:val="21"/>
                      <w:lang w:bidi="ar"/>
                    </w:rPr>
                    <w:t>1根</w:t>
                  </w:r>
                </w:p>
              </w:tc>
              <w:tc>
                <w:tcPr>
                  <w:tcW w:w="1336" w:type="dxa"/>
                  <w:vAlign w:val="center"/>
                </w:tcPr>
                <w:p>
                  <w:pPr>
                    <w:widowControl/>
                    <w:jc w:val="center"/>
                    <w:textAlignment w:val="center"/>
                    <w:rPr>
                      <w:kern w:val="0"/>
                      <w:szCs w:val="21"/>
                      <w:lang w:bidi="ar"/>
                    </w:rPr>
                  </w:pPr>
                  <w:r>
                    <w:rPr>
                      <w:rFonts w:hint="eastAsia"/>
                      <w:kern w:val="0"/>
                      <w:szCs w:val="21"/>
                      <w:lang w:bidi="ar"/>
                    </w:rPr>
                    <w:t>集气罩</w:t>
                  </w:r>
                  <w:r>
                    <w:rPr>
                      <w:kern w:val="0"/>
                      <w:szCs w:val="21"/>
                      <w:lang w:bidi="ar"/>
                    </w:rPr>
                    <w:t>风量</w:t>
                  </w:r>
                  <w:r>
                    <w:rPr>
                      <w:rFonts w:hint="eastAsia"/>
                      <w:kern w:val="0"/>
                      <w:szCs w:val="21"/>
                      <w:lang w:bidi="ar"/>
                    </w:rPr>
                    <w:t>3500</w:t>
                  </w:r>
                  <w:r>
                    <w:t>m</w:t>
                  </w:r>
                  <w:r>
                    <w:rPr>
                      <w:kern w:val="0"/>
                      <w:szCs w:val="21"/>
                      <w:vertAlign w:val="superscript"/>
                      <w:lang w:bidi="ar"/>
                    </w:rPr>
                    <w:t>3</w:t>
                  </w:r>
                  <w:r>
                    <w:rPr>
                      <w:kern w:val="0"/>
                      <w:szCs w:val="21"/>
                      <w:lang w:bidi="ar"/>
                    </w:rPr>
                    <w:t>/h</w:t>
                  </w:r>
                </w:p>
              </w:tc>
              <w:tc>
                <w:tcPr>
                  <w:tcW w:w="1224" w:type="dxa"/>
                  <w:vAlign w:val="center"/>
                </w:tcPr>
                <w:p>
                  <w:pPr>
                    <w:widowControl/>
                    <w:jc w:val="center"/>
                    <w:textAlignment w:val="center"/>
                    <w:rPr>
                      <w:kern w:val="0"/>
                      <w:szCs w:val="21"/>
                      <w:lang w:bidi="ar"/>
                    </w:rPr>
                  </w:pPr>
                  <w:r>
                    <w:rPr>
                      <w:rFonts w:hint="eastAsia"/>
                      <w:kern w:val="0"/>
                      <w:szCs w:val="21"/>
                      <w:lang w:bidi="ar"/>
                    </w:rPr>
                    <w:t>5</w:t>
                  </w:r>
                  <w:r>
                    <w:rPr>
                      <w:kern w:val="0"/>
                      <w:szCs w:val="21"/>
                      <w:lang w:bidi="ar"/>
                    </w:rPr>
                    <w:t>m×</w:t>
                  </w:r>
                  <w:r>
                    <w:rPr>
                      <w:rFonts w:hint="eastAsia"/>
                      <w:kern w:val="0"/>
                      <w:szCs w:val="21"/>
                      <w:lang w:bidi="ar"/>
                    </w:rPr>
                    <w:t>4.5</w:t>
                  </w:r>
                  <w:r>
                    <w:rPr>
                      <w:kern w:val="0"/>
                      <w:szCs w:val="21"/>
                      <w:lang w:bidi="ar"/>
                    </w:rPr>
                    <w:t>m×</w:t>
                  </w:r>
                  <w:r>
                    <w:rPr>
                      <w:rFonts w:hint="eastAsia"/>
                      <w:kern w:val="0"/>
                      <w:szCs w:val="21"/>
                      <w:lang w:bidi="ar"/>
                    </w:rPr>
                    <w:t>3.5</w:t>
                  </w:r>
                  <w:r>
                    <w:rPr>
                      <w:kern w:val="0"/>
                      <w:szCs w:val="21"/>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3" w:type="dxa"/>
                  <w:vMerge w:val="continue"/>
                  <w:vAlign w:val="center"/>
                </w:tcPr>
                <w:p>
                  <w:pPr>
                    <w:widowControl/>
                    <w:jc w:val="center"/>
                    <w:textAlignment w:val="center"/>
                    <w:rPr>
                      <w:kern w:val="0"/>
                      <w:szCs w:val="21"/>
                      <w:lang w:bidi="ar"/>
                    </w:rPr>
                  </w:pPr>
                </w:p>
              </w:tc>
              <w:tc>
                <w:tcPr>
                  <w:tcW w:w="1213" w:type="dxa"/>
                  <w:vAlign w:val="center"/>
                </w:tcPr>
                <w:p>
                  <w:pPr>
                    <w:jc w:val="center"/>
                    <w:rPr>
                      <w:kern w:val="0"/>
                      <w:szCs w:val="21"/>
                      <w:lang w:bidi="ar"/>
                    </w:rPr>
                  </w:pPr>
                  <w:r>
                    <w:rPr>
                      <w:rFonts w:hint="eastAsia"/>
                      <w:kern w:val="0"/>
                      <w:szCs w:val="21"/>
                    </w:rPr>
                    <w:t>涂覆</w:t>
                  </w:r>
                </w:p>
              </w:tc>
              <w:tc>
                <w:tcPr>
                  <w:tcW w:w="1296" w:type="dxa"/>
                  <w:vAlign w:val="center"/>
                </w:tcPr>
                <w:p>
                  <w:pPr>
                    <w:widowControl/>
                    <w:jc w:val="center"/>
                    <w:textAlignment w:val="center"/>
                    <w:rPr>
                      <w:kern w:val="0"/>
                      <w:szCs w:val="21"/>
                      <w:lang w:bidi="ar"/>
                    </w:rPr>
                  </w:pPr>
                  <w:r>
                    <w:rPr>
                      <w:rFonts w:hint="eastAsia"/>
                      <w:kern w:val="0"/>
                      <w:szCs w:val="21"/>
                      <w:lang w:bidi="ar"/>
                    </w:rPr>
                    <w:t>非甲烷总烃、氯化氢</w:t>
                  </w:r>
                </w:p>
              </w:tc>
              <w:tc>
                <w:tcPr>
                  <w:tcW w:w="1213" w:type="dxa"/>
                  <w:vAlign w:val="center"/>
                </w:tcPr>
                <w:p>
                  <w:pPr>
                    <w:widowControl/>
                    <w:jc w:val="center"/>
                    <w:textAlignment w:val="center"/>
                    <w:rPr>
                      <w:kern w:val="0"/>
                      <w:szCs w:val="21"/>
                      <w:lang w:bidi="ar"/>
                    </w:rPr>
                  </w:pPr>
                  <w:r>
                    <w:rPr>
                      <w:rFonts w:hint="eastAsia"/>
                      <w:kern w:val="0"/>
                      <w:szCs w:val="21"/>
                      <w:lang w:bidi="ar"/>
                    </w:rPr>
                    <w:t>车间负压</w:t>
                  </w:r>
                  <w:r>
                    <w:rPr>
                      <w:kern w:val="0"/>
                      <w:szCs w:val="21"/>
                      <w:lang w:bidi="ar"/>
                    </w:rPr>
                    <w:t>收集</w:t>
                  </w:r>
                </w:p>
              </w:tc>
              <w:tc>
                <w:tcPr>
                  <w:tcW w:w="928" w:type="dxa"/>
                  <w:vAlign w:val="center"/>
                </w:tcPr>
                <w:p>
                  <w:pPr>
                    <w:widowControl/>
                    <w:jc w:val="center"/>
                    <w:textAlignment w:val="center"/>
                    <w:rPr>
                      <w:kern w:val="0"/>
                      <w:szCs w:val="21"/>
                      <w:lang w:bidi="ar"/>
                    </w:rPr>
                  </w:pPr>
                  <w:r>
                    <w:rPr>
                      <w:rFonts w:hint="eastAsia"/>
                      <w:kern w:val="0"/>
                      <w:szCs w:val="21"/>
                      <w:lang w:bidi="ar"/>
                    </w:rPr>
                    <w:t>/</w:t>
                  </w:r>
                </w:p>
              </w:tc>
              <w:tc>
                <w:tcPr>
                  <w:tcW w:w="1336" w:type="dxa"/>
                  <w:vAlign w:val="center"/>
                </w:tcPr>
                <w:p>
                  <w:pPr>
                    <w:widowControl/>
                    <w:jc w:val="center"/>
                    <w:textAlignment w:val="center"/>
                    <w:rPr>
                      <w:kern w:val="0"/>
                      <w:szCs w:val="21"/>
                      <w:lang w:bidi="ar"/>
                    </w:rPr>
                  </w:pPr>
                  <w:r>
                    <w:rPr>
                      <w:rFonts w:hint="eastAsia"/>
                      <w:kern w:val="0"/>
                      <w:szCs w:val="21"/>
                      <w:lang w:bidi="ar"/>
                    </w:rPr>
                    <w:t>负压</w:t>
                  </w:r>
                  <w:r>
                    <w:rPr>
                      <w:kern w:val="0"/>
                      <w:szCs w:val="21"/>
                      <w:lang w:bidi="ar"/>
                    </w:rPr>
                    <w:t>风量</w:t>
                  </w:r>
                  <w:r>
                    <w:rPr>
                      <w:rFonts w:hint="eastAsia"/>
                      <w:kern w:val="0"/>
                      <w:szCs w:val="21"/>
                      <w:lang w:bidi="ar"/>
                    </w:rPr>
                    <w:t>5000</w:t>
                  </w:r>
                  <w:r>
                    <w:t>m</w:t>
                  </w:r>
                  <w:r>
                    <w:rPr>
                      <w:kern w:val="0"/>
                      <w:szCs w:val="21"/>
                      <w:vertAlign w:val="superscript"/>
                      <w:lang w:bidi="ar"/>
                    </w:rPr>
                    <w:t>3</w:t>
                  </w:r>
                  <w:r>
                    <w:rPr>
                      <w:kern w:val="0"/>
                      <w:szCs w:val="21"/>
                      <w:lang w:bidi="ar"/>
                    </w:rPr>
                    <w:t>/h</w:t>
                  </w:r>
                </w:p>
              </w:tc>
              <w:tc>
                <w:tcPr>
                  <w:tcW w:w="1224" w:type="dxa"/>
                  <w:vAlign w:val="center"/>
                </w:tcPr>
                <w:p>
                  <w:pPr>
                    <w:widowControl/>
                    <w:jc w:val="center"/>
                    <w:textAlignment w:val="center"/>
                  </w:pPr>
                  <w:r>
                    <w:rPr>
                      <w:rFonts w:hint="eastAsia"/>
                      <w:kern w:val="0"/>
                      <w:szCs w:val="21"/>
                      <w:lang w:bidi="ar"/>
                    </w:rPr>
                    <w:t>158.3</w:t>
                  </w:r>
                  <w:r>
                    <w:rPr>
                      <w:kern w:val="0"/>
                      <w:szCs w:val="21"/>
                      <w:lang w:bidi="ar"/>
                    </w:rPr>
                    <w:t>m</w:t>
                  </w:r>
                  <w:r>
                    <w:rPr>
                      <w:rFonts w:hint="eastAsia"/>
                      <w:kern w:val="0"/>
                      <w:szCs w:val="21"/>
                      <w:vertAlign w:val="superscript"/>
                      <w:lang w:bidi="ar"/>
                    </w:rPr>
                    <w:t>2</w:t>
                  </w:r>
                  <w:r>
                    <w:rPr>
                      <w:kern w:val="0"/>
                      <w:szCs w:val="21"/>
                      <w:lang w:bidi="ar"/>
                    </w:rPr>
                    <w:t>×</w:t>
                  </w:r>
                  <w:r>
                    <w:rPr>
                      <w:rFonts w:hint="eastAsia"/>
                      <w:kern w:val="0"/>
                      <w:szCs w:val="21"/>
                      <w:lang w:bidi="ar"/>
                    </w:rPr>
                    <w:t xml:space="preserve"> 3.5</w:t>
                  </w:r>
                  <w:r>
                    <w:rPr>
                      <w:kern w:val="0"/>
                      <w:szCs w:val="21"/>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3" w:type="dxa"/>
                  <w:vAlign w:val="center"/>
                </w:tcPr>
                <w:p>
                  <w:pPr>
                    <w:widowControl/>
                    <w:jc w:val="center"/>
                    <w:textAlignment w:val="center"/>
                    <w:rPr>
                      <w:kern w:val="0"/>
                      <w:szCs w:val="21"/>
                      <w:lang w:bidi="ar"/>
                    </w:rPr>
                  </w:pPr>
                  <w:r>
                    <w:rPr>
                      <w:rFonts w:hint="eastAsia"/>
                      <w:kern w:val="0"/>
                      <w:szCs w:val="21"/>
                    </w:rPr>
                    <w:t>实验室催化剂研发</w:t>
                  </w:r>
                </w:p>
              </w:tc>
              <w:tc>
                <w:tcPr>
                  <w:tcW w:w="1213" w:type="dxa"/>
                  <w:vAlign w:val="center"/>
                </w:tcPr>
                <w:p>
                  <w:pPr>
                    <w:jc w:val="center"/>
                    <w:rPr>
                      <w:kern w:val="0"/>
                      <w:szCs w:val="21"/>
                      <w:lang w:bidi="ar"/>
                    </w:rPr>
                  </w:pPr>
                  <w:r>
                    <w:rPr>
                      <w:rFonts w:hint="eastAsia"/>
                      <w:kern w:val="0"/>
                      <w:szCs w:val="21"/>
                    </w:rPr>
                    <w:t>混合搅拌、高温煅烧</w:t>
                  </w:r>
                </w:p>
              </w:tc>
              <w:tc>
                <w:tcPr>
                  <w:tcW w:w="1296" w:type="dxa"/>
                  <w:vAlign w:val="center"/>
                </w:tcPr>
                <w:p>
                  <w:pPr>
                    <w:widowControl/>
                    <w:jc w:val="center"/>
                    <w:textAlignment w:val="center"/>
                    <w:rPr>
                      <w:kern w:val="0"/>
                      <w:szCs w:val="21"/>
                      <w:lang w:bidi="ar"/>
                    </w:rPr>
                  </w:pPr>
                  <w:r>
                    <w:rPr>
                      <w:rFonts w:hint="eastAsia"/>
                      <w:kern w:val="0"/>
                      <w:szCs w:val="21"/>
                      <w:lang w:bidi="ar"/>
                    </w:rPr>
                    <w:t>非甲烷总烃</w:t>
                  </w:r>
                </w:p>
              </w:tc>
              <w:tc>
                <w:tcPr>
                  <w:tcW w:w="1213" w:type="dxa"/>
                  <w:vAlign w:val="center"/>
                </w:tcPr>
                <w:p>
                  <w:pPr>
                    <w:widowControl/>
                    <w:jc w:val="center"/>
                    <w:textAlignment w:val="center"/>
                    <w:rPr>
                      <w:kern w:val="0"/>
                      <w:szCs w:val="21"/>
                      <w:lang w:bidi="ar"/>
                    </w:rPr>
                  </w:pPr>
                  <w:r>
                    <w:rPr>
                      <w:rFonts w:hint="eastAsia"/>
                      <w:kern w:val="0"/>
                      <w:szCs w:val="21"/>
                      <w:lang w:bidi="ar"/>
                    </w:rPr>
                    <w:t>密闭负压</w:t>
                  </w:r>
                  <w:r>
                    <w:rPr>
                      <w:kern w:val="0"/>
                      <w:szCs w:val="21"/>
                      <w:lang w:bidi="ar"/>
                    </w:rPr>
                    <w:t>收集</w:t>
                  </w:r>
                  <w:r>
                    <w:rPr>
                      <w:rFonts w:hint="eastAsia"/>
                      <w:kern w:val="0"/>
                      <w:szCs w:val="21"/>
                      <w:lang w:bidi="ar"/>
                    </w:rPr>
                    <w:t>+万向集气罩收集</w:t>
                  </w:r>
                </w:p>
              </w:tc>
              <w:tc>
                <w:tcPr>
                  <w:tcW w:w="928" w:type="dxa"/>
                  <w:vAlign w:val="center"/>
                </w:tcPr>
                <w:p>
                  <w:pPr>
                    <w:widowControl/>
                    <w:jc w:val="center"/>
                    <w:textAlignment w:val="center"/>
                    <w:rPr>
                      <w:kern w:val="0"/>
                      <w:szCs w:val="21"/>
                      <w:lang w:bidi="ar"/>
                    </w:rPr>
                  </w:pPr>
                  <w:r>
                    <w:rPr>
                      <w:rFonts w:hint="eastAsia"/>
                      <w:kern w:val="0"/>
                      <w:szCs w:val="21"/>
                      <w:lang w:bidi="ar"/>
                    </w:rPr>
                    <w:t>4个万向集气罩</w:t>
                  </w:r>
                </w:p>
              </w:tc>
              <w:tc>
                <w:tcPr>
                  <w:tcW w:w="1336" w:type="dxa"/>
                  <w:vAlign w:val="center"/>
                </w:tcPr>
                <w:p>
                  <w:pPr>
                    <w:widowControl/>
                    <w:jc w:val="center"/>
                    <w:textAlignment w:val="center"/>
                    <w:rPr>
                      <w:kern w:val="0"/>
                      <w:szCs w:val="21"/>
                      <w:lang w:bidi="ar"/>
                    </w:rPr>
                  </w:pPr>
                  <w:r>
                    <w:rPr>
                      <w:rFonts w:hint="eastAsia"/>
                      <w:kern w:val="0"/>
                      <w:szCs w:val="21"/>
                      <w:lang w:bidi="ar"/>
                    </w:rPr>
                    <w:t>负压</w:t>
                  </w:r>
                  <w:r>
                    <w:rPr>
                      <w:kern w:val="0"/>
                      <w:szCs w:val="21"/>
                      <w:lang w:bidi="ar"/>
                    </w:rPr>
                    <w:t>风量</w:t>
                  </w:r>
                  <w:r>
                    <w:rPr>
                      <w:rFonts w:hint="eastAsia"/>
                      <w:kern w:val="0"/>
                      <w:szCs w:val="21"/>
                      <w:lang w:bidi="ar"/>
                    </w:rPr>
                    <w:t>8000</w:t>
                  </w:r>
                  <w:r>
                    <w:t>m</w:t>
                  </w:r>
                  <w:r>
                    <w:rPr>
                      <w:kern w:val="0"/>
                      <w:szCs w:val="21"/>
                      <w:vertAlign w:val="superscript"/>
                      <w:lang w:bidi="ar"/>
                    </w:rPr>
                    <w:t>3</w:t>
                  </w:r>
                  <w:r>
                    <w:rPr>
                      <w:kern w:val="0"/>
                      <w:szCs w:val="21"/>
                      <w:lang w:bidi="ar"/>
                    </w:rPr>
                    <w:t>/h</w:t>
                  </w:r>
                </w:p>
              </w:tc>
              <w:tc>
                <w:tcPr>
                  <w:tcW w:w="1224" w:type="dxa"/>
                  <w:vAlign w:val="center"/>
                </w:tcPr>
                <w:p>
                  <w:pPr>
                    <w:widowControl/>
                    <w:jc w:val="center"/>
                    <w:textAlignment w:val="center"/>
                  </w:pPr>
                  <w:r>
                    <w:rPr>
                      <w:rFonts w:hint="eastAsia"/>
                    </w:rPr>
                    <w:t>262</w:t>
                  </w:r>
                  <w:r>
                    <w:rPr>
                      <w:kern w:val="0"/>
                      <w:szCs w:val="21"/>
                      <w:lang w:bidi="ar"/>
                    </w:rPr>
                    <w:t>m</w:t>
                  </w:r>
                  <w:r>
                    <w:rPr>
                      <w:rFonts w:hint="eastAsia"/>
                      <w:kern w:val="0"/>
                      <w:szCs w:val="21"/>
                      <w:vertAlign w:val="superscript"/>
                      <w:lang w:bidi="ar"/>
                    </w:rPr>
                    <w:t>2</w:t>
                  </w:r>
                  <w:r>
                    <w:rPr>
                      <w:kern w:val="0"/>
                      <w:szCs w:val="21"/>
                      <w:lang w:bidi="ar"/>
                    </w:rPr>
                    <w:t>×</w:t>
                  </w:r>
                  <w:r>
                    <w:rPr>
                      <w:rFonts w:hint="eastAsia"/>
                      <w:kern w:val="0"/>
                      <w:szCs w:val="21"/>
                      <w:lang w:bidi="ar"/>
                    </w:rPr>
                    <w:t>3.5</w:t>
                  </w:r>
                  <w:r>
                    <w:rPr>
                      <w:kern w:val="0"/>
                      <w:szCs w:val="21"/>
                      <w:lang w:bidi="ar"/>
                    </w:rPr>
                    <w:t>m</w:t>
                  </w:r>
                </w:p>
              </w:tc>
            </w:tr>
          </w:tbl>
          <w:p>
            <w:pPr>
              <w:widowControl/>
              <w:numPr>
                <w:ilvl w:val="0"/>
                <w:numId w:val="1"/>
              </w:numPr>
              <w:jc w:val="center"/>
              <w:rPr>
                <w:b/>
                <w:kern w:val="0"/>
                <w:szCs w:val="21"/>
              </w:rPr>
            </w:pPr>
            <w:r>
              <w:rPr>
                <w:b/>
                <w:kern w:val="0"/>
                <w:szCs w:val="21"/>
              </w:rPr>
              <w:t xml:space="preserve">  </w:t>
            </w:r>
            <w:r>
              <w:rPr>
                <w:rFonts w:hint="eastAsia"/>
                <w:b/>
                <w:kern w:val="0"/>
                <w:szCs w:val="21"/>
              </w:rPr>
              <w:t>本项目</w:t>
            </w:r>
            <w:r>
              <w:rPr>
                <w:b/>
                <w:kern w:val="0"/>
                <w:szCs w:val="21"/>
                <w:lang w:val="zh-TW"/>
              </w:rPr>
              <w:t>无组织</w:t>
            </w:r>
            <w:r>
              <w:rPr>
                <w:b/>
                <w:kern w:val="0"/>
                <w:szCs w:val="21"/>
                <w:lang w:val="zh-TW" w:eastAsia="zh-TW"/>
              </w:rPr>
              <w:t>废气污染源汇总表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6"/>
              <w:gridCol w:w="906"/>
              <w:gridCol w:w="1155"/>
              <w:gridCol w:w="834"/>
              <w:gridCol w:w="855"/>
              <w:gridCol w:w="930"/>
              <w:gridCol w:w="811"/>
              <w:gridCol w:w="94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Align w:val="center"/>
                </w:tcPr>
                <w:p>
                  <w:pPr>
                    <w:widowControl/>
                    <w:jc w:val="center"/>
                    <w:textAlignment w:val="center"/>
                    <w:rPr>
                      <w:b/>
                      <w:bCs/>
                      <w:kern w:val="0"/>
                      <w:szCs w:val="21"/>
                      <w:lang w:bidi="ar"/>
                    </w:rPr>
                  </w:pPr>
                  <w:r>
                    <w:rPr>
                      <w:b/>
                      <w:bCs/>
                      <w:kern w:val="0"/>
                      <w:szCs w:val="21"/>
                      <w:lang w:val="zh-TW" w:eastAsia="zh-TW" w:bidi="ar"/>
                    </w:rPr>
                    <w:t>序号</w:t>
                  </w:r>
                </w:p>
              </w:tc>
              <w:tc>
                <w:tcPr>
                  <w:tcW w:w="2061" w:type="dxa"/>
                  <w:gridSpan w:val="2"/>
                  <w:vAlign w:val="center"/>
                </w:tcPr>
                <w:p>
                  <w:pPr>
                    <w:widowControl/>
                    <w:jc w:val="center"/>
                    <w:textAlignment w:val="center"/>
                    <w:rPr>
                      <w:b/>
                      <w:bCs/>
                      <w:kern w:val="0"/>
                      <w:szCs w:val="21"/>
                      <w:lang w:bidi="ar"/>
                    </w:rPr>
                  </w:pPr>
                  <w:r>
                    <w:rPr>
                      <w:b/>
                      <w:bCs/>
                      <w:kern w:val="0"/>
                      <w:szCs w:val="21"/>
                      <w:lang w:val="zh-TW" w:eastAsia="zh-TW" w:bidi="ar"/>
                    </w:rPr>
                    <w:t>污染</w:t>
                  </w:r>
                  <w:r>
                    <w:rPr>
                      <w:b/>
                      <w:bCs/>
                      <w:kern w:val="0"/>
                      <w:szCs w:val="21"/>
                      <w:lang w:bidi="ar"/>
                    </w:rPr>
                    <w:t>源</w:t>
                  </w:r>
                </w:p>
              </w:tc>
              <w:tc>
                <w:tcPr>
                  <w:tcW w:w="834" w:type="dxa"/>
                  <w:vAlign w:val="center"/>
                </w:tcPr>
                <w:p>
                  <w:pPr>
                    <w:widowControl/>
                    <w:jc w:val="center"/>
                    <w:textAlignment w:val="center"/>
                    <w:rPr>
                      <w:b/>
                      <w:bCs/>
                      <w:kern w:val="0"/>
                      <w:szCs w:val="21"/>
                      <w:lang w:bidi="ar"/>
                    </w:rPr>
                  </w:pPr>
                  <w:r>
                    <w:rPr>
                      <w:b/>
                      <w:bCs/>
                      <w:kern w:val="0"/>
                      <w:szCs w:val="21"/>
                      <w:lang w:bidi="ar"/>
                    </w:rPr>
                    <w:t>污染物</w:t>
                  </w:r>
                </w:p>
              </w:tc>
              <w:tc>
                <w:tcPr>
                  <w:tcW w:w="855" w:type="dxa"/>
                  <w:vAlign w:val="center"/>
                </w:tcPr>
                <w:p>
                  <w:pPr>
                    <w:widowControl/>
                    <w:jc w:val="center"/>
                    <w:textAlignment w:val="center"/>
                    <w:rPr>
                      <w:b/>
                      <w:bCs/>
                      <w:kern w:val="0"/>
                      <w:szCs w:val="21"/>
                      <w:lang w:bidi="ar"/>
                    </w:rPr>
                  </w:pPr>
                  <w:r>
                    <w:rPr>
                      <w:b/>
                      <w:bCs/>
                      <w:kern w:val="0"/>
                      <w:szCs w:val="21"/>
                      <w:lang w:val="zh-TW" w:bidi="ar"/>
                    </w:rPr>
                    <w:t>产生量</w:t>
                  </w:r>
                  <w:r>
                    <w:rPr>
                      <w:b/>
                      <w:bCs/>
                      <w:kern w:val="0"/>
                      <w:szCs w:val="21"/>
                      <w:lang w:bidi="ar"/>
                    </w:rPr>
                    <w:t>(kg/a)</w:t>
                  </w:r>
                </w:p>
              </w:tc>
              <w:tc>
                <w:tcPr>
                  <w:tcW w:w="930" w:type="dxa"/>
                  <w:vAlign w:val="center"/>
                </w:tcPr>
                <w:p>
                  <w:pPr>
                    <w:widowControl/>
                    <w:jc w:val="center"/>
                    <w:textAlignment w:val="center"/>
                    <w:rPr>
                      <w:b/>
                      <w:bCs/>
                      <w:kern w:val="0"/>
                      <w:szCs w:val="21"/>
                      <w:lang w:bidi="ar"/>
                    </w:rPr>
                  </w:pPr>
                  <w:r>
                    <w:rPr>
                      <w:b/>
                      <w:bCs/>
                      <w:kern w:val="0"/>
                      <w:szCs w:val="21"/>
                      <w:lang w:val="zh-TW" w:bidi="ar"/>
                    </w:rPr>
                    <w:t>产生速率（</w:t>
                  </w:r>
                  <w:r>
                    <w:rPr>
                      <w:b/>
                      <w:bCs/>
                      <w:kern w:val="0"/>
                      <w:szCs w:val="21"/>
                      <w:lang w:bidi="ar"/>
                    </w:rPr>
                    <w:t>kg/h</w:t>
                  </w:r>
                  <w:r>
                    <w:rPr>
                      <w:b/>
                      <w:bCs/>
                      <w:kern w:val="0"/>
                      <w:szCs w:val="21"/>
                      <w:lang w:val="zh-TW" w:bidi="ar"/>
                    </w:rPr>
                    <w:t>）</w:t>
                  </w:r>
                </w:p>
              </w:tc>
              <w:tc>
                <w:tcPr>
                  <w:tcW w:w="811" w:type="dxa"/>
                  <w:vAlign w:val="center"/>
                </w:tcPr>
                <w:p>
                  <w:pPr>
                    <w:widowControl/>
                    <w:jc w:val="center"/>
                    <w:textAlignment w:val="center"/>
                    <w:rPr>
                      <w:b/>
                      <w:bCs/>
                      <w:kern w:val="0"/>
                      <w:szCs w:val="21"/>
                      <w:lang w:val="zh-TW" w:bidi="ar"/>
                    </w:rPr>
                  </w:pPr>
                  <w:r>
                    <w:rPr>
                      <w:b/>
                      <w:bCs/>
                      <w:kern w:val="0"/>
                      <w:szCs w:val="21"/>
                      <w:lang w:val="zh-TW" w:bidi="ar"/>
                    </w:rPr>
                    <w:t>排放量</w:t>
                  </w:r>
                  <w:r>
                    <w:rPr>
                      <w:b/>
                      <w:bCs/>
                      <w:kern w:val="0"/>
                      <w:szCs w:val="21"/>
                      <w:lang w:bidi="ar"/>
                    </w:rPr>
                    <w:t>(kg/a)</w:t>
                  </w:r>
                </w:p>
              </w:tc>
              <w:tc>
                <w:tcPr>
                  <w:tcW w:w="940" w:type="dxa"/>
                  <w:vAlign w:val="center"/>
                </w:tcPr>
                <w:p>
                  <w:pPr>
                    <w:widowControl/>
                    <w:jc w:val="center"/>
                    <w:textAlignment w:val="center"/>
                    <w:rPr>
                      <w:b/>
                      <w:bCs/>
                      <w:kern w:val="0"/>
                      <w:szCs w:val="21"/>
                      <w:lang w:val="zh-TW" w:bidi="ar"/>
                    </w:rPr>
                  </w:pPr>
                  <w:r>
                    <w:rPr>
                      <w:b/>
                      <w:bCs/>
                      <w:kern w:val="0"/>
                      <w:szCs w:val="21"/>
                      <w:lang w:val="zh-TW" w:bidi="ar"/>
                    </w:rPr>
                    <w:t>排放速率（</w:t>
                  </w:r>
                  <w:r>
                    <w:rPr>
                      <w:b/>
                      <w:bCs/>
                      <w:kern w:val="0"/>
                      <w:szCs w:val="21"/>
                      <w:lang w:bidi="ar"/>
                    </w:rPr>
                    <w:t>kg/h</w:t>
                  </w:r>
                  <w:r>
                    <w:rPr>
                      <w:b/>
                      <w:bCs/>
                      <w:kern w:val="0"/>
                      <w:szCs w:val="21"/>
                      <w:lang w:val="zh-TW" w:bidi="ar"/>
                    </w:rPr>
                    <w:t>）</w:t>
                  </w:r>
                </w:p>
              </w:tc>
              <w:tc>
                <w:tcPr>
                  <w:tcW w:w="1276" w:type="dxa"/>
                  <w:vAlign w:val="center"/>
                </w:tcPr>
                <w:p>
                  <w:pPr>
                    <w:widowControl/>
                    <w:jc w:val="center"/>
                    <w:textAlignment w:val="center"/>
                    <w:rPr>
                      <w:b/>
                      <w:bCs/>
                      <w:kern w:val="0"/>
                      <w:szCs w:val="21"/>
                      <w:lang w:val="zh-TW" w:bidi="ar"/>
                    </w:rPr>
                  </w:pPr>
                  <w:r>
                    <w:rPr>
                      <w:b/>
                      <w:bCs/>
                      <w:kern w:val="0"/>
                      <w:szCs w:val="21"/>
                      <w:lang w:val="zh-TW" w:bidi="ar"/>
                    </w:rPr>
                    <w:t>排放源参数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Align w:val="center"/>
                </w:tcPr>
                <w:p>
                  <w:pPr>
                    <w:widowControl/>
                    <w:jc w:val="center"/>
                    <w:textAlignment w:val="center"/>
                    <w:rPr>
                      <w:kern w:val="0"/>
                      <w:szCs w:val="21"/>
                      <w:lang w:bidi="ar"/>
                    </w:rPr>
                  </w:pPr>
                  <w:r>
                    <w:rPr>
                      <w:rFonts w:hint="eastAsia"/>
                      <w:kern w:val="0"/>
                      <w:szCs w:val="21"/>
                      <w:lang w:bidi="ar"/>
                    </w:rPr>
                    <w:t>1</w:t>
                  </w:r>
                </w:p>
              </w:tc>
              <w:tc>
                <w:tcPr>
                  <w:tcW w:w="906" w:type="dxa"/>
                  <w:vMerge w:val="restart"/>
                  <w:vAlign w:val="center"/>
                </w:tcPr>
                <w:p>
                  <w:pPr>
                    <w:spacing w:line="240" w:lineRule="atLeast"/>
                    <w:jc w:val="center"/>
                    <w:rPr>
                      <w:kern w:val="0"/>
                      <w:szCs w:val="21"/>
                      <w:lang w:bidi="ar"/>
                    </w:rPr>
                  </w:pPr>
                  <w:r>
                    <w:rPr>
                      <w:rFonts w:hint="eastAsia"/>
                      <w:kern w:val="0"/>
                      <w:szCs w:val="21"/>
                      <w:lang w:bidi="ar"/>
                    </w:rPr>
                    <w:t>电极片</w:t>
                  </w:r>
                </w:p>
              </w:tc>
              <w:tc>
                <w:tcPr>
                  <w:tcW w:w="1155" w:type="dxa"/>
                  <w:vAlign w:val="center"/>
                </w:tcPr>
                <w:p>
                  <w:pPr>
                    <w:spacing w:line="240" w:lineRule="atLeast"/>
                    <w:jc w:val="center"/>
                    <w:rPr>
                      <w:kern w:val="0"/>
                      <w:szCs w:val="21"/>
                      <w:lang w:bidi="ar"/>
                    </w:rPr>
                  </w:pPr>
                  <w:r>
                    <w:rPr>
                      <w:rFonts w:hint="eastAsia"/>
                      <w:kern w:val="0"/>
                      <w:szCs w:val="21"/>
                      <w:lang w:bidi="ar"/>
                    </w:rPr>
                    <w:t>喷砂</w:t>
                  </w:r>
                </w:p>
              </w:tc>
              <w:tc>
                <w:tcPr>
                  <w:tcW w:w="834" w:type="dxa"/>
                  <w:vAlign w:val="center"/>
                </w:tcPr>
                <w:p>
                  <w:pPr>
                    <w:spacing w:line="240" w:lineRule="atLeast"/>
                    <w:jc w:val="center"/>
                    <w:rPr>
                      <w:kern w:val="0"/>
                      <w:szCs w:val="21"/>
                      <w:lang w:bidi="ar"/>
                    </w:rPr>
                  </w:pPr>
                  <w:r>
                    <w:rPr>
                      <w:rFonts w:hint="eastAsia"/>
                      <w:kern w:val="0"/>
                      <w:szCs w:val="21"/>
                      <w:lang w:bidi="ar"/>
                    </w:rPr>
                    <w:t>颗粒物</w:t>
                  </w:r>
                </w:p>
              </w:tc>
              <w:tc>
                <w:tcPr>
                  <w:tcW w:w="855" w:type="dxa"/>
                  <w:vAlign w:val="center"/>
                </w:tcPr>
                <w:p>
                  <w:pPr>
                    <w:widowControl/>
                    <w:jc w:val="center"/>
                    <w:textAlignment w:val="center"/>
                    <w:rPr>
                      <w:kern w:val="0"/>
                      <w:szCs w:val="21"/>
                      <w:lang w:bidi="ar"/>
                    </w:rPr>
                  </w:pPr>
                  <w:r>
                    <w:rPr>
                      <w:rFonts w:hint="eastAsia"/>
                      <w:kern w:val="0"/>
                      <w:szCs w:val="21"/>
                      <w:lang w:bidi="ar"/>
                    </w:rPr>
                    <w:t>2.19</w:t>
                  </w:r>
                </w:p>
              </w:tc>
              <w:tc>
                <w:tcPr>
                  <w:tcW w:w="930" w:type="dxa"/>
                  <w:vAlign w:val="center"/>
                </w:tcPr>
                <w:p>
                  <w:pPr>
                    <w:widowControl/>
                    <w:jc w:val="center"/>
                    <w:textAlignment w:val="center"/>
                    <w:rPr>
                      <w:kern w:val="0"/>
                      <w:szCs w:val="21"/>
                      <w:lang w:bidi="ar"/>
                    </w:rPr>
                  </w:pPr>
                  <w:r>
                    <w:rPr>
                      <w:rFonts w:hint="eastAsia"/>
                      <w:kern w:val="0"/>
                      <w:szCs w:val="21"/>
                      <w:lang w:bidi="ar"/>
                    </w:rPr>
                    <w:t>0.000978</w:t>
                  </w:r>
                </w:p>
              </w:tc>
              <w:tc>
                <w:tcPr>
                  <w:tcW w:w="811" w:type="dxa"/>
                  <w:vAlign w:val="center"/>
                </w:tcPr>
                <w:p>
                  <w:pPr>
                    <w:widowControl/>
                    <w:jc w:val="center"/>
                    <w:textAlignment w:val="center"/>
                    <w:rPr>
                      <w:kern w:val="0"/>
                      <w:szCs w:val="21"/>
                      <w:lang w:bidi="ar"/>
                    </w:rPr>
                  </w:pPr>
                  <w:r>
                    <w:rPr>
                      <w:rFonts w:hint="eastAsia"/>
                      <w:kern w:val="0"/>
                      <w:szCs w:val="21"/>
                      <w:lang w:bidi="ar"/>
                    </w:rPr>
                    <w:t>0.219</w:t>
                  </w:r>
                </w:p>
              </w:tc>
              <w:tc>
                <w:tcPr>
                  <w:tcW w:w="940" w:type="dxa"/>
                  <w:vAlign w:val="center"/>
                </w:tcPr>
                <w:p>
                  <w:pPr>
                    <w:widowControl/>
                    <w:jc w:val="center"/>
                    <w:textAlignment w:val="center"/>
                    <w:rPr>
                      <w:kern w:val="0"/>
                      <w:szCs w:val="21"/>
                      <w:lang w:bidi="ar"/>
                    </w:rPr>
                  </w:pPr>
                  <w:r>
                    <w:rPr>
                      <w:rFonts w:hint="eastAsia"/>
                      <w:kern w:val="0"/>
                      <w:szCs w:val="21"/>
                      <w:lang w:bidi="ar"/>
                    </w:rPr>
                    <w:t>0.0000978</w:t>
                  </w:r>
                </w:p>
              </w:tc>
              <w:tc>
                <w:tcPr>
                  <w:tcW w:w="1276" w:type="dxa"/>
                  <w:vAlign w:val="center"/>
                </w:tcPr>
                <w:p>
                  <w:pPr>
                    <w:widowControl/>
                    <w:jc w:val="center"/>
                    <w:textAlignment w:val="center"/>
                    <w:rPr>
                      <w:kern w:val="0"/>
                      <w:szCs w:val="21"/>
                      <w:lang w:bidi="ar"/>
                    </w:rPr>
                  </w:pPr>
                  <w:r>
                    <w:rPr>
                      <w:rFonts w:hint="eastAsia"/>
                      <w:kern w:val="0"/>
                      <w:szCs w:val="21"/>
                      <w:lang w:bidi="ar"/>
                    </w:rPr>
                    <w:t>243.25</w:t>
                  </w:r>
                  <w:r>
                    <w:rPr>
                      <w:kern w:val="0"/>
                      <w:szCs w:val="21"/>
                      <w:lang w:bidi="ar"/>
                    </w:rPr>
                    <w:t>m</w:t>
                  </w:r>
                  <w:r>
                    <w:rPr>
                      <w:rFonts w:hint="eastAsia"/>
                      <w:kern w:val="0"/>
                      <w:szCs w:val="21"/>
                      <w:vertAlign w:val="superscript"/>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Align w:val="center"/>
                </w:tcPr>
                <w:p>
                  <w:pPr>
                    <w:widowControl/>
                    <w:jc w:val="center"/>
                    <w:textAlignment w:val="center"/>
                    <w:rPr>
                      <w:kern w:val="0"/>
                      <w:szCs w:val="21"/>
                      <w:lang w:bidi="ar"/>
                    </w:rPr>
                  </w:pPr>
                  <w:r>
                    <w:rPr>
                      <w:rFonts w:hint="eastAsia"/>
                      <w:kern w:val="0"/>
                      <w:szCs w:val="21"/>
                      <w:lang w:bidi="ar"/>
                    </w:rPr>
                    <w:t>2</w:t>
                  </w:r>
                </w:p>
              </w:tc>
              <w:tc>
                <w:tcPr>
                  <w:tcW w:w="906" w:type="dxa"/>
                  <w:vMerge w:val="continue"/>
                  <w:vAlign w:val="center"/>
                </w:tcPr>
                <w:p>
                  <w:pPr>
                    <w:spacing w:line="240" w:lineRule="atLeast"/>
                    <w:jc w:val="center"/>
                  </w:pPr>
                </w:p>
              </w:tc>
              <w:tc>
                <w:tcPr>
                  <w:tcW w:w="1155" w:type="dxa"/>
                  <w:vAlign w:val="center"/>
                </w:tcPr>
                <w:p>
                  <w:pPr>
                    <w:spacing w:line="240" w:lineRule="atLeast"/>
                    <w:jc w:val="center"/>
                    <w:rPr>
                      <w:kern w:val="0"/>
                      <w:szCs w:val="21"/>
                      <w:lang w:bidi="ar"/>
                    </w:rPr>
                  </w:pPr>
                  <w:r>
                    <w:rPr>
                      <w:rFonts w:hint="eastAsia"/>
                      <w:kern w:val="0"/>
                      <w:szCs w:val="21"/>
                      <w:lang w:bidi="ar"/>
                    </w:rPr>
                    <w:t>酸洗</w:t>
                  </w:r>
                </w:p>
              </w:tc>
              <w:tc>
                <w:tcPr>
                  <w:tcW w:w="834" w:type="dxa"/>
                  <w:vAlign w:val="center"/>
                </w:tcPr>
                <w:p>
                  <w:pPr>
                    <w:spacing w:line="240" w:lineRule="atLeast"/>
                    <w:jc w:val="center"/>
                  </w:pPr>
                  <w:r>
                    <w:rPr>
                      <w:rFonts w:hint="eastAsia"/>
                      <w:kern w:val="0"/>
                      <w:szCs w:val="21"/>
                      <w:lang w:bidi="ar"/>
                    </w:rPr>
                    <w:t>酸性气体</w:t>
                  </w:r>
                </w:p>
              </w:tc>
              <w:tc>
                <w:tcPr>
                  <w:tcW w:w="855" w:type="dxa"/>
                  <w:vAlign w:val="center"/>
                </w:tcPr>
                <w:p>
                  <w:pPr>
                    <w:widowControl/>
                    <w:jc w:val="center"/>
                    <w:textAlignment w:val="center"/>
                    <w:rPr>
                      <w:kern w:val="0"/>
                      <w:szCs w:val="21"/>
                      <w:lang w:bidi="ar"/>
                    </w:rPr>
                  </w:pPr>
                  <w:r>
                    <w:rPr>
                      <w:rFonts w:hint="eastAsia"/>
                      <w:kern w:val="0"/>
                      <w:szCs w:val="21"/>
                      <w:lang w:bidi="ar"/>
                    </w:rPr>
                    <w:t>1</w:t>
                  </w:r>
                </w:p>
              </w:tc>
              <w:tc>
                <w:tcPr>
                  <w:tcW w:w="930" w:type="dxa"/>
                  <w:vAlign w:val="center"/>
                </w:tcPr>
                <w:p>
                  <w:pPr>
                    <w:widowControl/>
                    <w:jc w:val="center"/>
                    <w:textAlignment w:val="center"/>
                    <w:rPr>
                      <w:kern w:val="0"/>
                      <w:szCs w:val="21"/>
                      <w:lang w:bidi="ar"/>
                    </w:rPr>
                  </w:pPr>
                  <w:r>
                    <w:rPr>
                      <w:rFonts w:hint="eastAsia"/>
                      <w:kern w:val="0"/>
                      <w:szCs w:val="21"/>
                      <w:lang w:bidi="ar"/>
                    </w:rPr>
                    <w:t>0.000446</w:t>
                  </w:r>
                </w:p>
              </w:tc>
              <w:tc>
                <w:tcPr>
                  <w:tcW w:w="811" w:type="dxa"/>
                  <w:vAlign w:val="center"/>
                </w:tcPr>
                <w:p>
                  <w:pPr>
                    <w:widowControl/>
                    <w:jc w:val="center"/>
                    <w:textAlignment w:val="center"/>
                    <w:rPr>
                      <w:kern w:val="0"/>
                      <w:szCs w:val="21"/>
                      <w:lang w:bidi="ar"/>
                    </w:rPr>
                  </w:pPr>
                  <w:r>
                    <w:rPr>
                      <w:rFonts w:hint="eastAsia"/>
                      <w:kern w:val="0"/>
                      <w:szCs w:val="21"/>
                      <w:lang w:bidi="ar"/>
                    </w:rPr>
                    <w:t>1</w:t>
                  </w:r>
                </w:p>
              </w:tc>
              <w:tc>
                <w:tcPr>
                  <w:tcW w:w="940" w:type="dxa"/>
                  <w:vAlign w:val="center"/>
                </w:tcPr>
                <w:p>
                  <w:pPr>
                    <w:widowControl/>
                    <w:jc w:val="center"/>
                    <w:textAlignment w:val="center"/>
                    <w:rPr>
                      <w:kern w:val="0"/>
                      <w:szCs w:val="21"/>
                      <w:lang w:bidi="ar"/>
                    </w:rPr>
                  </w:pPr>
                  <w:r>
                    <w:rPr>
                      <w:rFonts w:hint="eastAsia"/>
                      <w:kern w:val="0"/>
                      <w:szCs w:val="21"/>
                      <w:lang w:bidi="ar"/>
                    </w:rPr>
                    <w:t>0.000446</w:t>
                  </w:r>
                </w:p>
              </w:tc>
              <w:tc>
                <w:tcPr>
                  <w:tcW w:w="1276" w:type="dxa"/>
                  <w:vAlign w:val="center"/>
                </w:tcPr>
                <w:p>
                  <w:pPr>
                    <w:widowControl/>
                    <w:jc w:val="center"/>
                    <w:textAlignment w:val="center"/>
                    <w:rPr>
                      <w:kern w:val="0"/>
                      <w:szCs w:val="21"/>
                      <w:lang w:bidi="ar"/>
                    </w:rPr>
                  </w:pPr>
                  <w:r>
                    <w:rPr>
                      <w:rFonts w:hint="eastAsia"/>
                      <w:kern w:val="0"/>
                      <w:szCs w:val="21"/>
                      <w:lang w:bidi="ar"/>
                    </w:rPr>
                    <w:t>5</w:t>
                  </w:r>
                  <w:r>
                    <w:rPr>
                      <w:kern w:val="0"/>
                      <w:szCs w:val="21"/>
                      <w:lang w:bidi="ar"/>
                    </w:rPr>
                    <w:t>m×</w:t>
                  </w:r>
                  <w:r>
                    <w:rPr>
                      <w:rFonts w:hint="eastAsia"/>
                      <w:kern w:val="0"/>
                      <w:szCs w:val="21"/>
                      <w:lang w:bidi="ar"/>
                    </w:rPr>
                    <w:t>4.5</w:t>
                  </w:r>
                  <w:r>
                    <w:rPr>
                      <w:kern w:val="0"/>
                      <w:szCs w:val="21"/>
                      <w:lang w:bidi="ar"/>
                    </w:rPr>
                    <w:t>m×</w:t>
                  </w:r>
                  <w:r>
                    <w:rPr>
                      <w:rFonts w:hint="eastAsia"/>
                      <w:kern w:val="0"/>
                      <w:szCs w:val="21"/>
                      <w:lang w:bidi="ar"/>
                    </w:rPr>
                    <w:t>3.5</w:t>
                  </w:r>
                  <w:r>
                    <w:rPr>
                      <w:kern w:val="0"/>
                      <w:szCs w:val="21"/>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Align w:val="center"/>
                </w:tcPr>
                <w:p>
                  <w:pPr>
                    <w:widowControl/>
                    <w:jc w:val="center"/>
                    <w:textAlignment w:val="center"/>
                    <w:rPr>
                      <w:rFonts w:hint="eastAsia" w:eastAsia="宋体"/>
                      <w:kern w:val="0"/>
                      <w:szCs w:val="21"/>
                      <w:lang w:val="en-US" w:eastAsia="zh-CN" w:bidi="ar"/>
                    </w:rPr>
                  </w:pPr>
                  <w:r>
                    <w:rPr>
                      <w:rFonts w:hint="eastAsia"/>
                      <w:kern w:val="0"/>
                      <w:szCs w:val="21"/>
                      <w:lang w:val="en-US" w:eastAsia="zh-CN" w:bidi="ar"/>
                    </w:rPr>
                    <w:t>3</w:t>
                  </w:r>
                </w:p>
              </w:tc>
              <w:tc>
                <w:tcPr>
                  <w:tcW w:w="906" w:type="dxa"/>
                  <w:vMerge w:val="continue"/>
                  <w:vAlign w:val="center"/>
                </w:tcPr>
                <w:p>
                  <w:pPr>
                    <w:spacing w:line="240" w:lineRule="atLeast"/>
                    <w:jc w:val="center"/>
                  </w:pPr>
                </w:p>
              </w:tc>
              <w:tc>
                <w:tcPr>
                  <w:tcW w:w="1155" w:type="dxa"/>
                  <w:vMerge w:val="restart"/>
                  <w:vAlign w:val="center"/>
                </w:tcPr>
                <w:p>
                  <w:pPr>
                    <w:spacing w:line="240" w:lineRule="atLeast"/>
                    <w:jc w:val="center"/>
                    <w:rPr>
                      <w:kern w:val="0"/>
                      <w:szCs w:val="21"/>
                      <w:lang w:bidi="ar"/>
                    </w:rPr>
                  </w:pPr>
                  <w:r>
                    <w:rPr>
                      <w:rFonts w:hint="eastAsia"/>
                      <w:kern w:val="0"/>
                      <w:szCs w:val="21"/>
                      <w:lang w:bidi="ar"/>
                    </w:rPr>
                    <w:t>涂覆</w:t>
                  </w:r>
                </w:p>
              </w:tc>
              <w:tc>
                <w:tcPr>
                  <w:tcW w:w="834" w:type="dxa"/>
                  <w:vAlign w:val="center"/>
                </w:tcPr>
                <w:p>
                  <w:pPr>
                    <w:spacing w:line="240" w:lineRule="atLeast"/>
                    <w:jc w:val="center"/>
                    <w:rPr>
                      <w:kern w:val="0"/>
                      <w:szCs w:val="21"/>
                      <w:lang w:bidi="ar"/>
                    </w:rPr>
                  </w:pPr>
                  <w:r>
                    <w:rPr>
                      <w:rFonts w:hint="eastAsia"/>
                      <w:kern w:val="0"/>
                      <w:szCs w:val="21"/>
                      <w:lang w:bidi="ar"/>
                    </w:rPr>
                    <w:t>非甲烷总烃</w:t>
                  </w:r>
                </w:p>
              </w:tc>
              <w:tc>
                <w:tcPr>
                  <w:tcW w:w="855" w:type="dxa"/>
                  <w:vAlign w:val="center"/>
                </w:tcPr>
                <w:p>
                  <w:pPr>
                    <w:widowControl/>
                    <w:jc w:val="center"/>
                    <w:textAlignment w:val="center"/>
                    <w:rPr>
                      <w:kern w:val="0"/>
                      <w:szCs w:val="21"/>
                      <w:lang w:bidi="ar"/>
                    </w:rPr>
                  </w:pPr>
                  <w:r>
                    <w:rPr>
                      <w:rFonts w:hint="eastAsia"/>
                      <w:kern w:val="0"/>
                      <w:szCs w:val="21"/>
                      <w:lang w:bidi="ar"/>
                    </w:rPr>
                    <w:t>4</w:t>
                  </w:r>
                </w:p>
              </w:tc>
              <w:tc>
                <w:tcPr>
                  <w:tcW w:w="930" w:type="dxa"/>
                  <w:vAlign w:val="center"/>
                </w:tcPr>
                <w:p>
                  <w:pPr>
                    <w:widowControl/>
                    <w:jc w:val="center"/>
                    <w:textAlignment w:val="center"/>
                    <w:rPr>
                      <w:kern w:val="0"/>
                      <w:szCs w:val="21"/>
                      <w:lang w:bidi="ar"/>
                    </w:rPr>
                  </w:pPr>
                  <w:r>
                    <w:rPr>
                      <w:rFonts w:hint="eastAsia"/>
                      <w:kern w:val="0"/>
                      <w:szCs w:val="21"/>
                      <w:lang w:bidi="ar"/>
                    </w:rPr>
                    <w:t>0.00179</w:t>
                  </w:r>
                </w:p>
              </w:tc>
              <w:tc>
                <w:tcPr>
                  <w:tcW w:w="811" w:type="dxa"/>
                  <w:vAlign w:val="center"/>
                </w:tcPr>
                <w:p>
                  <w:pPr>
                    <w:widowControl/>
                    <w:jc w:val="center"/>
                    <w:textAlignment w:val="center"/>
                    <w:rPr>
                      <w:kern w:val="0"/>
                      <w:szCs w:val="21"/>
                      <w:lang w:bidi="ar"/>
                    </w:rPr>
                  </w:pPr>
                  <w:r>
                    <w:rPr>
                      <w:rFonts w:hint="eastAsia"/>
                      <w:kern w:val="0"/>
                      <w:szCs w:val="21"/>
                      <w:lang w:bidi="ar"/>
                    </w:rPr>
                    <w:t>4</w:t>
                  </w:r>
                </w:p>
              </w:tc>
              <w:tc>
                <w:tcPr>
                  <w:tcW w:w="940" w:type="dxa"/>
                  <w:vAlign w:val="center"/>
                </w:tcPr>
                <w:p>
                  <w:pPr>
                    <w:widowControl/>
                    <w:jc w:val="center"/>
                    <w:textAlignment w:val="center"/>
                    <w:rPr>
                      <w:kern w:val="0"/>
                      <w:szCs w:val="21"/>
                      <w:lang w:bidi="ar"/>
                    </w:rPr>
                  </w:pPr>
                  <w:r>
                    <w:rPr>
                      <w:rFonts w:hint="eastAsia"/>
                      <w:kern w:val="0"/>
                      <w:szCs w:val="21"/>
                      <w:lang w:bidi="ar"/>
                    </w:rPr>
                    <w:t>0.00179</w:t>
                  </w:r>
                </w:p>
              </w:tc>
              <w:tc>
                <w:tcPr>
                  <w:tcW w:w="1276" w:type="dxa"/>
                  <w:vMerge w:val="restart"/>
                  <w:vAlign w:val="center"/>
                </w:tcPr>
                <w:p>
                  <w:pPr>
                    <w:widowControl/>
                    <w:jc w:val="center"/>
                    <w:textAlignment w:val="center"/>
                    <w:rPr>
                      <w:kern w:val="0"/>
                      <w:szCs w:val="21"/>
                      <w:lang w:bidi="ar"/>
                    </w:rPr>
                  </w:pPr>
                  <w:r>
                    <w:rPr>
                      <w:rFonts w:hint="eastAsia"/>
                      <w:kern w:val="0"/>
                      <w:szCs w:val="21"/>
                      <w:lang w:bidi="ar"/>
                    </w:rPr>
                    <w:t>554.05</w:t>
                  </w:r>
                  <w:r>
                    <w:rPr>
                      <w:kern w:val="0"/>
                      <w:szCs w:val="21"/>
                      <w:lang w:bidi="ar"/>
                    </w:rPr>
                    <w:t>m</w:t>
                  </w:r>
                  <w:r>
                    <w:rPr>
                      <w:rFonts w:hint="eastAsia"/>
                      <w:kern w:val="0"/>
                      <w:szCs w:val="21"/>
                      <w:vertAlign w:val="superscript"/>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Align w:val="center"/>
                </w:tcPr>
                <w:p>
                  <w:pPr>
                    <w:widowControl/>
                    <w:jc w:val="center"/>
                    <w:textAlignment w:val="center"/>
                    <w:rPr>
                      <w:rFonts w:hint="eastAsia" w:eastAsia="宋体"/>
                      <w:kern w:val="0"/>
                      <w:szCs w:val="21"/>
                      <w:lang w:eastAsia="zh-CN" w:bidi="ar"/>
                    </w:rPr>
                  </w:pPr>
                  <w:r>
                    <w:rPr>
                      <w:rFonts w:hint="eastAsia"/>
                      <w:kern w:val="0"/>
                      <w:szCs w:val="21"/>
                      <w:lang w:val="en-US" w:eastAsia="zh-CN" w:bidi="ar"/>
                    </w:rPr>
                    <w:t>4</w:t>
                  </w:r>
                </w:p>
              </w:tc>
              <w:tc>
                <w:tcPr>
                  <w:tcW w:w="906" w:type="dxa"/>
                  <w:vMerge w:val="continue"/>
                  <w:vAlign w:val="center"/>
                </w:tcPr>
                <w:p>
                  <w:pPr>
                    <w:spacing w:line="240" w:lineRule="atLeast"/>
                    <w:jc w:val="center"/>
                  </w:pPr>
                </w:p>
              </w:tc>
              <w:tc>
                <w:tcPr>
                  <w:tcW w:w="1155" w:type="dxa"/>
                  <w:vMerge w:val="continue"/>
                  <w:vAlign w:val="center"/>
                </w:tcPr>
                <w:p>
                  <w:pPr>
                    <w:spacing w:line="240" w:lineRule="atLeast"/>
                    <w:jc w:val="center"/>
                    <w:rPr>
                      <w:kern w:val="0"/>
                      <w:szCs w:val="21"/>
                      <w:lang w:bidi="ar"/>
                    </w:rPr>
                  </w:pPr>
                </w:p>
              </w:tc>
              <w:tc>
                <w:tcPr>
                  <w:tcW w:w="834" w:type="dxa"/>
                  <w:vAlign w:val="center"/>
                </w:tcPr>
                <w:p>
                  <w:pPr>
                    <w:spacing w:line="240" w:lineRule="atLeast"/>
                    <w:jc w:val="center"/>
                  </w:pPr>
                  <w:r>
                    <w:rPr>
                      <w:rFonts w:hint="eastAsia"/>
                    </w:rPr>
                    <w:t>氯化氢</w:t>
                  </w:r>
                </w:p>
              </w:tc>
              <w:tc>
                <w:tcPr>
                  <w:tcW w:w="855" w:type="dxa"/>
                  <w:vAlign w:val="center"/>
                </w:tcPr>
                <w:p>
                  <w:pPr>
                    <w:widowControl/>
                    <w:jc w:val="center"/>
                    <w:textAlignment w:val="center"/>
                    <w:rPr>
                      <w:kern w:val="0"/>
                      <w:szCs w:val="21"/>
                      <w:lang w:bidi="ar"/>
                    </w:rPr>
                  </w:pPr>
                  <w:r>
                    <w:rPr>
                      <w:rFonts w:hint="eastAsia"/>
                      <w:kern w:val="0"/>
                      <w:szCs w:val="21"/>
                      <w:lang w:bidi="ar"/>
                    </w:rPr>
                    <w:t>0.296</w:t>
                  </w:r>
                </w:p>
              </w:tc>
              <w:tc>
                <w:tcPr>
                  <w:tcW w:w="930" w:type="dxa"/>
                  <w:vAlign w:val="center"/>
                </w:tcPr>
                <w:p>
                  <w:pPr>
                    <w:widowControl/>
                    <w:jc w:val="center"/>
                    <w:textAlignment w:val="center"/>
                    <w:rPr>
                      <w:kern w:val="0"/>
                      <w:szCs w:val="21"/>
                      <w:lang w:bidi="ar"/>
                    </w:rPr>
                  </w:pPr>
                  <w:r>
                    <w:rPr>
                      <w:rFonts w:hint="eastAsia"/>
                      <w:kern w:val="0"/>
                      <w:szCs w:val="21"/>
                      <w:lang w:bidi="ar"/>
                    </w:rPr>
                    <w:t>0.000132</w:t>
                  </w:r>
                </w:p>
              </w:tc>
              <w:tc>
                <w:tcPr>
                  <w:tcW w:w="811" w:type="dxa"/>
                  <w:vAlign w:val="center"/>
                </w:tcPr>
                <w:p>
                  <w:pPr>
                    <w:widowControl/>
                    <w:jc w:val="center"/>
                    <w:textAlignment w:val="center"/>
                    <w:rPr>
                      <w:kern w:val="0"/>
                      <w:szCs w:val="21"/>
                      <w:lang w:bidi="ar"/>
                    </w:rPr>
                  </w:pPr>
                  <w:r>
                    <w:rPr>
                      <w:rFonts w:hint="eastAsia"/>
                      <w:kern w:val="0"/>
                      <w:szCs w:val="21"/>
                      <w:lang w:bidi="ar"/>
                    </w:rPr>
                    <w:t>0.296</w:t>
                  </w:r>
                </w:p>
              </w:tc>
              <w:tc>
                <w:tcPr>
                  <w:tcW w:w="940" w:type="dxa"/>
                  <w:vAlign w:val="center"/>
                </w:tcPr>
                <w:p>
                  <w:pPr>
                    <w:widowControl/>
                    <w:jc w:val="center"/>
                    <w:textAlignment w:val="center"/>
                    <w:rPr>
                      <w:kern w:val="0"/>
                      <w:szCs w:val="21"/>
                      <w:lang w:bidi="ar"/>
                    </w:rPr>
                  </w:pPr>
                  <w:r>
                    <w:rPr>
                      <w:rFonts w:hint="eastAsia"/>
                      <w:kern w:val="0"/>
                      <w:szCs w:val="21"/>
                      <w:lang w:bidi="ar"/>
                    </w:rPr>
                    <w:t>0.000132</w:t>
                  </w:r>
                </w:p>
              </w:tc>
              <w:tc>
                <w:tcPr>
                  <w:tcW w:w="1276"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Align w:val="center"/>
                </w:tcPr>
                <w:p>
                  <w:pPr>
                    <w:widowControl/>
                    <w:jc w:val="center"/>
                    <w:textAlignment w:val="center"/>
                    <w:rPr>
                      <w:rFonts w:hint="eastAsia" w:eastAsia="宋体"/>
                      <w:kern w:val="0"/>
                      <w:szCs w:val="21"/>
                      <w:lang w:eastAsia="zh-CN" w:bidi="ar"/>
                    </w:rPr>
                  </w:pPr>
                  <w:r>
                    <w:rPr>
                      <w:rFonts w:hint="eastAsia"/>
                      <w:kern w:val="0"/>
                      <w:szCs w:val="21"/>
                      <w:lang w:val="en-US" w:eastAsia="zh-CN" w:bidi="ar"/>
                    </w:rPr>
                    <w:t>5</w:t>
                  </w:r>
                </w:p>
              </w:tc>
              <w:tc>
                <w:tcPr>
                  <w:tcW w:w="906" w:type="dxa"/>
                  <w:vAlign w:val="center"/>
                </w:tcPr>
                <w:p>
                  <w:pPr>
                    <w:spacing w:line="240" w:lineRule="atLeast"/>
                    <w:jc w:val="center"/>
                    <w:rPr>
                      <w:kern w:val="0"/>
                      <w:szCs w:val="21"/>
                      <w:lang w:bidi="ar"/>
                    </w:rPr>
                  </w:pPr>
                  <w:r>
                    <w:rPr>
                      <w:rFonts w:hint="eastAsia"/>
                      <w:kern w:val="0"/>
                      <w:szCs w:val="21"/>
                      <w:lang w:bidi="ar"/>
                    </w:rPr>
                    <w:t>实验室催化剂研发</w:t>
                  </w:r>
                </w:p>
              </w:tc>
              <w:tc>
                <w:tcPr>
                  <w:tcW w:w="1155" w:type="dxa"/>
                  <w:vAlign w:val="center"/>
                </w:tcPr>
                <w:p>
                  <w:pPr>
                    <w:jc w:val="center"/>
                    <w:rPr>
                      <w:kern w:val="0"/>
                      <w:szCs w:val="21"/>
                      <w:lang w:bidi="ar"/>
                    </w:rPr>
                  </w:pPr>
                  <w:r>
                    <w:rPr>
                      <w:rFonts w:hint="eastAsia"/>
                      <w:kern w:val="0"/>
                      <w:szCs w:val="21"/>
                    </w:rPr>
                    <w:t>混合搅拌、高温煅烧</w:t>
                  </w:r>
                </w:p>
              </w:tc>
              <w:tc>
                <w:tcPr>
                  <w:tcW w:w="834" w:type="dxa"/>
                  <w:vAlign w:val="center"/>
                </w:tcPr>
                <w:p>
                  <w:pPr>
                    <w:widowControl/>
                    <w:jc w:val="center"/>
                    <w:textAlignment w:val="center"/>
                  </w:pPr>
                  <w:r>
                    <w:rPr>
                      <w:rFonts w:hint="eastAsia"/>
                      <w:kern w:val="0"/>
                      <w:szCs w:val="21"/>
                      <w:lang w:bidi="ar"/>
                    </w:rPr>
                    <w:t>非甲烷总烃</w:t>
                  </w:r>
                </w:p>
              </w:tc>
              <w:tc>
                <w:tcPr>
                  <w:tcW w:w="855" w:type="dxa"/>
                  <w:vAlign w:val="center"/>
                </w:tcPr>
                <w:p>
                  <w:pPr>
                    <w:widowControl/>
                    <w:jc w:val="center"/>
                    <w:textAlignment w:val="center"/>
                    <w:rPr>
                      <w:kern w:val="0"/>
                      <w:szCs w:val="21"/>
                      <w:lang w:bidi="ar"/>
                    </w:rPr>
                  </w:pPr>
                  <w:r>
                    <w:rPr>
                      <w:rFonts w:hint="eastAsia"/>
                      <w:kern w:val="0"/>
                      <w:szCs w:val="21"/>
                      <w:lang w:bidi="ar"/>
                    </w:rPr>
                    <w:t>2</w:t>
                  </w:r>
                </w:p>
              </w:tc>
              <w:tc>
                <w:tcPr>
                  <w:tcW w:w="930" w:type="dxa"/>
                  <w:vAlign w:val="center"/>
                </w:tcPr>
                <w:p>
                  <w:pPr>
                    <w:widowControl/>
                    <w:jc w:val="center"/>
                    <w:textAlignment w:val="center"/>
                    <w:rPr>
                      <w:kern w:val="0"/>
                      <w:szCs w:val="21"/>
                      <w:lang w:bidi="ar"/>
                    </w:rPr>
                  </w:pPr>
                  <w:r>
                    <w:rPr>
                      <w:rFonts w:hint="eastAsia"/>
                      <w:kern w:val="0"/>
                      <w:szCs w:val="21"/>
                      <w:lang w:bidi="ar"/>
                    </w:rPr>
                    <w:t>0.000893</w:t>
                  </w:r>
                </w:p>
              </w:tc>
              <w:tc>
                <w:tcPr>
                  <w:tcW w:w="811" w:type="dxa"/>
                  <w:vAlign w:val="center"/>
                </w:tcPr>
                <w:p>
                  <w:pPr>
                    <w:widowControl/>
                    <w:jc w:val="center"/>
                    <w:textAlignment w:val="center"/>
                    <w:rPr>
                      <w:kern w:val="0"/>
                      <w:szCs w:val="21"/>
                      <w:lang w:bidi="ar"/>
                    </w:rPr>
                  </w:pPr>
                  <w:r>
                    <w:rPr>
                      <w:rFonts w:hint="eastAsia"/>
                      <w:kern w:val="0"/>
                      <w:szCs w:val="21"/>
                      <w:lang w:bidi="ar"/>
                    </w:rPr>
                    <w:t>2</w:t>
                  </w:r>
                </w:p>
              </w:tc>
              <w:tc>
                <w:tcPr>
                  <w:tcW w:w="940" w:type="dxa"/>
                  <w:vAlign w:val="center"/>
                </w:tcPr>
                <w:p>
                  <w:pPr>
                    <w:widowControl/>
                    <w:jc w:val="center"/>
                    <w:textAlignment w:val="center"/>
                    <w:rPr>
                      <w:kern w:val="0"/>
                      <w:szCs w:val="21"/>
                      <w:lang w:bidi="ar"/>
                    </w:rPr>
                  </w:pPr>
                  <w:r>
                    <w:rPr>
                      <w:rFonts w:hint="eastAsia"/>
                      <w:kern w:val="0"/>
                      <w:szCs w:val="21"/>
                      <w:lang w:bidi="ar"/>
                    </w:rPr>
                    <w:t>0.000893</w:t>
                  </w:r>
                </w:p>
              </w:tc>
              <w:tc>
                <w:tcPr>
                  <w:tcW w:w="1276" w:type="dxa"/>
                  <w:vAlign w:val="center"/>
                </w:tcPr>
                <w:p>
                  <w:pPr>
                    <w:widowControl/>
                    <w:jc w:val="center"/>
                    <w:textAlignment w:val="center"/>
                    <w:rPr>
                      <w:kern w:val="0"/>
                      <w:szCs w:val="21"/>
                      <w:lang w:bidi="ar"/>
                    </w:rPr>
                  </w:pPr>
                  <w:r>
                    <w:rPr>
                      <w:rFonts w:hint="eastAsia"/>
                    </w:rPr>
                    <w:t>917</w:t>
                  </w:r>
                  <w:r>
                    <w:rPr>
                      <w:kern w:val="0"/>
                      <w:szCs w:val="21"/>
                      <w:lang w:bidi="ar"/>
                    </w:rPr>
                    <w:t>m</w:t>
                  </w:r>
                  <w:r>
                    <w:rPr>
                      <w:rFonts w:hint="eastAsia"/>
                      <w:kern w:val="0"/>
                      <w:szCs w:val="21"/>
                      <w:vertAlign w:val="superscript"/>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Merge w:val="restart"/>
                  <w:vAlign w:val="center"/>
                </w:tcPr>
                <w:p>
                  <w:pPr>
                    <w:widowControl/>
                    <w:jc w:val="center"/>
                    <w:textAlignment w:val="center"/>
                    <w:rPr>
                      <w:kern w:val="0"/>
                      <w:szCs w:val="21"/>
                      <w:lang w:bidi="ar"/>
                    </w:rPr>
                  </w:pPr>
                  <w:r>
                    <w:rPr>
                      <w:rFonts w:hint="eastAsia"/>
                      <w:kern w:val="0"/>
                      <w:szCs w:val="21"/>
                      <w:lang w:val="en-US" w:eastAsia="zh-CN" w:bidi="ar"/>
                    </w:rPr>
                    <w:t>6</w:t>
                  </w:r>
                </w:p>
              </w:tc>
              <w:tc>
                <w:tcPr>
                  <w:tcW w:w="2061" w:type="dxa"/>
                  <w:gridSpan w:val="2"/>
                  <w:vMerge w:val="restart"/>
                  <w:vAlign w:val="center"/>
                </w:tcPr>
                <w:p>
                  <w:pPr>
                    <w:spacing w:line="240" w:lineRule="atLeast"/>
                    <w:jc w:val="center"/>
                  </w:pPr>
                  <w:r>
                    <w:rPr>
                      <w:rFonts w:hint="eastAsia"/>
                    </w:rPr>
                    <w:t>合计</w:t>
                  </w:r>
                </w:p>
              </w:tc>
              <w:tc>
                <w:tcPr>
                  <w:tcW w:w="834" w:type="dxa"/>
                  <w:vAlign w:val="center"/>
                </w:tcPr>
                <w:p>
                  <w:pPr>
                    <w:spacing w:line="240" w:lineRule="atLeast"/>
                    <w:jc w:val="center"/>
                  </w:pPr>
                  <w:r>
                    <w:rPr>
                      <w:rFonts w:hint="eastAsia"/>
                      <w:kern w:val="0"/>
                      <w:szCs w:val="21"/>
                      <w:lang w:bidi="ar"/>
                    </w:rPr>
                    <w:t>非甲烷总烃</w:t>
                  </w:r>
                </w:p>
              </w:tc>
              <w:tc>
                <w:tcPr>
                  <w:tcW w:w="855" w:type="dxa"/>
                  <w:vAlign w:val="center"/>
                </w:tcPr>
                <w:p>
                  <w:pPr>
                    <w:widowControl/>
                    <w:jc w:val="center"/>
                    <w:textAlignment w:val="center"/>
                    <w:rPr>
                      <w:kern w:val="0"/>
                      <w:szCs w:val="21"/>
                      <w:lang w:bidi="ar"/>
                    </w:rPr>
                  </w:pPr>
                  <w:r>
                    <w:rPr>
                      <w:rFonts w:hint="eastAsia"/>
                      <w:kern w:val="0"/>
                      <w:szCs w:val="21"/>
                      <w:lang w:bidi="ar"/>
                    </w:rPr>
                    <w:t>6</w:t>
                  </w:r>
                </w:p>
              </w:tc>
              <w:tc>
                <w:tcPr>
                  <w:tcW w:w="930" w:type="dxa"/>
                  <w:vAlign w:val="center"/>
                </w:tcPr>
                <w:p>
                  <w:pPr>
                    <w:widowControl/>
                    <w:jc w:val="center"/>
                    <w:textAlignment w:val="center"/>
                    <w:rPr>
                      <w:kern w:val="0"/>
                      <w:szCs w:val="21"/>
                      <w:lang w:bidi="ar"/>
                    </w:rPr>
                  </w:pPr>
                  <w:r>
                    <w:rPr>
                      <w:rFonts w:hint="eastAsia"/>
                      <w:kern w:val="0"/>
                      <w:szCs w:val="21"/>
                      <w:lang w:bidi="ar"/>
                    </w:rPr>
                    <w:t>0.00269</w:t>
                  </w:r>
                </w:p>
              </w:tc>
              <w:tc>
                <w:tcPr>
                  <w:tcW w:w="811" w:type="dxa"/>
                  <w:vAlign w:val="center"/>
                </w:tcPr>
                <w:p>
                  <w:pPr>
                    <w:widowControl/>
                    <w:jc w:val="center"/>
                    <w:textAlignment w:val="center"/>
                    <w:rPr>
                      <w:kern w:val="0"/>
                      <w:szCs w:val="21"/>
                      <w:lang w:bidi="ar"/>
                    </w:rPr>
                  </w:pPr>
                  <w:r>
                    <w:rPr>
                      <w:rFonts w:hint="eastAsia"/>
                      <w:kern w:val="0"/>
                      <w:szCs w:val="21"/>
                      <w:lang w:bidi="ar"/>
                    </w:rPr>
                    <w:t>6</w:t>
                  </w:r>
                </w:p>
              </w:tc>
              <w:tc>
                <w:tcPr>
                  <w:tcW w:w="940" w:type="dxa"/>
                  <w:vAlign w:val="center"/>
                </w:tcPr>
                <w:p>
                  <w:pPr>
                    <w:widowControl/>
                    <w:jc w:val="center"/>
                    <w:textAlignment w:val="center"/>
                    <w:rPr>
                      <w:kern w:val="0"/>
                      <w:szCs w:val="21"/>
                      <w:lang w:bidi="ar"/>
                    </w:rPr>
                  </w:pPr>
                  <w:r>
                    <w:rPr>
                      <w:rFonts w:hint="eastAsia"/>
                      <w:kern w:val="0"/>
                      <w:szCs w:val="21"/>
                      <w:lang w:bidi="ar"/>
                    </w:rPr>
                    <w:t>0.00269</w:t>
                  </w:r>
                </w:p>
              </w:tc>
              <w:tc>
                <w:tcPr>
                  <w:tcW w:w="1276" w:type="dxa"/>
                  <w:vMerge w:val="restart"/>
                  <w:vAlign w:val="center"/>
                </w:tcPr>
                <w:p>
                  <w:pPr>
                    <w:widowControl/>
                    <w:jc w:val="center"/>
                    <w:textAlignment w:val="center"/>
                    <w:rPr>
                      <w:kern w:val="0"/>
                      <w:szCs w:val="21"/>
                      <w:lang w:bidi="ar"/>
                    </w:rPr>
                  </w:pPr>
                  <w:r>
                    <w:rPr>
                      <w:rFonts w:hint="eastAsia"/>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Merge w:val="continue"/>
                  <w:vAlign w:val="center"/>
                </w:tcPr>
                <w:p>
                  <w:pPr>
                    <w:widowControl/>
                    <w:jc w:val="center"/>
                    <w:textAlignment w:val="center"/>
                    <w:rPr>
                      <w:kern w:val="0"/>
                      <w:szCs w:val="21"/>
                      <w:lang w:bidi="ar"/>
                    </w:rPr>
                  </w:pPr>
                </w:p>
              </w:tc>
              <w:tc>
                <w:tcPr>
                  <w:tcW w:w="2061" w:type="dxa"/>
                  <w:gridSpan w:val="2"/>
                  <w:vMerge w:val="continue"/>
                  <w:vAlign w:val="center"/>
                </w:tcPr>
                <w:p>
                  <w:pPr>
                    <w:spacing w:line="240" w:lineRule="atLeast"/>
                    <w:jc w:val="center"/>
                  </w:pPr>
                </w:p>
              </w:tc>
              <w:tc>
                <w:tcPr>
                  <w:tcW w:w="834" w:type="dxa"/>
                  <w:vAlign w:val="center"/>
                </w:tcPr>
                <w:p>
                  <w:pPr>
                    <w:spacing w:line="240" w:lineRule="atLeast"/>
                    <w:jc w:val="center"/>
                  </w:pPr>
                  <w:r>
                    <w:rPr>
                      <w:rFonts w:hint="eastAsia"/>
                      <w:kern w:val="0"/>
                      <w:szCs w:val="21"/>
                      <w:lang w:bidi="ar"/>
                    </w:rPr>
                    <w:t>酸性气体</w:t>
                  </w:r>
                </w:p>
              </w:tc>
              <w:tc>
                <w:tcPr>
                  <w:tcW w:w="855" w:type="dxa"/>
                  <w:vAlign w:val="center"/>
                </w:tcPr>
                <w:p>
                  <w:pPr>
                    <w:widowControl/>
                    <w:jc w:val="center"/>
                    <w:textAlignment w:val="center"/>
                    <w:rPr>
                      <w:kern w:val="0"/>
                      <w:szCs w:val="21"/>
                      <w:lang w:bidi="ar"/>
                    </w:rPr>
                  </w:pPr>
                  <w:r>
                    <w:rPr>
                      <w:rFonts w:hint="eastAsia"/>
                      <w:kern w:val="0"/>
                      <w:szCs w:val="21"/>
                      <w:lang w:bidi="ar"/>
                    </w:rPr>
                    <w:t>1</w:t>
                  </w:r>
                </w:p>
              </w:tc>
              <w:tc>
                <w:tcPr>
                  <w:tcW w:w="930" w:type="dxa"/>
                  <w:vAlign w:val="center"/>
                </w:tcPr>
                <w:p>
                  <w:pPr>
                    <w:widowControl/>
                    <w:jc w:val="center"/>
                    <w:textAlignment w:val="center"/>
                    <w:rPr>
                      <w:kern w:val="0"/>
                      <w:szCs w:val="21"/>
                      <w:lang w:bidi="ar"/>
                    </w:rPr>
                  </w:pPr>
                  <w:r>
                    <w:rPr>
                      <w:rFonts w:hint="eastAsia"/>
                      <w:kern w:val="0"/>
                      <w:szCs w:val="21"/>
                      <w:lang w:bidi="ar"/>
                    </w:rPr>
                    <w:t>0.000446</w:t>
                  </w:r>
                </w:p>
              </w:tc>
              <w:tc>
                <w:tcPr>
                  <w:tcW w:w="811" w:type="dxa"/>
                  <w:vAlign w:val="center"/>
                </w:tcPr>
                <w:p>
                  <w:pPr>
                    <w:widowControl/>
                    <w:jc w:val="center"/>
                    <w:textAlignment w:val="center"/>
                    <w:rPr>
                      <w:kern w:val="0"/>
                      <w:szCs w:val="21"/>
                      <w:lang w:bidi="ar"/>
                    </w:rPr>
                  </w:pPr>
                  <w:r>
                    <w:rPr>
                      <w:rFonts w:hint="eastAsia"/>
                      <w:kern w:val="0"/>
                      <w:szCs w:val="21"/>
                      <w:lang w:bidi="ar"/>
                    </w:rPr>
                    <w:t>1</w:t>
                  </w:r>
                </w:p>
              </w:tc>
              <w:tc>
                <w:tcPr>
                  <w:tcW w:w="940" w:type="dxa"/>
                  <w:vAlign w:val="center"/>
                </w:tcPr>
                <w:p>
                  <w:pPr>
                    <w:widowControl/>
                    <w:jc w:val="center"/>
                    <w:textAlignment w:val="center"/>
                    <w:rPr>
                      <w:kern w:val="0"/>
                      <w:szCs w:val="21"/>
                      <w:lang w:bidi="ar"/>
                    </w:rPr>
                  </w:pPr>
                  <w:r>
                    <w:rPr>
                      <w:rFonts w:hint="eastAsia"/>
                      <w:kern w:val="0"/>
                      <w:szCs w:val="21"/>
                      <w:lang w:bidi="ar"/>
                    </w:rPr>
                    <w:t>0.000446</w:t>
                  </w:r>
                </w:p>
              </w:tc>
              <w:tc>
                <w:tcPr>
                  <w:tcW w:w="1276"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Merge w:val="continue"/>
                  <w:vAlign w:val="center"/>
                </w:tcPr>
                <w:p>
                  <w:pPr>
                    <w:widowControl/>
                    <w:jc w:val="center"/>
                    <w:textAlignment w:val="center"/>
                    <w:rPr>
                      <w:kern w:val="0"/>
                      <w:szCs w:val="21"/>
                      <w:lang w:bidi="ar"/>
                    </w:rPr>
                  </w:pPr>
                </w:p>
              </w:tc>
              <w:tc>
                <w:tcPr>
                  <w:tcW w:w="2061" w:type="dxa"/>
                  <w:gridSpan w:val="2"/>
                  <w:vMerge w:val="continue"/>
                  <w:vAlign w:val="center"/>
                </w:tcPr>
                <w:p>
                  <w:pPr>
                    <w:spacing w:line="240" w:lineRule="atLeast"/>
                    <w:jc w:val="center"/>
                  </w:pPr>
                </w:p>
              </w:tc>
              <w:tc>
                <w:tcPr>
                  <w:tcW w:w="834" w:type="dxa"/>
                  <w:vAlign w:val="center"/>
                </w:tcPr>
                <w:p>
                  <w:pPr>
                    <w:spacing w:line="240" w:lineRule="atLeast"/>
                    <w:jc w:val="center"/>
                    <w:rPr>
                      <w:kern w:val="0"/>
                      <w:szCs w:val="21"/>
                      <w:lang w:bidi="ar"/>
                    </w:rPr>
                  </w:pPr>
                  <w:r>
                    <w:rPr>
                      <w:rFonts w:hint="eastAsia"/>
                      <w:kern w:val="0"/>
                      <w:szCs w:val="21"/>
                      <w:lang w:bidi="ar"/>
                    </w:rPr>
                    <w:t>氯化氢</w:t>
                  </w:r>
                </w:p>
              </w:tc>
              <w:tc>
                <w:tcPr>
                  <w:tcW w:w="855" w:type="dxa"/>
                  <w:vAlign w:val="center"/>
                </w:tcPr>
                <w:p>
                  <w:pPr>
                    <w:widowControl/>
                    <w:jc w:val="center"/>
                    <w:textAlignment w:val="center"/>
                    <w:rPr>
                      <w:kern w:val="0"/>
                      <w:szCs w:val="21"/>
                      <w:lang w:bidi="ar"/>
                    </w:rPr>
                  </w:pPr>
                  <w:r>
                    <w:rPr>
                      <w:rFonts w:hint="eastAsia"/>
                      <w:kern w:val="0"/>
                      <w:szCs w:val="21"/>
                      <w:lang w:bidi="ar"/>
                    </w:rPr>
                    <w:t>0.296</w:t>
                  </w:r>
                </w:p>
              </w:tc>
              <w:tc>
                <w:tcPr>
                  <w:tcW w:w="930" w:type="dxa"/>
                  <w:vAlign w:val="center"/>
                </w:tcPr>
                <w:p>
                  <w:pPr>
                    <w:widowControl/>
                    <w:jc w:val="center"/>
                    <w:textAlignment w:val="center"/>
                    <w:rPr>
                      <w:kern w:val="0"/>
                      <w:szCs w:val="21"/>
                      <w:lang w:bidi="ar"/>
                    </w:rPr>
                  </w:pPr>
                  <w:r>
                    <w:rPr>
                      <w:rFonts w:hint="eastAsia"/>
                      <w:kern w:val="0"/>
                      <w:szCs w:val="21"/>
                      <w:lang w:bidi="ar"/>
                    </w:rPr>
                    <w:t>0.000132</w:t>
                  </w:r>
                </w:p>
              </w:tc>
              <w:tc>
                <w:tcPr>
                  <w:tcW w:w="811" w:type="dxa"/>
                  <w:vAlign w:val="center"/>
                </w:tcPr>
                <w:p>
                  <w:pPr>
                    <w:widowControl/>
                    <w:jc w:val="center"/>
                    <w:textAlignment w:val="center"/>
                    <w:rPr>
                      <w:kern w:val="0"/>
                      <w:szCs w:val="21"/>
                      <w:lang w:bidi="ar"/>
                    </w:rPr>
                  </w:pPr>
                  <w:r>
                    <w:rPr>
                      <w:rFonts w:hint="eastAsia"/>
                      <w:kern w:val="0"/>
                      <w:szCs w:val="21"/>
                      <w:lang w:bidi="ar"/>
                    </w:rPr>
                    <w:t>0.296</w:t>
                  </w:r>
                </w:p>
              </w:tc>
              <w:tc>
                <w:tcPr>
                  <w:tcW w:w="940" w:type="dxa"/>
                  <w:vAlign w:val="center"/>
                </w:tcPr>
                <w:p>
                  <w:pPr>
                    <w:widowControl/>
                    <w:jc w:val="center"/>
                    <w:textAlignment w:val="center"/>
                    <w:rPr>
                      <w:kern w:val="0"/>
                      <w:szCs w:val="21"/>
                      <w:lang w:bidi="ar"/>
                    </w:rPr>
                  </w:pPr>
                  <w:r>
                    <w:rPr>
                      <w:rFonts w:hint="eastAsia"/>
                      <w:kern w:val="0"/>
                      <w:szCs w:val="21"/>
                      <w:lang w:bidi="ar"/>
                    </w:rPr>
                    <w:t>0.000132</w:t>
                  </w:r>
                </w:p>
              </w:tc>
              <w:tc>
                <w:tcPr>
                  <w:tcW w:w="1276"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76" w:type="dxa"/>
                  <w:vMerge w:val="continue"/>
                  <w:vAlign w:val="center"/>
                </w:tcPr>
                <w:p>
                  <w:pPr>
                    <w:widowControl/>
                    <w:jc w:val="center"/>
                    <w:textAlignment w:val="center"/>
                    <w:rPr>
                      <w:kern w:val="0"/>
                      <w:szCs w:val="21"/>
                      <w:lang w:bidi="ar"/>
                    </w:rPr>
                  </w:pPr>
                </w:p>
              </w:tc>
              <w:tc>
                <w:tcPr>
                  <w:tcW w:w="2061" w:type="dxa"/>
                  <w:gridSpan w:val="2"/>
                  <w:vMerge w:val="continue"/>
                  <w:vAlign w:val="center"/>
                </w:tcPr>
                <w:p>
                  <w:pPr>
                    <w:spacing w:line="240" w:lineRule="atLeast"/>
                    <w:jc w:val="center"/>
                  </w:pPr>
                </w:p>
              </w:tc>
              <w:tc>
                <w:tcPr>
                  <w:tcW w:w="834" w:type="dxa"/>
                  <w:vAlign w:val="center"/>
                </w:tcPr>
                <w:p>
                  <w:pPr>
                    <w:spacing w:line="240" w:lineRule="atLeast"/>
                    <w:jc w:val="center"/>
                  </w:pPr>
                  <w:r>
                    <w:rPr>
                      <w:rFonts w:hint="eastAsia"/>
                    </w:rPr>
                    <w:t>颗粒物</w:t>
                  </w:r>
                </w:p>
              </w:tc>
              <w:tc>
                <w:tcPr>
                  <w:tcW w:w="855" w:type="dxa"/>
                  <w:vAlign w:val="center"/>
                </w:tcPr>
                <w:p>
                  <w:pPr>
                    <w:widowControl/>
                    <w:jc w:val="center"/>
                    <w:textAlignment w:val="center"/>
                    <w:rPr>
                      <w:kern w:val="0"/>
                      <w:szCs w:val="21"/>
                      <w:lang w:bidi="ar"/>
                    </w:rPr>
                  </w:pPr>
                  <w:r>
                    <w:rPr>
                      <w:rFonts w:hint="eastAsia"/>
                      <w:kern w:val="0"/>
                      <w:szCs w:val="21"/>
                      <w:lang w:bidi="ar"/>
                    </w:rPr>
                    <w:t>2.19</w:t>
                  </w:r>
                </w:p>
              </w:tc>
              <w:tc>
                <w:tcPr>
                  <w:tcW w:w="930" w:type="dxa"/>
                  <w:vAlign w:val="center"/>
                </w:tcPr>
                <w:p>
                  <w:pPr>
                    <w:widowControl/>
                    <w:jc w:val="center"/>
                    <w:textAlignment w:val="center"/>
                    <w:rPr>
                      <w:kern w:val="0"/>
                      <w:szCs w:val="21"/>
                      <w:lang w:bidi="ar"/>
                    </w:rPr>
                  </w:pPr>
                  <w:r>
                    <w:rPr>
                      <w:rFonts w:hint="eastAsia"/>
                      <w:kern w:val="0"/>
                      <w:szCs w:val="21"/>
                      <w:lang w:bidi="ar"/>
                    </w:rPr>
                    <w:t>0.000978</w:t>
                  </w:r>
                </w:p>
              </w:tc>
              <w:tc>
                <w:tcPr>
                  <w:tcW w:w="811" w:type="dxa"/>
                  <w:vAlign w:val="center"/>
                </w:tcPr>
                <w:p>
                  <w:pPr>
                    <w:widowControl/>
                    <w:jc w:val="center"/>
                    <w:textAlignment w:val="center"/>
                    <w:rPr>
                      <w:kern w:val="0"/>
                      <w:szCs w:val="21"/>
                      <w:lang w:bidi="ar"/>
                    </w:rPr>
                  </w:pPr>
                  <w:r>
                    <w:rPr>
                      <w:rFonts w:hint="eastAsia"/>
                      <w:kern w:val="0"/>
                      <w:szCs w:val="21"/>
                      <w:lang w:bidi="ar"/>
                    </w:rPr>
                    <w:t>0.219</w:t>
                  </w:r>
                </w:p>
              </w:tc>
              <w:tc>
                <w:tcPr>
                  <w:tcW w:w="940" w:type="dxa"/>
                  <w:vAlign w:val="center"/>
                </w:tcPr>
                <w:p>
                  <w:pPr>
                    <w:widowControl/>
                    <w:jc w:val="center"/>
                    <w:textAlignment w:val="center"/>
                    <w:rPr>
                      <w:kern w:val="0"/>
                      <w:szCs w:val="21"/>
                      <w:lang w:bidi="ar"/>
                    </w:rPr>
                  </w:pPr>
                  <w:r>
                    <w:rPr>
                      <w:rFonts w:hint="eastAsia"/>
                      <w:kern w:val="0"/>
                      <w:szCs w:val="21"/>
                      <w:lang w:bidi="ar"/>
                    </w:rPr>
                    <w:t>0.0000978</w:t>
                  </w:r>
                </w:p>
              </w:tc>
              <w:tc>
                <w:tcPr>
                  <w:tcW w:w="1276" w:type="dxa"/>
                  <w:vMerge w:val="continue"/>
                  <w:vAlign w:val="center"/>
                </w:tcPr>
                <w:p>
                  <w:pPr>
                    <w:widowControl/>
                    <w:jc w:val="center"/>
                    <w:textAlignment w:val="center"/>
                    <w:rPr>
                      <w:kern w:val="0"/>
                      <w:szCs w:val="21"/>
                      <w:lang w:bidi="ar"/>
                    </w:rPr>
                  </w:pPr>
                </w:p>
              </w:tc>
            </w:tr>
          </w:tbl>
          <w:p>
            <w:pPr>
              <w:adjustRightInd w:val="0"/>
              <w:snapToGrid w:val="0"/>
              <w:spacing w:line="360" w:lineRule="auto"/>
              <w:ind w:firstLine="420" w:firstLineChars="200"/>
            </w:pPr>
          </w:p>
        </w:tc>
      </w:tr>
    </w:tbl>
    <w:p>
      <w:pPr>
        <w:pStyle w:val="20"/>
        <w:jc w:val="center"/>
        <w:outlineLvl w:val="0"/>
        <w:rPr>
          <w:rFonts w:ascii="Times New Roman" w:hAnsi="Times New Roman" w:eastAsia="黑体"/>
          <w:snapToGrid w:val="0"/>
          <w:color w:val="000000"/>
          <w:sz w:val="30"/>
          <w:szCs w:val="30"/>
        </w:rPr>
        <w:sectPr>
          <w:pgSz w:w="11906" w:h="16838"/>
          <w:pgMar w:top="1418" w:right="1418" w:bottom="1418" w:left="1418" w:header="851" w:footer="851" w:gutter="0"/>
          <w:cols w:space="720" w:num="1"/>
          <w:docGrid w:linePitch="312" w:charSpace="0"/>
        </w:sectPr>
      </w:pPr>
    </w:p>
    <w:tbl>
      <w:tblPr>
        <w:tblStyle w:val="24"/>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120"/>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18" w:hRule="atLeast"/>
        </w:trPr>
        <w:tc>
          <w:tcPr>
            <w:tcW w:w="14120" w:type="dxa"/>
          </w:tcPr>
          <w:p>
            <w:pPr>
              <w:widowControl/>
              <w:numPr>
                <w:ilvl w:val="0"/>
                <w:numId w:val="1"/>
              </w:numPr>
              <w:jc w:val="center"/>
              <w:rPr>
                <w:b/>
                <w:color w:val="000000"/>
                <w:kern w:val="0"/>
                <w:szCs w:val="21"/>
              </w:rPr>
            </w:pPr>
            <w:r>
              <w:rPr>
                <w:b/>
                <w:color w:val="000000"/>
                <w:kern w:val="0"/>
                <w:szCs w:val="21"/>
              </w:rPr>
              <w:t xml:space="preserve">  项目有组织大气污染物排放情况一览表</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00"/>
              <w:gridCol w:w="1020"/>
              <w:gridCol w:w="780"/>
              <w:gridCol w:w="825"/>
              <w:gridCol w:w="810"/>
              <w:gridCol w:w="780"/>
              <w:gridCol w:w="589"/>
              <w:gridCol w:w="1966"/>
              <w:gridCol w:w="874"/>
              <w:gridCol w:w="619"/>
              <w:gridCol w:w="605"/>
              <w:gridCol w:w="729"/>
              <w:gridCol w:w="803"/>
              <w:gridCol w:w="802"/>
              <w:gridCol w:w="763"/>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120" w:type="dxa"/>
                  <w:gridSpan w:val="2"/>
                  <w:vMerge w:val="restart"/>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产污</w:t>
                  </w:r>
                </w:p>
                <w:p>
                  <w:pPr>
                    <w:widowControl/>
                    <w:jc w:val="center"/>
                    <w:textAlignment w:val="center"/>
                    <w:rPr>
                      <w:b/>
                      <w:bCs/>
                      <w:color w:val="000000"/>
                      <w:szCs w:val="21"/>
                    </w:rPr>
                  </w:pPr>
                  <w:r>
                    <w:rPr>
                      <w:b/>
                      <w:bCs/>
                      <w:color w:val="000000"/>
                      <w:szCs w:val="21"/>
                    </w:rPr>
                    <w:t>环节</w:t>
                  </w:r>
                </w:p>
              </w:tc>
              <w:tc>
                <w:tcPr>
                  <w:tcW w:w="780" w:type="dxa"/>
                  <w:vMerge w:val="restart"/>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污染物种类</w:t>
                  </w:r>
                </w:p>
              </w:tc>
              <w:tc>
                <w:tcPr>
                  <w:tcW w:w="2415" w:type="dxa"/>
                  <w:gridSpan w:val="3"/>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产生情况</w:t>
                  </w:r>
                </w:p>
              </w:tc>
              <w:tc>
                <w:tcPr>
                  <w:tcW w:w="589" w:type="dxa"/>
                  <w:vMerge w:val="restart"/>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排放</w:t>
                  </w:r>
                </w:p>
                <w:p>
                  <w:pPr>
                    <w:widowControl/>
                    <w:jc w:val="center"/>
                    <w:textAlignment w:val="center"/>
                    <w:rPr>
                      <w:b/>
                      <w:bCs/>
                      <w:color w:val="000000"/>
                      <w:szCs w:val="21"/>
                    </w:rPr>
                  </w:pPr>
                  <w:r>
                    <w:rPr>
                      <w:b/>
                      <w:bCs/>
                      <w:color w:val="000000"/>
                      <w:szCs w:val="21"/>
                    </w:rPr>
                    <w:t>形式</w:t>
                  </w:r>
                </w:p>
              </w:tc>
              <w:tc>
                <w:tcPr>
                  <w:tcW w:w="4793" w:type="dxa"/>
                  <w:gridSpan w:val="5"/>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治理设施</w:t>
                  </w:r>
                </w:p>
              </w:tc>
              <w:tc>
                <w:tcPr>
                  <w:tcW w:w="3180" w:type="dxa"/>
                  <w:gridSpan w:val="4"/>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120" w:type="dxa"/>
                  <w:gridSpan w:val="2"/>
                  <w:vMerge w:val="continue"/>
                  <w:tcBorders>
                    <w:tl2br w:val="nil"/>
                    <w:tr2bl w:val="nil"/>
                  </w:tcBorders>
                  <w:tcMar>
                    <w:top w:w="12" w:type="dxa"/>
                    <w:left w:w="12" w:type="dxa"/>
                    <w:right w:w="12" w:type="dxa"/>
                  </w:tcMar>
                  <w:vAlign w:val="center"/>
                </w:tcPr>
                <w:p>
                  <w:pPr>
                    <w:jc w:val="center"/>
                    <w:rPr>
                      <w:b/>
                      <w:bCs/>
                      <w:color w:val="000000"/>
                      <w:szCs w:val="21"/>
                    </w:rPr>
                  </w:pPr>
                </w:p>
              </w:tc>
              <w:tc>
                <w:tcPr>
                  <w:tcW w:w="780" w:type="dxa"/>
                  <w:vMerge w:val="continue"/>
                  <w:tcBorders>
                    <w:tl2br w:val="nil"/>
                    <w:tr2bl w:val="nil"/>
                  </w:tcBorders>
                  <w:tcMar>
                    <w:top w:w="12" w:type="dxa"/>
                    <w:left w:w="12" w:type="dxa"/>
                    <w:right w:w="12" w:type="dxa"/>
                  </w:tcMar>
                  <w:vAlign w:val="center"/>
                </w:tcPr>
                <w:p>
                  <w:pPr>
                    <w:jc w:val="center"/>
                    <w:rPr>
                      <w:b/>
                      <w:bCs/>
                      <w:color w:val="000000"/>
                      <w:szCs w:val="21"/>
                    </w:rPr>
                  </w:pPr>
                </w:p>
              </w:tc>
              <w:tc>
                <w:tcPr>
                  <w:tcW w:w="825"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产生量</w:t>
                  </w:r>
                </w:p>
                <w:p>
                  <w:pPr>
                    <w:widowControl/>
                    <w:jc w:val="center"/>
                    <w:textAlignment w:val="center"/>
                    <w:rPr>
                      <w:b/>
                      <w:bCs/>
                      <w:color w:val="000000"/>
                      <w:szCs w:val="21"/>
                    </w:rPr>
                  </w:pPr>
                  <w:r>
                    <w:rPr>
                      <w:b/>
                      <w:bCs/>
                      <w:color w:val="000000"/>
                      <w:szCs w:val="21"/>
                    </w:rPr>
                    <w:t>(kg/a)</w:t>
                  </w:r>
                </w:p>
              </w:tc>
              <w:tc>
                <w:tcPr>
                  <w:tcW w:w="810"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速率</w:t>
                  </w:r>
                </w:p>
                <w:p>
                  <w:pPr>
                    <w:widowControl/>
                    <w:jc w:val="center"/>
                    <w:textAlignment w:val="center"/>
                    <w:rPr>
                      <w:b/>
                      <w:bCs/>
                      <w:color w:val="000000"/>
                      <w:szCs w:val="21"/>
                    </w:rPr>
                  </w:pPr>
                  <w:r>
                    <w:rPr>
                      <w:b/>
                      <w:bCs/>
                      <w:color w:val="000000"/>
                      <w:szCs w:val="21"/>
                    </w:rPr>
                    <w:t>(kg/h)</w:t>
                  </w:r>
                </w:p>
              </w:tc>
              <w:tc>
                <w:tcPr>
                  <w:tcW w:w="780"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浓度</w:t>
                  </w:r>
                </w:p>
                <w:p>
                  <w:pPr>
                    <w:widowControl/>
                    <w:jc w:val="center"/>
                    <w:textAlignment w:val="center"/>
                    <w:rPr>
                      <w:b/>
                      <w:bCs/>
                      <w:color w:val="000000"/>
                      <w:szCs w:val="21"/>
                    </w:rPr>
                  </w:pPr>
                  <w:r>
                    <w:rPr>
                      <w:b/>
                      <w:bCs/>
                      <w:color w:val="000000"/>
                      <w:szCs w:val="21"/>
                    </w:rPr>
                    <w:t>(mg/m</w:t>
                  </w:r>
                  <w:r>
                    <w:rPr>
                      <w:b/>
                      <w:bCs/>
                      <w:color w:val="000000"/>
                      <w:szCs w:val="21"/>
                      <w:vertAlign w:val="superscript"/>
                    </w:rPr>
                    <w:t>3</w:t>
                  </w:r>
                  <w:r>
                    <w:rPr>
                      <w:b/>
                      <w:bCs/>
                      <w:color w:val="000000"/>
                      <w:szCs w:val="21"/>
                    </w:rPr>
                    <w:t>)</w:t>
                  </w:r>
                </w:p>
              </w:tc>
              <w:tc>
                <w:tcPr>
                  <w:tcW w:w="589" w:type="dxa"/>
                  <w:vMerge w:val="continue"/>
                  <w:tcBorders>
                    <w:tl2br w:val="nil"/>
                    <w:tr2bl w:val="nil"/>
                  </w:tcBorders>
                  <w:tcMar>
                    <w:top w:w="12" w:type="dxa"/>
                    <w:left w:w="12" w:type="dxa"/>
                    <w:right w:w="12" w:type="dxa"/>
                  </w:tcMar>
                  <w:vAlign w:val="center"/>
                </w:tcPr>
                <w:p>
                  <w:pPr>
                    <w:widowControl/>
                    <w:jc w:val="center"/>
                    <w:textAlignment w:val="center"/>
                    <w:rPr>
                      <w:b/>
                      <w:bCs/>
                      <w:color w:val="000000"/>
                      <w:szCs w:val="21"/>
                    </w:rPr>
                  </w:pPr>
                </w:p>
              </w:tc>
              <w:tc>
                <w:tcPr>
                  <w:tcW w:w="1966"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处理措施</w:t>
                  </w:r>
                </w:p>
              </w:tc>
              <w:tc>
                <w:tcPr>
                  <w:tcW w:w="874"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处理能力(m</w:t>
                  </w:r>
                  <w:r>
                    <w:rPr>
                      <w:b/>
                      <w:bCs/>
                      <w:color w:val="000000"/>
                      <w:szCs w:val="21"/>
                      <w:vertAlign w:val="superscript"/>
                    </w:rPr>
                    <w:t>3</w:t>
                  </w:r>
                  <w:r>
                    <w:rPr>
                      <w:b/>
                      <w:bCs/>
                      <w:color w:val="000000"/>
                      <w:szCs w:val="21"/>
                    </w:rPr>
                    <w:t>/h)</w:t>
                  </w:r>
                </w:p>
              </w:tc>
              <w:tc>
                <w:tcPr>
                  <w:tcW w:w="619"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收集</w:t>
                  </w:r>
                </w:p>
                <w:p>
                  <w:pPr>
                    <w:widowControl/>
                    <w:jc w:val="center"/>
                    <w:textAlignment w:val="center"/>
                    <w:rPr>
                      <w:b/>
                      <w:bCs/>
                      <w:color w:val="000000"/>
                      <w:szCs w:val="21"/>
                    </w:rPr>
                  </w:pPr>
                  <w:r>
                    <w:rPr>
                      <w:b/>
                      <w:bCs/>
                      <w:color w:val="000000"/>
                      <w:szCs w:val="21"/>
                    </w:rPr>
                    <w:t>效率</w:t>
                  </w:r>
                </w:p>
              </w:tc>
              <w:tc>
                <w:tcPr>
                  <w:tcW w:w="605"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去除</w:t>
                  </w:r>
                </w:p>
                <w:p>
                  <w:pPr>
                    <w:widowControl/>
                    <w:jc w:val="center"/>
                    <w:textAlignment w:val="center"/>
                    <w:rPr>
                      <w:b/>
                      <w:bCs/>
                      <w:color w:val="000000"/>
                      <w:szCs w:val="21"/>
                    </w:rPr>
                  </w:pPr>
                  <w:r>
                    <w:rPr>
                      <w:b/>
                      <w:bCs/>
                      <w:color w:val="000000"/>
                      <w:szCs w:val="21"/>
                    </w:rPr>
                    <w:t>率</w:t>
                  </w:r>
                </w:p>
              </w:tc>
              <w:tc>
                <w:tcPr>
                  <w:tcW w:w="729"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是否可</w:t>
                  </w:r>
                </w:p>
                <w:p>
                  <w:pPr>
                    <w:widowControl/>
                    <w:jc w:val="center"/>
                    <w:textAlignment w:val="center"/>
                    <w:rPr>
                      <w:b/>
                      <w:bCs/>
                      <w:color w:val="000000"/>
                      <w:szCs w:val="21"/>
                    </w:rPr>
                  </w:pPr>
                  <w:r>
                    <w:rPr>
                      <w:b/>
                      <w:bCs/>
                      <w:color w:val="000000"/>
                      <w:szCs w:val="21"/>
                    </w:rPr>
                    <w:t>行技术</w:t>
                  </w:r>
                </w:p>
              </w:tc>
              <w:tc>
                <w:tcPr>
                  <w:tcW w:w="803"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排放量(kg/a)</w:t>
                  </w:r>
                </w:p>
              </w:tc>
              <w:tc>
                <w:tcPr>
                  <w:tcW w:w="802"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速率(kg/h)</w:t>
                  </w:r>
                </w:p>
              </w:tc>
              <w:tc>
                <w:tcPr>
                  <w:tcW w:w="763"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浓度</w:t>
                  </w:r>
                </w:p>
                <w:p>
                  <w:pPr>
                    <w:widowControl/>
                    <w:jc w:val="center"/>
                    <w:textAlignment w:val="center"/>
                    <w:rPr>
                      <w:b/>
                      <w:bCs/>
                      <w:color w:val="000000"/>
                      <w:szCs w:val="21"/>
                    </w:rPr>
                  </w:pPr>
                  <w:r>
                    <w:rPr>
                      <w:b/>
                      <w:bCs/>
                      <w:color w:val="000000"/>
                      <w:szCs w:val="21"/>
                    </w:rPr>
                    <w:t>(mg/m</w:t>
                  </w:r>
                  <w:r>
                    <w:rPr>
                      <w:b/>
                      <w:bCs/>
                      <w:color w:val="000000"/>
                      <w:szCs w:val="21"/>
                      <w:vertAlign w:val="superscript"/>
                    </w:rPr>
                    <w:t>3</w:t>
                  </w:r>
                  <w:r>
                    <w:rPr>
                      <w:b/>
                      <w:bCs/>
                      <w:color w:val="000000"/>
                      <w:szCs w:val="21"/>
                    </w:rPr>
                    <w:t>)</w:t>
                  </w:r>
                </w:p>
              </w:tc>
              <w:tc>
                <w:tcPr>
                  <w:tcW w:w="812" w:type="dxa"/>
                  <w:tcBorders>
                    <w:tl2br w:val="nil"/>
                    <w:tr2bl w:val="nil"/>
                  </w:tcBorders>
                  <w:tcMar>
                    <w:top w:w="12" w:type="dxa"/>
                    <w:left w:w="12" w:type="dxa"/>
                    <w:right w:w="12" w:type="dxa"/>
                  </w:tcMar>
                  <w:vAlign w:val="center"/>
                </w:tcPr>
                <w:p>
                  <w:pPr>
                    <w:widowControl/>
                    <w:jc w:val="center"/>
                    <w:textAlignment w:val="center"/>
                    <w:rPr>
                      <w:b/>
                      <w:bCs/>
                      <w:color w:val="000000"/>
                      <w:szCs w:val="21"/>
                    </w:rPr>
                  </w:pPr>
                  <w:r>
                    <w:rPr>
                      <w:b/>
                      <w:bCs/>
                      <w:color w:val="000000"/>
                      <w:szCs w:val="21"/>
                    </w:rPr>
                    <w:t>排气筒编号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100" w:type="dxa"/>
                  <w:vMerge w:val="restart"/>
                  <w:tcBorders>
                    <w:tl2br w:val="nil"/>
                    <w:tr2bl w:val="nil"/>
                  </w:tcBorders>
                  <w:tcMar>
                    <w:top w:w="12" w:type="dxa"/>
                    <w:left w:w="12" w:type="dxa"/>
                    <w:right w:w="12" w:type="dxa"/>
                  </w:tcMar>
                  <w:vAlign w:val="center"/>
                </w:tcPr>
                <w:p>
                  <w:pPr>
                    <w:spacing w:line="240" w:lineRule="atLeast"/>
                    <w:jc w:val="center"/>
                    <w:rPr>
                      <w:color w:val="000000"/>
                      <w:szCs w:val="21"/>
                    </w:rPr>
                  </w:pPr>
                  <w:r>
                    <w:rPr>
                      <w:rFonts w:hint="eastAsia"/>
                      <w:color w:val="000000"/>
                      <w:kern w:val="0"/>
                      <w:szCs w:val="21"/>
                      <w:lang w:bidi="ar"/>
                    </w:rPr>
                    <w:t>电极片</w:t>
                  </w:r>
                </w:p>
              </w:tc>
              <w:tc>
                <w:tcPr>
                  <w:tcW w:w="1020" w:type="dxa"/>
                  <w:tcBorders>
                    <w:tl2br w:val="nil"/>
                    <w:tr2bl w:val="nil"/>
                  </w:tcBorders>
                  <w:tcMar>
                    <w:top w:w="12" w:type="dxa"/>
                    <w:left w:w="12" w:type="dxa"/>
                    <w:right w:w="12" w:type="dxa"/>
                  </w:tcMar>
                  <w:vAlign w:val="center"/>
                </w:tcPr>
                <w:p>
                  <w:pPr>
                    <w:spacing w:line="240" w:lineRule="atLeast"/>
                    <w:jc w:val="center"/>
                    <w:rPr>
                      <w:color w:val="000000"/>
                      <w:szCs w:val="21"/>
                    </w:rPr>
                  </w:pPr>
                  <w:r>
                    <w:rPr>
                      <w:rFonts w:hint="eastAsia"/>
                      <w:color w:val="000000"/>
                      <w:kern w:val="0"/>
                      <w:szCs w:val="21"/>
                      <w:lang w:bidi="ar"/>
                    </w:rPr>
                    <w:t>酸洗</w:t>
                  </w:r>
                </w:p>
              </w:tc>
              <w:tc>
                <w:tcPr>
                  <w:tcW w:w="780" w:type="dxa"/>
                  <w:tcBorders>
                    <w:tl2br w:val="nil"/>
                    <w:tr2bl w:val="nil"/>
                  </w:tcBorders>
                  <w:tcMar>
                    <w:top w:w="12" w:type="dxa"/>
                    <w:left w:w="12" w:type="dxa"/>
                    <w:right w:w="12" w:type="dxa"/>
                  </w:tcMar>
                  <w:vAlign w:val="center"/>
                </w:tcPr>
                <w:p>
                  <w:pPr>
                    <w:spacing w:line="240" w:lineRule="atLeast"/>
                    <w:jc w:val="center"/>
                    <w:rPr>
                      <w:color w:val="000000"/>
                      <w:szCs w:val="21"/>
                    </w:rPr>
                  </w:pPr>
                  <w:r>
                    <w:rPr>
                      <w:rFonts w:hint="eastAsia"/>
                      <w:color w:val="000000"/>
                      <w:kern w:val="0"/>
                      <w:szCs w:val="21"/>
                      <w:lang w:bidi="ar"/>
                    </w:rPr>
                    <w:t>酸性气体</w:t>
                  </w:r>
                </w:p>
              </w:tc>
              <w:tc>
                <w:tcPr>
                  <w:tcW w:w="825"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50</w:t>
                  </w:r>
                </w:p>
              </w:tc>
              <w:tc>
                <w:tcPr>
                  <w:tcW w:w="810"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0.0223</w:t>
                  </w:r>
                </w:p>
              </w:tc>
              <w:tc>
                <w:tcPr>
                  <w:tcW w:w="780"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1.115</w:t>
                  </w:r>
                </w:p>
              </w:tc>
              <w:tc>
                <w:tcPr>
                  <w:tcW w:w="58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有组织</w:t>
                  </w:r>
                </w:p>
              </w:tc>
              <w:tc>
                <w:tcPr>
                  <w:tcW w:w="1966" w:type="dxa"/>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密闭车间由集气罩收集后与涂覆废气、实验室废气共用1套碱喷淋塔+</w:t>
                  </w:r>
                  <w:r>
                    <w:rPr>
                      <w:rFonts w:hint="eastAsia"/>
                      <w:color w:val="000000"/>
                      <w:szCs w:val="21"/>
                      <w:lang w:eastAsia="zh-CN"/>
                    </w:rPr>
                    <w:t>除湿棉</w:t>
                  </w:r>
                  <w:r>
                    <w:rPr>
                      <w:rFonts w:hint="eastAsia"/>
                      <w:color w:val="000000"/>
                      <w:szCs w:val="21"/>
                    </w:rPr>
                    <w:t>+二级活性炭吸附装置</w:t>
                  </w:r>
                  <w:r>
                    <w:rPr>
                      <w:color w:val="000000"/>
                      <w:szCs w:val="21"/>
                    </w:rPr>
                    <w:t>处理</w:t>
                  </w:r>
                </w:p>
              </w:tc>
              <w:tc>
                <w:tcPr>
                  <w:tcW w:w="874" w:type="dxa"/>
                  <w:vMerge w:val="restart"/>
                  <w:tcBorders>
                    <w:tl2br w:val="nil"/>
                    <w:tr2bl w:val="nil"/>
                  </w:tcBorders>
                  <w:tcMar>
                    <w:top w:w="12" w:type="dxa"/>
                    <w:left w:w="12" w:type="dxa"/>
                    <w:right w:w="12" w:type="dxa"/>
                  </w:tcMar>
                  <w:vAlign w:val="center"/>
                </w:tcPr>
                <w:p>
                  <w:pPr>
                    <w:jc w:val="center"/>
                    <w:rPr>
                      <w:color w:val="000000"/>
                      <w:szCs w:val="21"/>
                    </w:rPr>
                  </w:pPr>
                  <w:r>
                    <w:rPr>
                      <w:rFonts w:hint="eastAsia"/>
                      <w:color w:val="000000"/>
                      <w:szCs w:val="21"/>
                    </w:rPr>
                    <w:t>20000</w:t>
                  </w:r>
                </w:p>
              </w:tc>
              <w:tc>
                <w:tcPr>
                  <w:tcW w:w="61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98%</w:t>
                  </w:r>
                </w:p>
              </w:tc>
              <w:tc>
                <w:tcPr>
                  <w:tcW w:w="605" w:type="dxa"/>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95%</w:t>
                  </w:r>
                </w:p>
              </w:tc>
              <w:tc>
                <w:tcPr>
                  <w:tcW w:w="72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是</w:t>
                  </w:r>
                </w:p>
              </w:tc>
              <w:tc>
                <w:tcPr>
                  <w:tcW w:w="803"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2.45</w:t>
                  </w:r>
                </w:p>
              </w:tc>
              <w:tc>
                <w:tcPr>
                  <w:tcW w:w="802"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0.00109</w:t>
                  </w:r>
                </w:p>
              </w:tc>
              <w:tc>
                <w:tcPr>
                  <w:tcW w:w="763"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0.0547</w:t>
                  </w:r>
                </w:p>
              </w:tc>
              <w:tc>
                <w:tcPr>
                  <w:tcW w:w="812" w:type="dxa"/>
                  <w:vMerge w:val="restart"/>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DA001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100" w:type="dxa"/>
                  <w:vMerge w:val="continue"/>
                  <w:tcBorders>
                    <w:tl2br w:val="nil"/>
                    <w:tr2bl w:val="nil"/>
                  </w:tcBorders>
                  <w:tcMar>
                    <w:top w:w="12" w:type="dxa"/>
                    <w:left w:w="12" w:type="dxa"/>
                    <w:right w:w="12" w:type="dxa"/>
                  </w:tcMar>
                  <w:vAlign w:val="center"/>
                </w:tcPr>
                <w:p>
                  <w:pPr>
                    <w:jc w:val="center"/>
                    <w:rPr>
                      <w:color w:val="000000"/>
                      <w:szCs w:val="21"/>
                    </w:rPr>
                  </w:pPr>
                </w:p>
              </w:tc>
              <w:tc>
                <w:tcPr>
                  <w:tcW w:w="1020" w:type="dxa"/>
                  <w:vMerge w:val="restart"/>
                  <w:tcBorders>
                    <w:tl2br w:val="nil"/>
                    <w:tr2bl w:val="nil"/>
                  </w:tcBorders>
                  <w:tcMar>
                    <w:top w:w="12" w:type="dxa"/>
                    <w:left w:w="12" w:type="dxa"/>
                    <w:right w:w="12" w:type="dxa"/>
                  </w:tcMar>
                  <w:vAlign w:val="center"/>
                </w:tcPr>
                <w:p>
                  <w:pPr>
                    <w:spacing w:line="240" w:lineRule="atLeast"/>
                    <w:jc w:val="center"/>
                    <w:rPr>
                      <w:color w:val="000000"/>
                      <w:szCs w:val="21"/>
                    </w:rPr>
                  </w:pPr>
                  <w:r>
                    <w:rPr>
                      <w:rFonts w:hint="eastAsia"/>
                      <w:color w:val="000000"/>
                      <w:kern w:val="0"/>
                      <w:szCs w:val="21"/>
                      <w:lang w:bidi="ar"/>
                    </w:rPr>
                    <w:t>涂覆</w:t>
                  </w:r>
                </w:p>
              </w:tc>
              <w:tc>
                <w:tcPr>
                  <w:tcW w:w="780" w:type="dxa"/>
                  <w:tcBorders>
                    <w:tl2br w:val="nil"/>
                    <w:tr2bl w:val="nil"/>
                  </w:tcBorders>
                  <w:tcMar>
                    <w:top w:w="12" w:type="dxa"/>
                    <w:left w:w="12" w:type="dxa"/>
                    <w:right w:w="12" w:type="dxa"/>
                  </w:tcMar>
                  <w:vAlign w:val="center"/>
                </w:tcPr>
                <w:p>
                  <w:pPr>
                    <w:spacing w:line="240" w:lineRule="atLeast"/>
                    <w:jc w:val="center"/>
                    <w:rPr>
                      <w:color w:val="000000"/>
                      <w:szCs w:val="21"/>
                    </w:rPr>
                  </w:pPr>
                  <w:r>
                    <w:rPr>
                      <w:rFonts w:hint="eastAsia"/>
                      <w:color w:val="000000"/>
                      <w:kern w:val="0"/>
                      <w:szCs w:val="21"/>
                      <w:lang w:bidi="ar"/>
                    </w:rPr>
                    <w:t>非甲烷总烃</w:t>
                  </w:r>
                </w:p>
              </w:tc>
              <w:tc>
                <w:tcPr>
                  <w:tcW w:w="825"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200</w:t>
                  </w:r>
                </w:p>
              </w:tc>
              <w:tc>
                <w:tcPr>
                  <w:tcW w:w="810"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0.0893</w:t>
                  </w:r>
                </w:p>
              </w:tc>
              <w:tc>
                <w:tcPr>
                  <w:tcW w:w="780"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4.464</w:t>
                  </w:r>
                </w:p>
              </w:tc>
              <w:tc>
                <w:tcPr>
                  <w:tcW w:w="58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有组织</w:t>
                  </w:r>
                </w:p>
              </w:tc>
              <w:tc>
                <w:tcPr>
                  <w:tcW w:w="1966" w:type="dxa"/>
                  <w:vMerge w:val="restart"/>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密闭车间负压收集后与酸洗废气、实验室废气共用1套碱喷淋塔+</w:t>
                  </w:r>
                  <w:r>
                    <w:rPr>
                      <w:rFonts w:hint="eastAsia"/>
                      <w:color w:val="000000"/>
                      <w:szCs w:val="21"/>
                      <w:lang w:eastAsia="zh-CN"/>
                    </w:rPr>
                    <w:t>除湿棉</w:t>
                  </w:r>
                  <w:r>
                    <w:rPr>
                      <w:rFonts w:hint="eastAsia"/>
                      <w:color w:val="000000"/>
                      <w:szCs w:val="21"/>
                    </w:rPr>
                    <w:t>+二级活性炭吸附装置</w:t>
                  </w:r>
                  <w:r>
                    <w:rPr>
                      <w:color w:val="000000"/>
                      <w:szCs w:val="21"/>
                    </w:rPr>
                    <w:t>处理</w:t>
                  </w:r>
                </w:p>
              </w:tc>
              <w:tc>
                <w:tcPr>
                  <w:tcW w:w="874" w:type="dxa"/>
                  <w:vMerge w:val="continue"/>
                  <w:tcBorders>
                    <w:tl2br w:val="nil"/>
                    <w:tr2bl w:val="nil"/>
                  </w:tcBorders>
                  <w:tcMar>
                    <w:top w:w="12" w:type="dxa"/>
                    <w:left w:w="12" w:type="dxa"/>
                    <w:right w:w="12" w:type="dxa"/>
                  </w:tcMar>
                  <w:vAlign w:val="center"/>
                </w:tcPr>
                <w:p>
                  <w:pPr>
                    <w:jc w:val="center"/>
                    <w:rPr>
                      <w:color w:val="000000"/>
                      <w:szCs w:val="21"/>
                    </w:rPr>
                  </w:pPr>
                </w:p>
              </w:tc>
              <w:tc>
                <w:tcPr>
                  <w:tcW w:w="61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98%</w:t>
                  </w:r>
                </w:p>
              </w:tc>
              <w:tc>
                <w:tcPr>
                  <w:tcW w:w="605"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90%</w:t>
                  </w:r>
                </w:p>
              </w:tc>
              <w:tc>
                <w:tcPr>
                  <w:tcW w:w="72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是</w:t>
                  </w:r>
                </w:p>
              </w:tc>
              <w:tc>
                <w:tcPr>
                  <w:tcW w:w="803"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19.6</w:t>
                  </w:r>
                </w:p>
              </w:tc>
              <w:tc>
                <w:tcPr>
                  <w:tcW w:w="802"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0.00875</w:t>
                  </w:r>
                </w:p>
              </w:tc>
              <w:tc>
                <w:tcPr>
                  <w:tcW w:w="763"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0.4375</w:t>
                  </w:r>
                </w:p>
              </w:tc>
              <w:tc>
                <w:tcPr>
                  <w:tcW w:w="812" w:type="dxa"/>
                  <w:vMerge w:val="continue"/>
                  <w:tcBorders>
                    <w:tl2br w:val="nil"/>
                    <w:tr2bl w:val="nil"/>
                  </w:tcBorders>
                  <w:tcMar>
                    <w:top w:w="12" w:type="dxa"/>
                    <w:left w:w="12" w:type="dxa"/>
                    <w:right w:w="12" w:type="dxa"/>
                  </w:tcMar>
                  <w:vAlign w:val="center"/>
                </w:tcPr>
                <w:p>
                  <w:pPr>
                    <w:widowControl/>
                    <w:jc w:val="center"/>
                    <w:textAlignment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100" w:type="dxa"/>
                  <w:vMerge w:val="continue"/>
                  <w:tcBorders>
                    <w:tl2br w:val="nil"/>
                    <w:tr2bl w:val="nil"/>
                  </w:tcBorders>
                  <w:tcMar>
                    <w:top w:w="12" w:type="dxa"/>
                    <w:left w:w="12" w:type="dxa"/>
                    <w:right w:w="12" w:type="dxa"/>
                  </w:tcMar>
                  <w:vAlign w:val="center"/>
                </w:tcPr>
                <w:p>
                  <w:pPr>
                    <w:jc w:val="center"/>
                    <w:rPr>
                      <w:color w:val="000000"/>
                      <w:szCs w:val="21"/>
                    </w:rPr>
                  </w:pPr>
                </w:p>
              </w:tc>
              <w:tc>
                <w:tcPr>
                  <w:tcW w:w="1020" w:type="dxa"/>
                  <w:vMerge w:val="continue"/>
                  <w:tcBorders>
                    <w:tl2br w:val="nil"/>
                    <w:tr2bl w:val="nil"/>
                  </w:tcBorders>
                  <w:tcMar>
                    <w:top w:w="12" w:type="dxa"/>
                    <w:left w:w="12" w:type="dxa"/>
                    <w:right w:w="12" w:type="dxa"/>
                  </w:tcMar>
                  <w:vAlign w:val="center"/>
                </w:tcPr>
                <w:p>
                  <w:pPr>
                    <w:spacing w:line="240" w:lineRule="atLeast"/>
                    <w:jc w:val="center"/>
                    <w:rPr>
                      <w:color w:val="000000"/>
                      <w:szCs w:val="21"/>
                    </w:rPr>
                  </w:pPr>
                </w:p>
              </w:tc>
              <w:tc>
                <w:tcPr>
                  <w:tcW w:w="780" w:type="dxa"/>
                  <w:tcBorders>
                    <w:tl2br w:val="nil"/>
                    <w:tr2bl w:val="nil"/>
                  </w:tcBorders>
                  <w:tcMar>
                    <w:top w:w="12" w:type="dxa"/>
                    <w:left w:w="12" w:type="dxa"/>
                    <w:right w:w="12" w:type="dxa"/>
                  </w:tcMar>
                  <w:vAlign w:val="center"/>
                </w:tcPr>
                <w:p>
                  <w:pPr>
                    <w:spacing w:line="240" w:lineRule="atLeast"/>
                    <w:jc w:val="center"/>
                    <w:rPr>
                      <w:color w:val="000000"/>
                      <w:szCs w:val="21"/>
                    </w:rPr>
                  </w:pPr>
                  <w:r>
                    <w:rPr>
                      <w:rFonts w:hint="eastAsia"/>
                      <w:color w:val="000000"/>
                      <w:szCs w:val="21"/>
                    </w:rPr>
                    <w:t>氯化氢</w:t>
                  </w:r>
                </w:p>
              </w:tc>
              <w:tc>
                <w:tcPr>
                  <w:tcW w:w="825"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14.8</w:t>
                  </w:r>
                </w:p>
              </w:tc>
              <w:tc>
                <w:tcPr>
                  <w:tcW w:w="810"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0.00661</w:t>
                  </w:r>
                </w:p>
              </w:tc>
              <w:tc>
                <w:tcPr>
                  <w:tcW w:w="780"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0.33</w:t>
                  </w:r>
                </w:p>
              </w:tc>
              <w:tc>
                <w:tcPr>
                  <w:tcW w:w="58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有组织</w:t>
                  </w:r>
                </w:p>
              </w:tc>
              <w:tc>
                <w:tcPr>
                  <w:tcW w:w="1966" w:type="dxa"/>
                  <w:vMerge w:val="continue"/>
                  <w:tcBorders>
                    <w:tl2br w:val="nil"/>
                    <w:tr2bl w:val="nil"/>
                  </w:tcBorders>
                  <w:tcMar>
                    <w:top w:w="12" w:type="dxa"/>
                    <w:left w:w="12" w:type="dxa"/>
                    <w:right w:w="12" w:type="dxa"/>
                  </w:tcMar>
                  <w:vAlign w:val="center"/>
                </w:tcPr>
                <w:p>
                  <w:pPr>
                    <w:widowControl/>
                    <w:jc w:val="center"/>
                    <w:textAlignment w:val="center"/>
                    <w:rPr>
                      <w:color w:val="000000"/>
                      <w:szCs w:val="21"/>
                    </w:rPr>
                  </w:pPr>
                </w:p>
              </w:tc>
              <w:tc>
                <w:tcPr>
                  <w:tcW w:w="874" w:type="dxa"/>
                  <w:vMerge w:val="continue"/>
                  <w:tcBorders>
                    <w:tl2br w:val="nil"/>
                    <w:tr2bl w:val="nil"/>
                  </w:tcBorders>
                  <w:tcMar>
                    <w:top w:w="12" w:type="dxa"/>
                    <w:left w:w="12" w:type="dxa"/>
                    <w:right w:w="12" w:type="dxa"/>
                  </w:tcMar>
                  <w:vAlign w:val="center"/>
                </w:tcPr>
                <w:p>
                  <w:pPr>
                    <w:jc w:val="center"/>
                    <w:rPr>
                      <w:color w:val="000000"/>
                      <w:szCs w:val="21"/>
                    </w:rPr>
                  </w:pPr>
                </w:p>
              </w:tc>
              <w:tc>
                <w:tcPr>
                  <w:tcW w:w="61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98%</w:t>
                  </w:r>
                </w:p>
              </w:tc>
              <w:tc>
                <w:tcPr>
                  <w:tcW w:w="605"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9</w:t>
                  </w:r>
                  <w:r>
                    <w:rPr>
                      <w:rFonts w:hint="eastAsia"/>
                      <w:color w:val="000000"/>
                      <w:szCs w:val="21"/>
                    </w:rPr>
                    <w:t>5</w:t>
                  </w:r>
                  <w:r>
                    <w:rPr>
                      <w:color w:val="000000"/>
                      <w:szCs w:val="21"/>
                    </w:rPr>
                    <w:t>%</w:t>
                  </w:r>
                </w:p>
              </w:tc>
              <w:tc>
                <w:tcPr>
                  <w:tcW w:w="72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是</w:t>
                  </w:r>
                </w:p>
              </w:tc>
              <w:tc>
                <w:tcPr>
                  <w:tcW w:w="803" w:type="dxa"/>
                  <w:tcBorders>
                    <w:tl2br w:val="nil"/>
                    <w:tr2bl w:val="nil"/>
                  </w:tcBorders>
                  <w:tcMar>
                    <w:top w:w="12" w:type="dxa"/>
                    <w:left w:w="12" w:type="dxa"/>
                    <w:right w:w="12" w:type="dxa"/>
                  </w:tcMar>
                  <w:vAlign w:val="center"/>
                </w:tcPr>
                <w:p>
                  <w:pPr>
                    <w:widowControl/>
                    <w:jc w:val="center"/>
                    <w:textAlignment w:val="center"/>
                    <w:rPr>
                      <w:color w:val="000000"/>
                      <w:kern w:val="0"/>
                      <w:szCs w:val="21"/>
                      <w:highlight w:val="yellow"/>
                      <w:lang w:bidi="ar"/>
                    </w:rPr>
                  </w:pPr>
                  <w:r>
                    <w:rPr>
                      <w:rFonts w:hint="eastAsia"/>
                      <w:color w:val="000000"/>
                      <w:kern w:val="0"/>
                      <w:szCs w:val="21"/>
                      <w:lang w:bidi="ar"/>
                    </w:rPr>
                    <w:t>1.45</w:t>
                  </w:r>
                </w:p>
              </w:tc>
              <w:tc>
                <w:tcPr>
                  <w:tcW w:w="802"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0.000647</w:t>
                  </w:r>
                </w:p>
              </w:tc>
              <w:tc>
                <w:tcPr>
                  <w:tcW w:w="763"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0.0324</w:t>
                  </w:r>
                </w:p>
              </w:tc>
              <w:tc>
                <w:tcPr>
                  <w:tcW w:w="812" w:type="dxa"/>
                  <w:vMerge w:val="continue"/>
                  <w:tcBorders>
                    <w:tl2br w:val="nil"/>
                    <w:tr2bl w:val="nil"/>
                  </w:tcBorders>
                  <w:tcMar>
                    <w:top w:w="12" w:type="dxa"/>
                    <w:left w:w="12" w:type="dxa"/>
                    <w:right w:w="12" w:type="dxa"/>
                  </w:tcMar>
                  <w:vAlign w:val="center"/>
                </w:tcPr>
                <w:p>
                  <w:pPr>
                    <w:widowControl/>
                    <w:jc w:val="center"/>
                    <w:textAlignment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100" w:type="dxa"/>
                  <w:tcBorders>
                    <w:tl2br w:val="nil"/>
                    <w:tr2bl w:val="nil"/>
                  </w:tcBorders>
                  <w:tcMar>
                    <w:top w:w="12" w:type="dxa"/>
                    <w:left w:w="12" w:type="dxa"/>
                    <w:right w:w="12" w:type="dxa"/>
                  </w:tcMar>
                  <w:vAlign w:val="center"/>
                </w:tcPr>
                <w:p>
                  <w:pPr>
                    <w:spacing w:line="240" w:lineRule="atLeast"/>
                    <w:jc w:val="center"/>
                    <w:rPr>
                      <w:color w:val="000000"/>
                      <w:szCs w:val="21"/>
                    </w:rPr>
                  </w:pPr>
                  <w:r>
                    <w:rPr>
                      <w:rFonts w:hint="eastAsia"/>
                      <w:color w:val="000000"/>
                      <w:kern w:val="0"/>
                      <w:szCs w:val="21"/>
                      <w:lang w:bidi="ar"/>
                    </w:rPr>
                    <w:t>实验室催化剂研发</w:t>
                  </w:r>
                </w:p>
              </w:tc>
              <w:tc>
                <w:tcPr>
                  <w:tcW w:w="1020" w:type="dxa"/>
                  <w:tcBorders>
                    <w:tl2br w:val="nil"/>
                    <w:tr2bl w:val="nil"/>
                  </w:tcBorders>
                  <w:tcMar>
                    <w:top w:w="12" w:type="dxa"/>
                    <w:left w:w="12" w:type="dxa"/>
                    <w:right w:w="12" w:type="dxa"/>
                  </w:tcMar>
                  <w:vAlign w:val="center"/>
                </w:tcPr>
                <w:p>
                  <w:pPr>
                    <w:jc w:val="center"/>
                    <w:rPr>
                      <w:color w:val="000000"/>
                      <w:szCs w:val="21"/>
                    </w:rPr>
                  </w:pPr>
                  <w:r>
                    <w:rPr>
                      <w:rFonts w:hint="eastAsia"/>
                      <w:color w:val="000000"/>
                      <w:kern w:val="0"/>
                      <w:szCs w:val="21"/>
                    </w:rPr>
                    <w:t>混合搅拌、高温煅烧</w:t>
                  </w:r>
                </w:p>
              </w:tc>
              <w:tc>
                <w:tcPr>
                  <w:tcW w:w="780" w:type="dxa"/>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kern w:val="0"/>
                      <w:szCs w:val="21"/>
                      <w:lang w:bidi="ar"/>
                    </w:rPr>
                    <w:t>非甲烷总烃</w:t>
                  </w:r>
                </w:p>
              </w:tc>
              <w:tc>
                <w:tcPr>
                  <w:tcW w:w="825"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100</w:t>
                  </w:r>
                </w:p>
              </w:tc>
              <w:tc>
                <w:tcPr>
                  <w:tcW w:w="810"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0.0446</w:t>
                  </w:r>
                </w:p>
              </w:tc>
              <w:tc>
                <w:tcPr>
                  <w:tcW w:w="780"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2.232</w:t>
                  </w:r>
                </w:p>
              </w:tc>
              <w:tc>
                <w:tcPr>
                  <w:tcW w:w="58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有组织</w:t>
                  </w:r>
                </w:p>
              </w:tc>
              <w:tc>
                <w:tcPr>
                  <w:tcW w:w="1966" w:type="dxa"/>
                  <w:tcBorders>
                    <w:tl2br w:val="nil"/>
                    <w:tr2bl w:val="nil"/>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实验室整体密闭，由万向集气罩负压收集与酸洗废气、涂覆废气共用1套碱喷淋塔+</w:t>
                  </w:r>
                  <w:r>
                    <w:rPr>
                      <w:rFonts w:hint="eastAsia"/>
                      <w:color w:val="000000"/>
                      <w:szCs w:val="21"/>
                      <w:lang w:eastAsia="zh-CN"/>
                    </w:rPr>
                    <w:t>除湿棉</w:t>
                  </w:r>
                  <w:r>
                    <w:rPr>
                      <w:rFonts w:hint="eastAsia"/>
                      <w:color w:val="000000"/>
                      <w:szCs w:val="21"/>
                    </w:rPr>
                    <w:t>+二级活性炭吸附装置处理</w:t>
                  </w:r>
                </w:p>
              </w:tc>
              <w:tc>
                <w:tcPr>
                  <w:tcW w:w="874" w:type="dxa"/>
                  <w:vMerge w:val="continue"/>
                  <w:tcBorders>
                    <w:tl2br w:val="nil"/>
                    <w:tr2bl w:val="nil"/>
                  </w:tcBorders>
                  <w:tcMar>
                    <w:top w:w="12" w:type="dxa"/>
                    <w:left w:w="12" w:type="dxa"/>
                    <w:right w:w="12" w:type="dxa"/>
                  </w:tcMar>
                  <w:vAlign w:val="center"/>
                </w:tcPr>
                <w:p>
                  <w:pPr>
                    <w:jc w:val="center"/>
                    <w:rPr>
                      <w:color w:val="000000"/>
                      <w:szCs w:val="21"/>
                    </w:rPr>
                  </w:pPr>
                </w:p>
              </w:tc>
              <w:tc>
                <w:tcPr>
                  <w:tcW w:w="61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98%</w:t>
                  </w:r>
                </w:p>
              </w:tc>
              <w:tc>
                <w:tcPr>
                  <w:tcW w:w="605"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90%</w:t>
                  </w:r>
                </w:p>
              </w:tc>
              <w:tc>
                <w:tcPr>
                  <w:tcW w:w="729" w:type="dxa"/>
                  <w:tcBorders>
                    <w:tl2br w:val="nil"/>
                    <w:tr2bl w:val="nil"/>
                  </w:tcBorders>
                  <w:tcMar>
                    <w:top w:w="12" w:type="dxa"/>
                    <w:left w:w="12" w:type="dxa"/>
                    <w:right w:w="12" w:type="dxa"/>
                  </w:tcMar>
                  <w:vAlign w:val="center"/>
                </w:tcPr>
                <w:p>
                  <w:pPr>
                    <w:widowControl/>
                    <w:jc w:val="center"/>
                    <w:textAlignment w:val="center"/>
                    <w:rPr>
                      <w:color w:val="000000"/>
                      <w:szCs w:val="21"/>
                    </w:rPr>
                  </w:pPr>
                  <w:r>
                    <w:rPr>
                      <w:color w:val="000000"/>
                      <w:szCs w:val="21"/>
                    </w:rPr>
                    <w:t>是</w:t>
                  </w:r>
                </w:p>
              </w:tc>
              <w:tc>
                <w:tcPr>
                  <w:tcW w:w="803"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9.8</w:t>
                  </w:r>
                </w:p>
              </w:tc>
              <w:tc>
                <w:tcPr>
                  <w:tcW w:w="802"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0.00438</w:t>
                  </w:r>
                </w:p>
              </w:tc>
              <w:tc>
                <w:tcPr>
                  <w:tcW w:w="763" w:type="dxa"/>
                  <w:tcBorders>
                    <w:tl2br w:val="nil"/>
                    <w:tr2bl w:val="nil"/>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0.219</w:t>
                  </w:r>
                </w:p>
              </w:tc>
              <w:tc>
                <w:tcPr>
                  <w:tcW w:w="812" w:type="dxa"/>
                  <w:vMerge w:val="continue"/>
                  <w:tcBorders>
                    <w:tl2br w:val="nil"/>
                    <w:tr2bl w:val="nil"/>
                  </w:tcBorders>
                  <w:tcMar>
                    <w:top w:w="12" w:type="dxa"/>
                    <w:left w:w="12" w:type="dxa"/>
                    <w:right w:w="12" w:type="dxa"/>
                  </w:tcMar>
                  <w:vAlign w:val="center"/>
                </w:tcPr>
                <w:p>
                  <w:pPr>
                    <w:widowControl/>
                    <w:jc w:val="center"/>
                    <w:textAlignment w:val="center"/>
                    <w:rPr>
                      <w:color w:val="000000"/>
                      <w:szCs w:val="21"/>
                    </w:rPr>
                  </w:pPr>
                </w:p>
              </w:tc>
            </w:tr>
          </w:tbl>
          <w:p>
            <w:pPr>
              <w:widowControl/>
              <w:rPr>
                <w:b/>
                <w:color w:val="000000"/>
                <w:kern w:val="0"/>
                <w:szCs w:val="21"/>
              </w:rPr>
            </w:pPr>
          </w:p>
          <w:p>
            <w:pPr>
              <w:widowControl/>
              <w:numPr>
                <w:ilvl w:val="0"/>
                <w:numId w:val="1"/>
              </w:numPr>
              <w:jc w:val="center"/>
              <w:rPr>
                <w:b/>
                <w:color w:val="000000"/>
                <w:kern w:val="0"/>
                <w:szCs w:val="21"/>
              </w:rPr>
            </w:pPr>
            <w:r>
              <w:rPr>
                <w:b/>
                <w:color w:val="000000"/>
                <w:kern w:val="0"/>
                <w:szCs w:val="21"/>
              </w:rPr>
              <w:t xml:space="preserve">  本项目非正常情况排放一览表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2"/>
              <w:gridCol w:w="1208"/>
              <w:gridCol w:w="2122"/>
              <w:gridCol w:w="1050"/>
              <w:gridCol w:w="1275"/>
              <w:gridCol w:w="1920"/>
              <w:gridCol w:w="1089"/>
              <w:gridCol w:w="1199"/>
              <w:gridCol w:w="2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92" w:type="dxa"/>
                  <w:vAlign w:val="center"/>
                </w:tcPr>
                <w:p>
                  <w:pPr>
                    <w:widowControl/>
                    <w:jc w:val="center"/>
                    <w:textAlignment w:val="center"/>
                    <w:rPr>
                      <w:b/>
                      <w:bCs/>
                      <w:color w:val="000000"/>
                      <w:kern w:val="0"/>
                      <w:szCs w:val="21"/>
                      <w:lang w:bidi="ar"/>
                    </w:rPr>
                  </w:pPr>
                  <w:r>
                    <w:rPr>
                      <w:b/>
                      <w:bCs/>
                      <w:color w:val="000000"/>
                      <w:kern w:val="0"/>
                      <w:szCs w:val="21"/>
                      <w:lang w:bidi="ar"/>
                    </w:rPr>
                    <w:t>工序</w:t>
                  </w:r>
                </w:p>
              </w:tc>
              <w:tc>
                <w:tcPr>
                  <w:tcW w:w="1208" w:type="dxa"/>
                  <w:vAlign w:val="center"/>
                </w:tcPr>
                <w:p>
                  <w:pPr>
                    <w:widowControl/>
                    <w:jc w:val="center"/>
                    <w:textAlignment w:val="center"/>
                    <w:rPr>
                      <w:b/>
                      <w:bCs/>
                      <w:color w:val="000000"/>
                      <w:kern w:val="0"/>
                      <w:szCs w:val="21"/>
                      <w:lang w:bidi="ar"/>
                    </w:rPr>
                  </w:pPr>
                  <w:r>
                    <w:rPr>
                      <w:b/>
                      <w:bCs/>
                      <w:color w:val="000000"/>
                      <w:kern w:val="0"/>
                      <w:szCs w:val="21"/>
                      <w:lang w:bidi="ar"/>
                    </w:rPr>
                    <w:t>废气处理设施</w:t>
                  </w:r>
                </w:p>
              </w:tc>
              <w:tc>
                <w:tcPr>
                  <w:tcW w:w="2122" w:type="dxa"/>
                  <w:vAlign w:val="center"/>
                </w:tcPr>
                <w:p>
                  <w:pPr>
                    <w:widowControl/>
                    <w:jc w:val="center"/>
                    <w:textAlignment w:val="center"/>
                    <w:rPr>
                      <w:b/>
                      <w:bCs/>
                      <w:color w:val="000000"/>
                      <w:kern w:val="0"/>
                      <w:szCs w:val="21"/>
                      <w:lang w:bidi="ar"/>
                    </w:rPr>
                  </w:pPr>
                  <w:r>
                    <w:rPr>
                      <w:b/>
                      <w:bCs/>
                      <w:color w:val="000000"/>
                      <w:kern w:val="0"/>
                      <w:szCs w:val="21"/>
                      <w:lang w:bidi="ar"/>
                    </w:rPr>
                    <w:t>非正常情况</w:t>
                  </w:r>
                </w:p>
              </w:tc>
              <w:tc>
                <w:tcPr>
                  <w:tcW w:w="1050" w:type="dxa"/>
                  <w:vAlign w:val="center"/>
                </w:tcPr>
                <w:p>
                  <w:pPr>
                    <w:widowControl/>
                    <w:jc w:val="center"/>
                    <w:textAlignment w:val="center"/>
                    <w:rPr>
                      <w:b/>
                      <w:bCs/>
                      <w:color w:val="000000"/>
                      <w:kern w:val="0"/>
                      <w:szCs w:val="21"/>
                      <w:lang w:bidi="ar"/>
                    </w:rPr>
                  </w:pPr>
                  <w:r>
                    <w:rPr>
                      <w:b/>
                      <w:bCs/>
                      <w:color w:val="000000"/>
                      <w:kern w:val="0"/>
                      <w:szCs w:val="21"/>
                      <w:lang w:bidi="ar"/>
                    </w:rPr>
                    <w:t>频次</w:t>
                  </w:r>
                </w:p>
              </w:tc>
              <w:tc>
                <w:tcPr>
                  <w:tcW w:w="1275" w:type="dxa"/>
                  <w:vAlign w:val="center"/>
                </w:tcPr>
                <w:p>
                  <w:pPr>
                    <w:widowControl/>
                    <w:jc w:val="center"/>
                    <w:textAlignment w:val="center"/>
                    <w:rPr>
                      <w:b/>
                      <w:bCs/>
                      <w:color w:val="000000"/>
                      <w:kern w:val="0"/>
                      <w:szCs w:val="21"/>
                      <w:lang w:bidi="ar"/>
                    </w:rPr>
                  </w:pPr>
                  <w:r>
                    <w:rPr>
                      <w:b/>
                      <w:bCs/>
                      <w:color w:val="000000"/>
                      <w:kern w:val="0"/>
                      <w:szCs w:val="21"/>
                      <w:lang w:bidi="ar"/>
                    </w:rPr>
                    <w:t>污染物</w:t>
                  </w:r>
                </w:p>
              </w:tc>
              <w:tc>
                <w:tcPr>
                  <w:tcW w:w="1920" w:type="dxa"/>
                  <w:vAlign w:val="center"/>
                </w:tcPr>
                <w:p>
                  <w:pPr>
                    <w:widowControl/>
                    <w:jc w:val="center"/>
                    <w:textAlignment w:val="center"/>
                    <w:rPr>
                      <w:b/>
                      <w:bCs/>
                      <w:color w:val="000000"/>
                      <w:kern w:val="0"/>
                      <w:szCs w:val="21"/>
                      <w:lang w:bidi="ar"/>
                    </w:rPr>
                  </w:pPr>
                  <w:r>
                    <w:rPr>
                      <w:b/>
                      <w:bCs/>
                      <w:color w:val="000000"/>
                      <w:kern w:val="0"/>
                      <w:szCs w:val="21"/>
                      <w:lang w:bidi="ar"/>
                    </w:rPr>
                    <w:t>排放浓度（</w:t>
                  </w:r>
                  <w:r>
                    <w:rPr>
                      <w:b/>
                      <w:bCs/>
                      <w:color w:val="000000"/>
                      <w:szCs w:val="21"/>
                    </w:rPr>
                    <w:t>mg/m</w:t>
                  </w:r>
                  <w:r>
                    <w:rPr>
                      <w:b/>
                      <w:bCs/>
                      <w:color w:val="000000"/>
                      <w:szCs w:val="21"/>
                      <w:vertAlign w:val="superscript"/>
                    </w:rPr>
                    <w:t>3</w:t>
                  </w:r>
                  <w:r>
                    <w:rPr>
                      <w:b/>
                      <w:bCs/>
                      <w:color w:val="000000"/>
                      <w:kern w:val="0"/>
                      <w:szCs w:val="21"/>
                      <w:lang w:bidi="ar"/>
                    </w:rPr>
                    <w:t>）</w:t>
                  </w:r>
                </w:p>
              </w:tc>
              <w:tc>
                <w:tcPr>
                  <w:tcW w:w="1089" w:type="dxa"/>
                  <w:vAlign w:val="center"/>
                </w:tcPr>
                <w:p>
                  <w:pPr>
                    <w:widowControl/>
                    <w:jc w:val="center"/>
                    <w:textAlignment w:val="center"/>
                    <w:rPr>
                      <w:b/>
                      <w:bCs/>
                      <w:color w:val="000000"/>
                      <w:kern w:val="0"/>
                      <w:szCs w:val="21"/>
                      <w:lang w:bidi="ar"/>
                    </w:rPr>
                  </w:pPr>
                  <w:r>
                    <w:rPr>
                      <w:b/>
                      <w:bCs/>
                      <w:color w:val="000000"/>
                      <w:kern w:val="0"/>
                      <w:szCs w:val="21"/>
                      <w:lang w:bidi="ar"/>
                    </w:rPr>
                    <w:t>持续时间</w:t>
                  </w:r>
                </w:p>
              </w:tc>
              <w:tc>
                <w:tcPr>
                  <w:tcW w:w="1199" w:type="dxa"/>
                  <w:vAlign w:val="center"/>
                </w:tcPr>
                <w:p>
                  <w:pPr>
                    <w:widowControl/>
                    <w:jc w:val="center"/>
                    <w:textAlignment w:val="center"/>
                    <w:rPr>
                      <w:b/>
                      <w:bCs/>
                      <w:color w:val="000000"/>
                      <w:kern w:val="0"/>
                      <w:szCs w:val="21"/>
                      <w:lang w:bidi="ar"/>
                    </w:rPr>
                  </w:pPr>
                  <w:r>
                    <w:rPr>
                      <w:b/>
                      <w:bCs/>
                      <w:color w:val="000000"/>
                      <w:kern w:val="0"/>
                      <w:szCs w:val="21"/>
                      <w:lang w:bidi="ar"/>
                    </w:rPr>
                    <w:t>排放量（</w:t>
                  </w:r>
                  <w:r>
                    <w:rPr>
                      <w:rFonts w:hint="eastAsia"/>
                      <w:b/>
                      <w:bCs/>
                      <w:color w:val="000000"/>
                      <w:kern w:val="0"/>
                      <w:szCs w:val="21"/>
                      <w:lang w:bidi="ar"/>
                    </w:rPr>
                    <w:t>kg</w:t>
                  </w:r>
                  <w:r>
                    <w:rPr>
                      <w:b/>
                      <w:bCs/>
                      <w:color w:val="000000"/>
                      <w:kern w:val="0"/>
                      <w:szCs w:val="21"/>
                      <w:lang w:bidi="ar"/>
                    </w:rPr>
                    <w:t>）</w:t>
                  </w:r>
                </w:p>
              </w:tc>
              <w:tc>
                <w:tcPr>
                  <w:tcW w:w="2139" w:type="dxa"/>
                  <w:vAlign w:val="center"/>
                </w:tcPr>
                <w:p>
                  <w:pPr>
                    <w:widowControl/>
                    <w:jc w:val="center"/>
                    <w:textAlignment w:val="center"/>
                    <w:rPr>
                      <w:b/>
                      <w:bCs/>
                      <w:color w:val="000000"/>
                      <w:kern w:val="0"/>
                      <w:szCs w:val="21"/>
                      <w:lang w:bidi="ar"/>
                    </w:rPr>
                  </w:pPr>
                  <w:r>
                    <w:rPr>
                      <w:b/>
                      <w:bCs/>
                      <w:color w:val="000000"/>
                      <w:kern w:val="0"/>
                      <w:szCs w:val="21"/>
                      <w:lang w:bidi="ar"/>
                    </w:rPr>
                    <w:t>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92" w:type="dxa"/>
                  <w:vMerge w:val="restart"/>
                  <w:vAlign w:val="center"/>
                </w:tcPr>
                <w:p>
                  <w:pPr>
                    <w:widowControl/>
                    <w:jc w:val="center"/>
                    <w:textAlignment w:val="center"/>
                    <w:rPr>
                      <w:color w:val="000000"/>
                      <w:kern w:val="0"/>
                      <w:szCs w:val="21"/>
                      <w:lang w:bidi="ar"/>
                    </w:rPr>
                  </w:pPr>
                  <w:r>
                    <w:rPr>
                      <w:rFonts w:hint="eastAsia"/>
                      <w:color w:val="000000"/>
                      <w:kern w:val="0"/>
                      <w:szCs w:val="21"/>
                      <w:lang w:bidi="ar"/>
                    </w:rPr>
                    <w:t>酸洗、涂覆、混合搅拌、高温煅烧</w:t>
                  </w:r>
                </w:p>
              </w:tc>
              <w:tc>
                <w:tcPr>
                  <w:tcW w:w="1208" w:type="dxa"/>
                  <w:vMerge w:val="restart"/>
                  <w:vAlign w:val="center"/>
                </w:tcPr>
                <w:p>
                  <w:pPr>
                    <w:widowControl/>
                    <w:jc w:val="center"/>
                    <w:textAlignment w:val="center"/>
                    <w:rPr>
                      <w:color w:val="000000"/>
                      <w:kern w:val="0"/>
                      <w:szCs w:val="21"/>
                      <w:lang w:bidi="ar"/>
                    </w:rPr>
                  </w:pPr>
                  <w:r>
                    <w:rPr>
                      <w:rFonts w:hint="eastAsia"/>
                      <w:color w:val="000000"/>
                      <w:szCs w:val="21"/>
                    </w:rPr>
                    <w:t>碱喷淋塔+</w:t>
                  </w:r>
                  <w:r>
                    <w:rPr>
                      <w:rFonts w:hint="eastAsia"/>
                      <w:color w:val="000000"/>
                      <w:szCs w:val="21"/>
                      <w:lang w:eastAsia="zh-CN"/>
                    </w:rPr>
                    <w:t>除湿棉</w:t>
                  </w:r>
                  <w:r>
                    <w:rPr>
                      <w:rFonts w:hint="eastAsia"/>
                      <w:color w:val="000000"/>
                      <w:szCs w:val="21"/>
                    </w:rPr>
                    <w:t>+二级活性炭吸附装置</w:t>
                  </w:r>
                </w:p>
              </w:tc>
              <w:tc>
                <w:tcPr>
                  <w:tcW w:w="2122" w:type="dxa"/>
                  <w:vMerge w:val="restart"/>
                  <w:vAlign w:val="center"/>
                </w:tcPr>
                <w:p>
                  <w:pPr>
                    <w:widowControl/>
                    <w:jc w:val="center"/>
                    <w:textAlignment w:val="center"/>
                    <w:rPr>
                      <w:color w:val="000000"/>
                      <w:kern w:val="0"/>
                      <w:szCs w:val="21"/>
                      <w:lang w:bidi="ar"/>
                    </w:rPr>
                  </w:pPr>
                  <w:r>
                    <w:rPr>
                      <w:color w:val="000000"/>
                      <w:kern w:val="0"/>
                      <w:szCs w:val="21"/>
                      <w:lang w:bidi="ar"/>
                    </w:rPr>
                    <w:t>风机设备故障</w:t>
                  </w:r>
                  <w:r>
                    <w:rPr>
                      <w:rFonts w:hint="eastAsia"/>
                      <w:color w:val="000000"/>
                      <w:kern w:val="0"/>
                      <w:szCs w:val="21"/>
                      <w:lang w:bidi="ar"/>
                    </w:rPr>
                    <w:t>，酸性气体处理效率为50%、氯化氢处理效率为50%、有机废气处理效率为50%</w:t>
                  </w:r>
                </w:p>
              </w:tc>
              <w:tc>
                <w:tcPr>
                  <w:tcW w:w="1050" w:type="dxa"/>
                  <w:vMerge w:val="restart"/>
                  <w:vAlign w:val="center"/>
                </w:tcPr>
                <w:p>
                  <w:pPr>
                    <w:widowControl/>
                    <w:jc w:val="center"/>
                    <w:textAlignment w:val="center"/>
                    <w:rPr>
                      <w:color w:val="000000"/>
                      <w:kern w:val="0"/>
                      <w:szCs w:val="21"/>
                      <w:lang w:bidi="ar"/>
                    </w:rPr>
                  </w:pPr>
                  <w:r>
                    <w:rPr>
                      <w:color w:val="000000"/>
                      <w:kern w:val="0"/>
                      <w:szCs w:val="21"/>
                      <w:lang w:bidi="ar"/>
                    </w:rPr>
                    <w:t>1次/3年</w:t>
                  </w:r>
                </w:p>
              </w:tc>
              <w:tc>
                <w:tcPr>
                  <w:tcW w:w="1275" w:type="dxa"/>
                  <w:vAlign w:val="center"/>
                </w:tcPr>
                <w:p>
                  <w:pPr>
                    <w:spacing w:line="240" w:lineRule="atLeast"/>
                    <w:jc w:val="center"/>
                    <w:rPr>
                      <w:color w:val="000000"/>
                      <w:kern w:val="0"/>
                      <w:szCs w:val="21"/>
                      <w:lang w:bidi="ar"/>
                    </w:rPr>
                  </w:pPr>
                  <w:r>
                    <w:rPr>
                      <w:rFonts w:hint="eastAsia"/>
                      <w:color w:val="000000"/>
                      <w:kern w:val="0"/>
                      <w:szCs w:val="21"/>
                      <w:lang w:bidi="ar"/>
                    </w:rPr>
                    <w:t>酸性气体</w:t>
                  </w:r>
                </w:p>
              </w:tc>
              <w:tc>
                <w:tcPr>
                  <w:tcW w:w="1920" w:type="dxa"/>
                  <w:vAlign w:val="center"/>
                </w:tcPr>
                <w:p>
                  <w:pPr>
                    <w:widowControl/>
                    <w:jc w:val="center"/>
                    <w:textAlignment w:val="center"/>
                    <w:rPr>
                      <w:color w:val="000000"/>
                      <w:kern w:val="0"/>
                      <w:szCs w:val="21"/>
                      <w:lang w:bidi="ar"/>
                    </w:rPr>
                  </w:pPr>
                  <w:r>
                    <w:rPr>
                      <w:rFonts w:hint="eastAsia"/>
                      <w:color w:val="000000"/>
                      <w:kern w:val="0"/>
                      <w:szCs w:val="21"/>
                      <w:lang w:bidi="ar"/>
                    </w:rPr>
                    <w:t>0.5575</w:t>
                  </w:r>
                </w:p>
              </w:tc>
              <w:tc>
                <w:tcPr>
                  <w:tcW w:w="1089" w:type="dxa"/>
                  <w:vMerge w:val="restart"/>
                  <w:vAlign w:val="center"/>
                </w:tcPr>
                <w:p>
                  <w:pPr>
                    <w:widowControl/>
                    <w:jc w:val="center"/>
                    <w:textAlignment w:val="center"/>
                    <w:rPr>
                      <w:color w:val="000000"/>
                      <w:kern w:val="0"/>
                      <w:szCs w:val="21"/>
                      <w:lang w:bidi="ar"/>
                    </w:rPr>
                  </w:pPr>
                  <w:r>
                    <w:rPr>
                      <w:rFonts w:hint="eastAsia"/>
                      <w:color w:val="000000"/>
                      <w:kern w:val="0"/>
                      <w:szCs w:val="21"/>
                      <w:lang w:bidi="ar"/>
                    </w:rPr>
                    <w:t>30</w:t>
                  </w:r>
                  <w:r>
                    <w:rPr>
                      <w:color w:val="000000"/>
                      <w:kern w:val="0"/>
                      <w:szCs w:val="21"/>
                      <w:lang w:bidi="ar"/>
                    </w:rPr>
                    <w:t>min</w:t>
                  </w:r>
                </w:p>
              </w:tc>
              <w:tc>
                <w:tcPr>
                  <w:tcW w:w="1199" w:type="dxa"/>
                  <w:vAlign w:val="center"/>
                </w:tcPr>
                <w:p>
                  <w:pPr>
                    <w:widowControl/>
                    <w:jc w:val="center"/>
                    <w:textAlignment w:val="center"/>
                    <w:rPr>
                      <w:color w:val="000000"/>
                      <w:kern w:val="0"/>
                      <w:szCs w:val="21"/>
                      <w:lang w:bidi="ar"/>
                    </w:rPr>
                  </w:pPr>
                  <w:r>
                    <w:rPr>
                      <w:rFonts w:hint="eastAsia"/>
                      <w:color w:val="000000"/>
                      <w:kern w:val="0"/>
                      <w:szCs w:val="21"/>
                      <w:lang w:bidi="ar"/>
                    </w:rPr>
                    <w:t>0.0112</w:t>
                  </w:r>
                </w:p>
              </w:tc>
              <w:tc>
                <w:tcPr>
                  <w:tcW w:w="2139" w:type="dxa"/>
                  <w:vMerge w:val="restart"/>
                  <w:vAlign w:val="center"/>
                </w:tcPr>
                <w:p>
                  <w:pPr>
                    <w:widowControl/>
                    <w:jc w:val="center"/>
                    <w:textAlignment w:val="center"/>
                    <w:rPr>
                      <w:color w:val="000000"/>
                      <w:kern w:val="0"/>
                      <w:szCs w:val="21"/>
                      <w:lang w:bidi="ar"/>
                    </w:rPr>
                  </w:pPr>
                  <w:r>
                    <w:rPr>
                      <w:rFonts w:hint="eastAsia"/>
                      <w:color w:val="000000"/>
                      <w:kern w:val="0"/>
                      <w:szCs w:val="21"/>
                      <w:lang w:bidi="ar"/>
                    </w:rPr>
                    <w:t>酸洗、涂覆、混合搅拌、高温煅烧</w:t>
                  </w:r>
                  <w:r>
                    <w:rPr>
                      <w:color w:val="000000"/>
                      <w:kern w:val="0"/>
                      <w:szCs w:val="21"/>
                      <w:lang w:bidi="ar"/>
                    </w:rPr>
                    <w:t>工序停产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892" w:type="dxa"/>
                  <w:vMerge w:val="continue"/>
                  <w:vAlign w:val="center"/>
                </w:tcPr>
                <w:p>
                  <w:pPr>
                    <w:widowControl/>
                    <w:jc w:val="center"/>
                    <w:textAlignment w:val="center"/>
                    <w:rPr>
                      <w:color w:val="000000"/>
                      <w:kern w:val="0"/>
                      <w:szCs w:val="21"/>
                      <w:lang w:bidi="ar"/>
                    </w:rPr>
                  </w:pPr>
                </w:p>
              </w:tc>
              <w:tc>
                <w:tcPr>
                  <w:tcW w:w="1208" w:type="dxa"/>
                  <w:vMerge w:val="continue"/>
                  <w:vAlign w:val="center"/>
                </w:tcPr>
                <w:p>
                  <w:pPr>
                    <w:widowControl/>
                    <w:jc w:val="center"/>
                    <w:textAlignment w:val="center"/>
                    <w:rPr>
                      <w:color w:val="000000"/>
                      <w:szCs w:val="21"/>
                    </w:rPr>
                  </w:pPr>
                </w:p>
              </w:tc>
              <w:tc>
                <w:tcPr>
                  <w:tcW w:w="2122" w:type="dxa"/>
                  <w:vMerge w:val="continue"/>
                  <w:vAlign w:val="center"/>
                </w:tcPr>
                <w:p>
                  <w:pPr>
                    <w:widowControl/>
                    <w:jc w:val="center"/>
                    <w:textAlignment w:val="center"/>
                    <w:rPr>
                      <w:color w:val="000000"/>
                      <w:kern w:val="0"/>
                      <w:szCs w:val="21"/>
                      <w:lang w:bidi="ar"/>
                    </w:rPr>
                  </w:pPr>
                </w:p>
              </w:tc>
              <w:tc>
                <w:tcPr>
                  <w:tcW w:w="1050" w:type="dxa"/>
                  <w:vMerge w:val="continue"/>
                  <w:vAlign w:val="center"/>
                </w:tcPr>
                <w:p>
                  <w:pPr>
                    <w:widowControl/>
                    <w:jc w:val="center"/>
                    <w:textAlignment w:val="center"/>
                    <w:rPr>
                      <w:color w:val="000000"/>
                      <w:kern w:val="0"/>
                      <w:szCs w:val="21"/>
                      <w:lang w:bidi="ar"/>
                    </w:rPr>
                  </w:pPr>
                </w:p>
              </w:tc>
              <w:tc>
                <w:tcPr>
                  <w:tcW w:w="1275" w:type="dxa"/>
                  <w:vAlign w:val="center"/>
                </w:tcPr>
                <w:p>
                  <w:pPr>
                    <w:spacing w:line="240" w:lineRule="atLeast"/>
                    <w:jc w:val="center"/>
                    <w:rPr>
                      <w:color w:val="000000"/>
                      <w:szCs w:val="21"/>
                    </w:rPr>
                  </w:pPr>
                  <w:r>
                    <w:rPr>
                      <w:rFonts w:hint="eastAsia"/>
                      <w:color w:val="000000"/>
                      <w:kern w:val="0"/>
                      <w:szCs w:val="21"/>
                      <w:lang w:bidi="ar"/>
                    </w:rPr>
                    <w:t>非甲烷总烃</w:t>
                  </w:r>
                </w:p>
              </w:tc>
              <w:tc>
                <w:tcPr>
                  <w:tcW w:w="1920" w:type="dxa"/>
                  <w:vAlign w:val="center"/>
                </w:tcPr>
                <w:p>
                  <w:pPr>
                    <w:widowControl/>
                    <w:jc w:val="center"/>
                    <w:textAlignment w:val="center"/>
                    <w:rPr>
                      <w:color w:val="000000"/>
                      <w:kern w:val="0"/>
                      <w:szCs w:val="21"/>
                      <w:lang w:bidi="ar"/>
                    </w:rPr>
                  </w:pPr>
                  <w:r>
                    <w:rPr>
                      <w:rFonts w:hint="eastAsia"/>
                      <w:color w:val="C00000"/>
                      <w:kern w:val="0"/>
                      <w:szCs w:val="21"/>
                      <w:lang w:bidi="ar"/>
                    </w:rPr>
                    <w:t>6.7</w:t>
                  </w:r>
                </w:p>
              </w:tc>
              <w:tc>
                <w:tcPr>
                  <w:tcW w:w="1089" w:type="dxa"/>
                  <w:vMerge w:val="continue"/>
                  <w:vAlign w:val="center"/>
                </w:tcPr>
                <w:p>
                  <w:pPr>
                    <w:widowControl/>
                    <w:jc w:val="center"/>
                    <w:textAlignment w:val="center"/>
                    <w:rPr>
                      <w:color w:val="000000"/>
                      <w:kern w:val="0"/>
                      <w:szCs w:val="21"/>
                      <w:lang w:bidi="ar"/>
                    </w:rPr>
                  </w:pPr>
                </w:p>
              </w:tc>
              <w:tc>
                <w:tcPr>
                  <w:tcW w:w="1199" w:type="dxa"/>
                  <w:vAlign w:val="center"/>
                </w:tcPr>
                <w:p>
                  <w:pPr>
                    <w:widowControl/>
                    <w:jc w:val="center"/>
                    <w:textAlignment w:val="center"/>
                    <w:rPr>
                      <w:color w:val="000000"/>
                      <w:kern w:val="0"/>
                      <w:szCs w:val="21"/>
                      <w:lang w:bidi="ar"/>
                    </w:rPr>
                  </w:pPr>
                  <w:r>
                    <w:rPr>
                      <w:rFonts w:hint="eastAsia"/>
                      <w:color w:val="C00000"/>
                      <w:kern w:val="0"/>
                      <w:szCs w:val="21"/>
                      <w:lang w:bidi="ar"/>
                    </w:rPr>
                    <w:t>1.065</w:t>
                  </w:r>
                </w:p>
              </w:tc>
              <w:tc>
                <w:tcPr>
                  <w:tcW w:w="2139" w:type="dxa"/>
                  <w:vMerge w:val="continue"/>
                  <w:vAlign w:val="center"/>
                </w:tcPr>
                <w:p>
                  <w:pPr>
                    <w:widowControl/>
                    <w:jc w:val="center"/>
                    <w:textAlignment w:val="center"/>
                    <w:rPr>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92" w:type="dxa"/>
                  <w:vMerge w:val="continue"/>
                  <w:vAlign w:val="center"/>
                </w:tcPr>
                <w:p>
                  <w:pPr>
                    <w:widowControl/>
                    <w:jc w:val="center"/>
                    <w:textAlignment w:val="center"/>
                    <w:rPr>
                      <w:color w:val="000000"/>
                      <w:kern w:val="0"/>
                      <w:szCs w:val="21"/>
                      <w:lang w:bidi="ar"/>
                    </w:rPr>
                  </w:pPr>
                </w:p>
              </w:tc>
              <w:tc>
                <w:tcPr>
                  <w:tcW w:w="1208" w:type="dxa"/>
                  <w:vMerge w:val="continue"/>
                  <w:vAlign w:val="center"/>
                </w:tcPr>
                <w:p>
                  <w:pPr>
                    <w:widowControl/>
                    <w:jc w:val="center"/>
                    <w:textAlignment w:val="center"/>
                    <w:rPr>
                      <w:color w:val="000000"/>
                      <w:szCs w:val="21"/>
                    </w:rPr>
                  </w:pPr>
                </w:p>
              </w:tc>
              <w:tc>
                <w:tcPr>
                  <w:tcW w:w="2122" w:type="dxa"/>
                  <w:vMerge w:val="continue"/>
                  <w:vAlign w:val="center"/>
                </w:tcPr>
                <w:p>
                  <w:pPr>
                    <w:widowControl/>
                    <w:jc w:val="center"/>
                    <w:textAlignment w:val="center"/>
                    <w:rPr>
                      <w:color w:val="000000"/>
                      <w:kern w:val="0"/>
                      <w:szCs w:val="21"/>
                      <w:lang w:bidi="ar"/>
                    </w:rPr>
                  </w:pPr>
                </w:p>
              </w:tc>
              <w:tc>
                <w:tcPr>
                  <w:tcW w:w="1050" w:type="dxa"/>
                  <w:vMerge w:val="continue"/>
                  <w:vAlign w:val="center"/>
                </w:tcPr>
                <w:p>
                  <w:pPr>
                    <w:widowControl/>
                    <w:jc w:val="center"/>
                    <w:textAlignment w:val="center"/>
                    <w:rPr>
                      <w:color w:val="000000"/>
                      <w:kern w:val="0"/>
                      <w:szCs w:val="21"/>
                      <w:lang w:bidi="ar"/>
                    </w:rPr>
                  </w:pPr>
                </w:p>
              </w:tc>
              <w:tc>
                <w:tcPr>
                  <w:tcW w:w="1275" w:type="dxa"/>
                  <w:vAlign w:val="center"/>
                </w:tcPr>
                <w:p>
                  <w:pPr>
                    <w:spacing w:line="240" w:lineRule="atLeast"/>
                    <w:jc w:val="center"/>
                    <w:rPr>
                      <w:color w:val="000000"/>
                      <w:szCs w:val="21"/>
                    </w:rPr>
                  </w:pPr>
                  <w:r>
                    <w:rPr>
                      <w:rFonts w:hint="eastAsia"/>
                      <w:color w:val="000000"/>
                      <w:szCs w:val="21"/>
                    </w:rPr>
                    <w:t>氯化氢</w:t>
                  </w:r>
                </w:p>
              </w:tc>
              <w:tc>
                <w:tcPr>
                  <w:tcW w:w="1920" w:type="dxa"/>
                  <w:vAlign w:val="center"/>
                </w:tcPr>
                <w:p>
                  <w:pPr>
                    <w:widowControl/>
                    <w:jc w:val="center"/>
                    <w:textAlignment w:val="center"/>
                    <w:rPr>
                      <w:color w:val="000000"/>
                      <w:kern w:val="0"/>
                      <w:szCs w:val="21"/>
                      <w:lang w:bidi="ar"/>
                    </w:rPr>
                  </w:pPr>
                  <w:r>
                    <w:rPr>
                      <w:rFonts w:hint="eastAsia"/>
                      <w:color w:val="000000"/>
                      <w:kern w:val="0"/>
                      <w:szCs w:val="21"/>
                      <w:lang w:bidi="ar"/>
                    </w:rPr>
                    <w:t>0.165</w:t>
                  </w:r>
                </w:p>
              </w:tc>
              <w:tc>
                <w:tcPr>
                  <w:tcW w:w="1089" w:type="dxa"/>
                  <w:vMerge w:val="continue"/>
                  <w:vAlign w:val="center"/>
                </w:tcPr>
                <w:p>
                  <w:pPr>
                    <w:widowControl/>
                    <w:jc w:val="center"/>
                    <w:textAlignment w:val="center"/>
                    <w:rPr>
                      <w:color w:val="000000"/>
                      <w:kern w:val="0"/>
                      <w:szCs w:val="21"/>
                      <w:lang w:bidi="ar"/>
                    </w:rPr>
                  </w:pPr>
                </w:p>
              </w:tc>
              <w:tc>
                <w:tcPr>
                  <w:tcW w:w="1199" w:type="dxa"/>
                  <w:vAlign w:val="center"/>
                </w:tcPr>
                <w:p>
                  <w:pPr>
                    <w:widowControl/>
                    <w:jc w:val="center"/>
                    <w:textAlignment w:val="center"/>
                    <w:rPr>
                      <w:color w:val="000000"/>
                      <w:kern w:val="0"/>
                      <w:szCs w:val="21"/>
                      <w:lang w:bidi="ar"/>
                    </w:rPr>
                  </w:pPr>
                  <w:r>
                    <w:rPr>
                      <w:rFonts w:hint="eastAsia"/>
                      <w:color w:val="000000"/>
                      <w:kern w:val="0"/>
                      <w:szCs w:val="21"/>
                      <w:lang w:bidi="ar"/>
                    </w:rPr>
                    <w:t>0.00165</w:t>
                  </w:r>
                </w:p>
              </w:tc>
              <w:tc>
                <w:tcPr>
                  <w:tcW w:w="2139" w:type="dxa"/>
                  <w:vMerge w:val="continue"/>
                  <w:vAlign w:val="center"/>
                </w:tcPr>
                <w:p>
                  <w:pPr>
                    <w:widowControl/>
                    <w:jc w:val="center"/>
                    <w:textAlignment w:val="center"/>
                    <w:rPr>
                      <w:color w:val="000000"/>
                      <w:kern w:val="0"/>
                      <w:szCs w:val="21"/>
                      <w:lang w:bidi="ar"/>
                    </w:rPr>
                  </w:pPr>
                </w:p>
              </w:tc>
            </w:tr>
          </w:tbl>
          <w:p>
            <w:pPr>
              <w:widowControl/>
              <w:numPr>
                <w:ilvl w:val="0"/>
                <w:numId w:val="1"/>
              </w:numPr>
              <w:jc w:val="center"/>
              <w:rPr>
                <w:b/>
                <w:color w:val="000000"/>
                <w:kern w:val="0"/>
                <w:szCs w:val="21"/>
              </w:rPr>
            </w:pPr>
            <w:r>
              <w:rPr>
                <w:b/>
                <w:color w:val="000000"/>
                <w:kern w:val="0"/>
                <w:szCs w:val="21"/>
              </w:rPr>
              <w:t xml:space="preserve">  项目大气排放口基本情况一览表</w:t>
            </w:r>
          </w:p>
          <w:tbl>
            <w:tblPr>
              <w:tblStyle w:val="24"/>
              <w:tblW w:w="0" w:type="auto"/>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575"/>
              <w:gridCol w:w="891"/>
              <w:gridCol w:w="1358"/>
              <w:gridCol w:w="958"/>
              <w:gridCol w:w="932"/>
              <w:gridCol w:w="1438"/>
              <w:gridCol w:w="1358"/>
              <w:gridCol w:w="878"/>
              <w:gridCol w:w="905"/>
              <w:gridCol w:w="734"/>
              <w:gridCol w:w="1265"/>
              <w:gridCol w:w="1744"/>
              <w:gridCol w:w="880"/>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575" w:type="dxa"/>
                  <w:vMerge w:val="restart"/>
                  <w:tcBorders>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序号</w:t>
                  </w:r>
                </w:p>
              </w:tc>
              <w:tc>
                <w:tcPr>
                  <w:tcW w:w="891" w:type="dxa"/>
                  <w:vMerge w:val="restart"/>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排放口编号</w:t>
                  </w:r>
                </w:p>
              </w:tc>
              <w:tc>
                <w:tcPr>
                  <w:tcW w:w="1358" w:type="dxa"/>
                  <w:vMerge w:val="restart"/>
                  <w:tcBorders>
                    <w:left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污染物种类</w:t>
                  </w:r>
                </w:p>
              </w:tc>
              <w:tc>
                <w:tcPr>
                  <w:tcW w:w="1890" w:type="dxa"/>
                  <w:gridSpan w:val="2"/>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排放标准</w:t>
                  </w:r>
                </w:p>
              </w:tc>
              <w:tc>
                <w:tcPr>
                  <w:tcW w:w="2796" w:type="dxa"/>
                  <w:gridSpan w:val="2"/>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排放口地理坐标（1）</w:t>
                  </w:r>
                </w:p>
              </w:tc>
              <w:tc>
                <w:tcPr>
                  <w:tcW w:w="2517" w:type="dxa"/>
                  <w:gridSpan w:val="3"/>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排气筒参数</w:t>
                  </w:r>
                </w:p>
              </w:tc>
              <w:tc>
                <w:tcPr>
                  <w:tcW w:w="3889" w:type="dxa"/>
                  <w:gridSpan w:val="3"/>
                  <w:tcBorders>
                    <w:left w:val="single" w:color="000000" w:sz="4" w:space="0"/>
                    <w:bottom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监测要求</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575" w:type="dxa"/>
                  <w:vMerge w:val="continue"/>
                  <w:tcBorders>
                    <w:top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p>
              </w:tc>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p>
              </w:tc>
              <w:tc>
                <w:tcPr>
                  <w:tcW w:w="135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p>
              </w:tc>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浓度</w:t>
                  </w:r>
                </w:p>
                <w:p>
                  <w:pPr>
                    <w:widowControl/>
                    <w:jc w:val="center"/>
                    <w:textAlignment w:val="center"/>
                    <w:rPr>
                      <w:b/>
                      <w:bCs/>
                      <w:color w:val="000000"/>
                    </w:rPr>
                  </w:pPr>
                  <w:r>
                    <w:rPr>
                      <w:b/>
                      <w:bCs/>
                      <w:color w:val="000000"/>
                    </w:rPr>
                    <w:t>(mg/m</w:t>
                  </w:r>
                  <w:r>
                    <w:rPr>
                      <w:b/>
                      <w:bCs/>
                      <w:color w:val="000000"/>
                      <w:vertAlign w:val="superscript"/>
                    </w:rPr>
                    <w:t>3</w:t>
                  </w:r>
                  <w:r>
                    <w:rPr>
                      <w:b/>
                      <w:bCs/>
                      <w:color w:val="000000"/>
                    </w:rPr>
                    <w:t>)</w:t>
                  </w:r>
                </w:p>
              </w:tc>
              <w:tc>
                <w:tcPr>
                  <w:tcW w:w="9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速率</w:t>
                  </w:r>
                </w:p>
                <w:p>
                  <w:pPr>
                    <w:widowControl/>
                    <w:jc w:val="center"/>
                    <w:textAlignment w:val="center"/>
                    <w:rPr>
                      <w:b/>
                      <w:bCs/>
                      <w:color w:val="000000"/>
                    </w:rPr>
                  </w:pPr>
                  <w:r>
                    <w:rPr>
                      <w:b/>
                      <w:bCs/>
                      <w:color w:val="000000"/>
                    </w:rPr>
                    <w:t>(kg/h)</w:t>
                  </w:r>
                </w:p>
              </w:tc>
              <w:tc>
                <w:tcPr>
                  <w:tcW w:w="143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经度</w:t>
                  </w:r>
                </w:p>
              </w:tc>
              <w:tc>
                <w:tcPr>
                  <w:tcW w:w="13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纬度</w:t>
                  </w:r>
                </w:p>
              </w:tc>
              <w:tc>
                <w:tcPr>
                  <w:tcW w:w="8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高度</w:t>
                  </w:r>
                </w:p>
                <w:p>
                  <w:pPr>
                    <w:widowControl/>
                    <w:jc w:val="center"/>
                    <w:textAlignment w:val="center"/>
                    <w:rPr>
                      <w:b/>
                      <w:bCs/>
                      <w:color w:val="000000"/>
                    </w:rPr>
                  </w:pPr>
                  <w:r>
                    <w:rPr>
                      <w:b/>
                      <w:bCs/>
                      <w:color w:val="000000"/>
                    </w:rPr>
                    <w:t>（m）</w:t>
                  </w:r>
                </w:p>
              </w:tc>
              <w:tc>
                <w:tcPr>
                  <w:tcW w:w="9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出口内径（m）</w:t>
                  </w:r>
                </w:p>
              </w:tc>
              <w:tc>
                <w:tcPr>
                  <w:tcW w:w="7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温度</w:t>
                  </w:r>
                </w:p>
                <w:p>
                  <w:pPr>
                    <w:widowControl/>
                    <w:jc w:val="center"/>
                    <w:textAlignment w:val="center"/>
                    <w:rPr>
                      <w:b/>
                      <w:bCs/>
                      <w:color w:val="000000"/>
                    </w:rPr>
                  </w:pPr>
                  <w:r>
                    <w:rPr>
                      <w:b/>
                      <w:bCs/>
                      <w:color w:val="000000"/>
                    </w:rPr>
                    <w:t>（℃）</w:t>
                  </w:r>
                </w:p>
              </w:tc>
              <w:tc>
                <w:tcPr>
                  <w:tcW w:w="12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监测点位</w:t>
                  </w:r>
                </w:p>
              </w:tc>
              <w:tc>
                <w:tcPr>
                  <w:tcW w:w="174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监测因子</w:t>
                  </w:r>
                </w:p>
              </w:tc>
              <w:tc>
                <w:tcPr>
                  <w:tcW w:w="880" w:type="dxa"/>
                  <w:tcBorders>
                    <w:top w:val="single" w:color="000000" w:sz="4" w:space="0"/>
                    <w:left w:val="single" w:color="000000" w:sz="4" w:space="0"/>
                    <w:bottom w:val="single" w:color="000000" w:sz="4" w:space="0"/>
                  </w:tcBorders>
                  <w:tcMar>
                    <w:top w:w="12" w:type="dxa"/>
                    <w:left w:w="12" w:type="dxa"/>
                    <w:right w:w="12" w:type="dxa"/>
                  </w:tcMar>
                  <w:vAlign w:val="center"/>
                </w:tcPr>
                <w:p>
                  <w:pPr>
                    <w:widowControl/>
                    <w:jc w:val="center"/>
                    <w:textAlignment w:val="center"/>
                    <w:rPr>
                      <w:b/>
                      <w:bCs/>
                      <w:color w:val="000000"/>
                    </w:rPr>
                  </w:pPr>
                  <w:r>
                    <w:rPr>
                      <w:b/>
                      <w:bCs/>
                      <w:color w:val="000000"/>
                    </w:rPr>
                    <w:t>监测频次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575" w:type="dxa"/>
                  <w:vMerge w:val="restart"/>
                  <w:tcBorders>
                    <w:top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color w:val="000000"/>
                    </w:rPr>
                    <w:t>1</w:t>
                  </w:r>
                </w:p>
              </w:tc>
              <w:tc>
                <w:tcPr>
                  <w:tcW w:w="891"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color w:val="000000"/>
                    </w:rPr>
                    <w:t>DA001</w:t>
                  </w:r>
                </w:p>
              </w:tc>
              <w:tc>
                <w:tcPr>
                  <w:tcW w:w="13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240" w:lineRule="atLeast"/>
                    <w:jc w:val="center"/>
                    <w:rPr>
                      <w:color w:val="000000"/>
                    </w:rPr>
                  </w:pPr>
                  <w:r>
                    <w:rPr>
                      <w:rFonts w:hint="eastAsia"/>
                      <w:color w:val="000000"/>
                      <w:kern w:val="0"/>
                      <w:szCs w:val="21"/>
                      <w:lang w:bidi="ar"/>
                    </w:rPr>
                    <w:t>酸性气体</w:t>
                  </w:r>
                </w:p>
              </w:tc>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rFonts w:hint="eastAsia"/>
                      <w:color w:val="000000"/>
                    </w:rPr>
                    <w:t>10</w:t>
                  </w:r>
                </w:p>
              </w:tc>
              <w:tc>
                <w:tcPr>
                  <w:tcW w:w="9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rFonts w:hint="eastAsia"/>
                      <w:color w:val="000000"/>
                    </w:rPr>
                    <w:t>0.18</w:t>
                  </w:r>
                </w:p>
              </w:tc>
              <w:tc>
                <w:tcPr>
                  <w:tcW w:w="143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color w:val="000000"/>
                    </w:rPr>
                    <w:t>117°7′42.892″</w:t>
                  </w:r>
                </w:p>
              </w:tc>
              <w:tc>
                <w:tcPr>
                  <w:tcW w:w="135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color w:val="000000"/>
                    </w:rPr>
                    <w:t>31°48′10.549″</w:t>
                  </w:r>
                </w:p>
              </w:tc>
              <w:tc>
                <w:tcPr>
                  <w:tcW w:w="87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rFonts w:hint="eastAsia"/>
                      <w:color w:val="000000"/>
                    </w:rPr>
                    <w:t>22.5</w:t>
                  </w:r>
                </w:p>
              </w:tc>
              <w:tc>
                <w:tcPr>
                  <w:tcW w:w="905"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color w:val="000000"/>
                    </w:rPr>
                    <w:t>0.3</w:t>
                  </w:r>
                </w:p>
              </w:tc>
              <w:tc>
                <w:tcPr>
                  <w:tcW w:w="734"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color w:val="000000"/>
                    </w:rPr>
                    <w:t>常温</w:t>
                  </w:r>
                </w:p>
              </w:tc>
              <w:tc>
                <w:tcPr>
                  <w:tcW w:w="1265"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color w:val="000000"/>
                    </w:rPr>
                    <w:t>排气筒出口</w:t>
                  </w:r>
                </w:p>
              </w:tc>
              <w:tc>
                <w:tcPr>
                  <w:tcW w:w="174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240" w:lineRule="atLeast"/>
                    <w:jc w:val="center"/>
                    <w:rPr>
                      <w:color w:val="000000"/>
                    </w:rPr>
                  </w:pPr>
                  <w:r>
                    <w:rPr>
                      <w:rFonts w:hint="eastAsia"/>
                      <w:color w:val="000000"/>
                      <w:kern w:val="0"/>
                      <w:szCs w:val="21"/>
                      <w:lang w:bidi="ar"/>
                    </w:rPr>
                    <w:t>酸性气体</w:t>
                  </w:r>
                </w:p>
              </w:tc>
              <w:tc>
                <w:tcPr>
                  <w:tcW w:w="880" w:type="dxa"/>
                  <w:tcBorders>
                    <w:top w:val="single" w:color="000000" w:sz="4" w:space="0"/>
                    <w:left w:val="single" w:color="000000" w:sz="4" w:space="0"/>
                    <w:bottom w:val="single" w:color="000000" w:sz="4" w:space="0"/>
                  </w:tcBorders>
                  <w:tcMar>
                    <w:top w:w="12" w:type="dxa"/>
                    <w:left w:w="12" w:type="dxa"/>
                    <w:right w:w="12" w:type="dxa"/>
                  </w:tcMar>
                  <w:vAlign w:val="center"/>
                </w:tcPr>
                <w:p>
                  <w:pPr>
                    <w:widowControl/>
                    <w:jc w:val="center"/>
                    <w:textAlignment w:val="center"/>
                    <w:rPr>
                      <w:color w:val="000000"/>
                    </w:rPr>
                  </w:pPr>
                  <w:r>
                    <w:rPr>
                      <w:color w:val="000000"/>
                    </w:rPr>
                    <w:t>1次/年</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575" w:type="dxa"/>
                  <w:vMerge w:val="continue"/>
                  <w:tcBorders>
                    <w:right w:val="single" w:color="000000" w:sz="4" w:space="0"/>
                  </w:tcBorders>
                  <w:tcMar>
                    <w:top w:w="12" w:type="dxa"/>
                    <w:left w:w="12" w:type="dxa"/>
                    <w:right w:w="12" w:type="dxa"/>
                  </w:tcMar>
                  <w:vAlign w:val="center"/>
                </w:tcPr>
                <w:p>
                  <w:pPr>
                    <w:widowControl/>
                    <w:jc w:val="center"/>
                    <w:textAlignment w:val="center"/>
                    <w:rPr>
                      <w:color w:val="000000"/>
                    </w:rPr>
                  </w:pPr>
                </w:p>
              </w:tc>
              <w:tc>
                <w:tcPr>
                  <w:tcW w:w="89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13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240" w:lineRule="atLeast"/>
                    <w:jc w:val="center"/>
                    <w:rPr>
                      <w:color w:val="000000"/>
                    </w:rPr>
                  </w:pPr>
                  <w:r>
                    <w:rPr>
                      <w:rFonts w:hint="eastAsia"/>
                      <w:color w:val="000000"/>
                      <w:kern w:val="0"/>
                      <w:szCs w:val="21"/>
                      <w:lang w:bidi="ar"/>
                    </w:rPr>
                    <w:t>非甲烷总烃</w:t>
                  </w:r>
                </w:p>
              </w:tc>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rFonts w:hint="eastAsia"/>
                      <w:color w:val="000000"/>
                    </w:rPr>
                    <w:t>30</w:t>
                  </w:r>
                </w:p>
              </w:tc>
              <w:tc>
                <w:tcPr>
                  <w:tcW w:w="9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rFonts w:hint="eastAsia"/>
                      <w:color w:val="000000"/>
                    </w:rPr>
                    <w:t>1.0</w:t>
                  </w:r>
                </w:p>
              </w:tc>
              <w:tc>
                <w:tcPr>
                  <w:tcW w:w="143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135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90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734"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126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1744" w:type="dxa"/>
                  <w:tcBorders>
                    <w:top w:val="single" w:color="000000" w:sz="4" w:space="0"/>
                    <w:left w:val="single" w:color="000000" w:sz="4" w:space="0"/>
                    <w:right w:val="single" w:color="000000" w:sz="4" w:space="0"/>
                  </w:tcBorders>
                  <w:tcMar>
                    <w:top w:w="12" w:type="dxa"/>
                    <w:left w:w="12" w:type="dxa"/>
                    <w:right w:w="12" w:type="dxa"/>
                  </w:tcMar>
                  <w:vAlign w:val="center"/>
                </w:tcPr>
                <w:p>
                  <w:pPr>
                    <w:spacing w:line="240" w:lineRule="atLeast"/>
                    <w:jc w:val="center"/>
                    <w:rPr>
                      <w:color w:val="000000"/>
                    </w:rPr>
                  </w:pPr>
                  <w:r>
                    <w:rPr>
                      <w:rFonts w:hint="eastAsia"/>
                      <w:color w:val="000000"/>
                      <w:kern w:val="0"/>
                      <w:szCs w:val="21"/>
                      <w:lang w:bidi="ar"/>
                    </w:rPr>
                    <w:t>非甲烷总烃</w:t>
                  </w:r>
                </w:p>
              </w:tc>
              <w:tc>
                <w:tcPr>
                  <w:tcW w:w="880" w:type="dxa"/>
                  <w:tcBorders>
                    <w:top w:val="single" w:color="000000" w:sz="4" w:space="0"/>
                    <w:left w:val="single" w:color="000000" w:sz="4" w:space="0"/>
                  </w:tcBorders>
                  <w:tcMar>
                    <w:top w:w="12" w:type="dxa"/>
                    <w:left w:w="12" w:type="dxa"/>
                    <w:right w:w="12" w:type="dxa"/>
                  </w:tcMar>
                  <w:vAlign w:val="center"/>
                </w:tcPr>
                <w:p>
                  <w:pPr>
                    <w:widowControl/>
                    <w:jc w:val="center"/>
                    <w:textAlignment w:val="center"/>
                    <w:rPr>
                      <w:color w:val="000000"/>
                    </w:rPr>
                  </w:pPr>
                  <w:r>
                    <w:rPr>
                      <w:color w:val="000000"/>
                    </w:rPr>
                    <w:t>1次/年</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575" w:type="dxa"/>
                  <w:vMerge w:val="continue"/>
                  <w:tcBorders>
                    <w:right w:val="single" w:color="000000" w:sz="4" w:space="0"/>
                  </w:tcBorders>
                  <w:tcMar>
                    <w:top w:w="12" w:type="dxa"/>
                    <w:left w:w="12" w:type="dxa"/>
                    <w:right w:w="12" w:type="dxa"/>
                  </w:tcMar>
                  <w:vAlign w:val="center"/>
                </w:tcPr>
                <w:p>
                  <w:pPr>
                    <w:widowControl/>
                    <w:jc w:val="center"/>
                    <w:textAlignment w:val="center"/>
                    <w:rPr>
                      <w:color w:val="000000"/>
                    </w:rPr>
                  </w:pPr>
                </w:p>
              </w:tc>
              <w:tc>
                <w:tcPr>
                  <w:tcW w:w="89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13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240" w:lineRule="atLeast"/>
                    <w:jc w:val="center"/>
                    <w:rPr>
                      <w:color w:val="000000"/>
                    </w:rPr>
                  </w:pPr>
                  <w:r>
                    <w:rPr>
                      <w:rFonts w:hint="eastAsia"/>
                      <w:color w:val="000000"/>
                      <w:szCs w:val="21"/>
                    </w:rPr>
                    <w:t>氯化氢</w:t>
                  </w:r>
                </w:p>
              </w:tc>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rFonts w:hint="eastAsia"/>
                      <w:color w:val="000000"/>
                    </w:rPr>
                    <w:t>10</w:t>
                  </w:r>
                </w:p>
              </w:tc>
              <w:tc>
                <w:tcPr>
                  <w:tcW w:w="9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r>
                    <w:rPr>
                      <w:rFonts w:hint="eastAsia"/>
                      <w:color w:val="000000"/>
                    </w:rPr>
                    <w:t>0.18</w:t>
                  </w:r>
                </w:p>
              </w:tc>
              <w:tc>
                <w:tcPr>
                  <w:tcW w:w="143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135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90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734"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126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rPr>
                  </w:pPr>
                </w:p>
              </w:tc>
              <w:tc>
                <w:tcPr>
                  <w:tcW w:w="1744" w:type="dxa"/>
                  <w:tcBorders>
                    <w:top w:val="single" w:color="000000" w:sz="4" w:space="0"/>
                    <w:left w:val="single" w:color="000000" w:sz="4" w:space="0"/>
                    <w:right w:val="single" w:color="000000" w:sz="4" w:space="0"/>
                  </w:tcBorders>
                  <w:tcMar>
                    <w:top w:w="12" w:type="dxa"/>
                    <w:left w:w="12" w:type="dxa"/>
                    <w:right w:w="12" w:type="dxa"/>
                  </w:tcMar>
                  <w:vAlign w:val="center"/>
                </w:tcPr>
                <w:p>
                  <w:pPr>
                    <w:spacing w:line="240" w:lineRule="atLeast"/>
                    <w:jc w:val="center"/>
                    <w:rPr>
                      <w:color w:val="000000"/>
                    </w:rPr>
                  </w:pPr>
                  <w:r>
                    <w:rPr>
                      <w:rFonts w:hint="eastAsia"/>
                      <w:color w:val="000000"/>
                      <w:szCs w:val="21"/>
                    </w:rPr>
                    <w:t>氯化氢</w:t>
                  </w:r>
                </w:p>
              </w:tc>
              <w:tc>
                <w:tcPr>
                  <w:tcW w:w="880" w:type="dxa"/>
                  <w:tcBorders>
                    <w:top w:val="single" w:color="000000" w:sz="4" w:space="0"/>
                    <w:left w:val="single" w:color="000000" w:sz="4" w:space="0"/>
                  </w:tcBorders>
                  <w:tcMar>
                    <w:top w:w="12" w:type="dxa"/>
                    <w:left w:w="12" w:type="dxa"/>
                    <w:right w:w="12" w:type="dxa"/>
                  </w:tcMar>
                  <w:vAlign w:val="center"/>
                </w:tcPr>
                <w:p>
                  <w:pPr>
                    <w:widowControl/>
                    <w:jc w:val="center"/>
                    <w:textAlignment w:val="center"/>
                    <w:rPr>
                      <w:color w:val="000000"/>
                    </w:rPr>
                  </w:pPr>
                  <w:r>
                    <w:rPr>
                      <w:color w:val="000000"/>
                    </w:rPr>
                    <w:t>1次/年</w:t>
                  </w:r>
                </w:p>
              </w:tc>
            </w:tr>
          </w:tbl>
          <w:p>
            <w:pPr>
              <w:adjustRightInd w:val="0"/>
              <w:snapToGrid w:val="0"/>
              <w:spacing w:line="360" w:lineRule="auto"/>
              <w:ind w:firstLine="480" w:firstLineChars="200"/>
              <w:rPr>
                <w:color w:val="000000"/>
                <w:sz w:val="24"/>
              </w:rPr>
            </w:pPr>
          </w:p>
          <w:p>
            <w:pPr>
              <w:adjustRightInd w:val="0"/>
              <w:snapToGrid w:val="0"/>
              <w:spacing w:line="360" w:lineRule="auto"/>
              <w:ind w:firstLine="480" w:firstLineChars="200"/>
              <w:rPr>
                <w:color w:val="000000"/>
                <w:sz w:val="24"/>
              </w:rPr>
            </w:pPr>
            <w:r>
              <w:rPr>
                <w:color w:val="000000"/>
                <w:sz w:val="24"/>
              </w:rPr>
              <w:t>本次评价参照</w:t>
            </w:r>
            <w:r>
              <w:rPr>
                <w:rFonts w:hint="eastAsia"/>
                <w:color w:val="000000"/>
                <w:sz w:val="24"/>
              </w:rPr>
              <w:t>《排污许可证申请与核发技术规范 电子工业》（HJ1031-2019）和</w:t>
            </w:r>
            <w:r>
              <w:rPr>
                <w:color w:val="000000"/>
                <w:sz w:val="24"/>
              </w:rPr>
              <w:t>《排污单位自行监测技术指南—总则》（HJ819-2017）制定了各污染物监测计划见下表：</w:t>
            </w:r>
          </w:p>
          <w:p>
            <w:pPr>
              <w:widowControl/>
              <w:numPr>
                <w:ilvl w:val="0"/>
                <w:numId w:val="1"/>
              </w:numPr>
              <w:jc w:val="center"/>
              <w:rPr>
                <w:b/>
                <w:color w:val="000000"/>
                <w:kern w:val="0"/>
                <w:szCs w:val="21"/>
              </w:rPr>
            </w:pPr>
            <w:r>
              <w:rPr>
                <w:b/>
                <w:color w:val="000000"/>
                <w:kern w:val="0"/>
                <w:szCs w:val="21"/>
              </w:rPr>
              <w:t xml:space="preserve">  </w:t>
            </w:r>
            <w:r>
              <w:rPr>
                <w:rFonts w:hint="eastAsia"/>
                <w:b/>
                <w:color w:val="000000"/>
                <w:kern w:val="0"/>
                <w:szCs w:val="21"/>
              </w:rPr>
              <w:t>本项目</w:t>
            </w:r>
            <w:r>
              <w:rPr>
                <w:b/>
                <w:color w:val="000000"/>
                <w:szCs w:val="21"/>
              </w:rPr>
              <w:t>营运期废气监测计划一览表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725"/>
              <w:gridCol w:w="2311"/>
              <w:gridCol w:w="2265"/>
              <w:gridCol w:w="1560"/>
              <w:gridCol w:w="1722"/>
              <w:gridCol w:w="3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0" w:type="dxa"/>
                  <w:vAlign w:val="center"/>
                </w:tcPr>
                <w:p>
                  <w:pPr>
                    <w:adjustRightInd w:val="0"/>
                    <w:snapToGrid w:val="0"/>
                    <w:jc w:val="center"/>
                    <w:rPr>
                      <w:b/>
                      <w:bCs/>
                      <w:color w:val="000000"/>
                      <w:szCs w:val="21"/>
                    </w:rPr>
                  </w:pPr>
                  <w:r>
                    <w:rPr>
                      <w:b/>
                      <w:bCs/>
                      <w:color w:val="000000"/>
                      <w:szCs w:val="21"/>
                    </w:rPr>
                    <w:t>类别</w:t>
                  </w:r>
                </w:p>
              </w:tc>
              <w:tc>
                <w:tcPr>
                  <w:tcW w:w="1725" w:type="dxa"/>
                  <w:vAlign w:val="center"/>
                </w:tcPr>
                <w:p>
                  <w:pPr>
                    <w:adjustRightInd w:val="0"/>
                    <w:snapToGrid w:val="0"/>
                    <w:jc w:val="center"/>
                    <w:rPr>
                      <w:b/>
                      <w:bCs/>
                      <w:color w:val="000000"/>
                      <w:szCs w:val="21"/>
                    </w:rPr>
                  </w:pPr>
                  <w:r>
                    <w:rPr>
                      <w:b/>
                      <w:bCs/>
                      <w:color w:val="000000"/>
                      <w:szCs w:val="21"/>
                    </w:rPr>
                    <w:t>排污单位类型</w:t>
                  </w:r>
                </w:p>
              </w:tc>
              <w:tc>
                <w:tcPr>
                  <w:tcW w:w="2311" w:type="dxa"/>
                  <w:vAlign w:val="center"/>
                </w:tcPr>
                <w:p>
                  <w:pPr>
                    <w:adjustRightInd w:val="0"/>
                    <w:snapToGrid w:val="0"/>
                    <w:jc w:val="center"/>
                    <w:rPr>
                      <w:b/>
                      <w:bCs/>
                      <w:color w:val="000000"/>
                      <w:szCs w:val="21"/>
                    </w:rPr>
                  </w:pPr>
                  <w:r>
                    <w:rPr>
                      <w:b/>
                      <w:bCs/>
                      <w:color w:val="000000"/>
                      <w:szCs w:val="21"/>
                    </w:rPr>
                    <w:t>监测因子</w:t>
                  </w:r>
                </w:p>
              </w:tc>
              <w:tc>
                <w:tcPr>
                  <w:tcW w:w="2265" w:type="dxa"/>
                  <w:vAlign w:val="center"/>
                </w:tcPr>
                <w:p>
                  <w:pPr>
                    <w:adjustRightInd w:val="0"/>
                    <w:snapToGrid w:val="0"/>
                    <w:jc w:val="center"/>
                    <w:rPr>
                      <w:b/>
                      <w:bCs/>
                      <w:color w:val="000000"/>
                      <w:szCs w:val="21"/>
                    </w:rPr>
                  </w:pPr>
                  <w:r>
                    <w:rPr>
                      <w:b/>
                      <w:bCs/>
                      <w:color w:val="000000"/>
                      <w:szCs w:val="21"/>
                    </w:rPr>
                    <w:t>监测点位</w:t>
                  </w:r>
                </w:p>
              </w:tc>
              <w:tc>
                <w:tcPr>
                  <w:tcW w:w="1560" w:type="dxa"/>
                  <w:vAlign w:val="center"/>
                </w:tcPr>
                <w:p>
                  <w:pPr>
                    <w:adjustRightInd w:val="0"/>
                    <w:snapToGrid w:val="0"/>
                    <w:jc w:val="center"/>
                    <w:rPr>
                      <w:b/>
                      <w:bCs/>
                      <w:color w:val="000000"/>
                      <w:szCs w:val="21"/>
                    </w:rPr>
                  </w:pPr>
                  <w:r>
                    <w:rPr>
                      <w:b/>
                      <w:bCs/>
                      <w:color w:val="000000"/>
                      <w:szCs w:val="21"/>
                    </w:rPr>
                    <w:t>排放口类型</w:t>
                  </w:r>
                </w:p>
              </w:tc>
              <w:tc>
                <w:tcPr>
                  <w:tcW w:w="1722" w:type="dxa"/>
                  <w:vAlign w:val="center"/>
                </w:tcPr>
                <w:p>
                  <w:pPr>
                    <w:adjustRightInd w:val="0"/>
                    <w:snapToGrid w:val="0"/>
                    <w:jc w:val="center"/>
                    <w:rPr>
                      <w:b/>
                      <w:bCs/>
                      <w:color w:val="000000"/>
                      <w:szCs w:val="21"/>
                    </w:rPr>
                  </w:pPr>
                  <w:r>
                    <w:rPr>
                      <w:b/>
                      <w:bCs/>
                      <w:color w:val="000000"/>
                      <w:szCs w:val="21"/>
                    </w:rPr>
                    <w:t>监测频率</w:t>
                  </w:r>
                </w:p>
              </w:tc>
              <w:tc>
                <w:tcPr>
                  <w:tcW w:w="3461" w:type="dxa"/>
                  <w:vAlign w:val="center"/>
                </w:tcPr>
                <w:p>
                  <w:pPr>
                    <w:adjustRightInd w:val="0"/>
                    <w:snapToGrid w:val="0"/>
                    <w:jc w:val="center"/>
                    <w:rPr>
                      <w:b/>
                      <w:bCs/>
                      <w:color w:val="000000"/>
                      <w:szCs w:val="21"/>
                    </w:rPr>
                  </w:pPr>
                  <w:r>
                    <w:rPr>
                      <w:b/>
                      <w:bCs/>
                      <w:color w:val="000000"/>
                      <w:szCs w:val="21"/>
                    </w:rPr>
                    <w:t>控制目标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850" w:type="dxa"/>
                  <w:vMerge w:val="restart"/>
                  <w:vAlign w:val="center"/>
                </w:tcPr>
                <w:p>
                  <w:pPr>
                    <w:adjustRightInd w:val="0"/>
                    <w:snapToGrid w:val="0"/>
                    <w:jc w:val="center"/>
                    <w:rPr>
                      <w:color w:val="000000"/>
                      <w:szCs w:val="21"/>
                    </w:rPr>
                  </w:pPr>
                  <w:r>
                    <w:rPr>
                      <w:color w:val="000000"/>
                      <w:szCs w:val="21"/>
                    </w:rPr>
                    <w:t>废气</w:t>
                  </w:r>
                </w:p>
              </w:tc>
              <w:tc>
                <w:tcPr>
                  <w:tcW w:w="1725" w:type="dxa"/>
                  <w:vMerge w:val="restart"/>
                  <w:vAlign w:val="center"/>
                </w:tcPr>
                <w:p>
                  <w:pPr>
                    <w:adjustRightInd w:val="0"/>
                    <w:snapToGrid w:val="0"/>
                    <w:jc w:val="center"/>
                    <w:rPr>
                      <w:color w:val="000000"/>
                      <w:szCs w:val="21"/>
                    </w:rPr>
                  </w:pPr>
                  <w:r>
                    <w:rPr>
                      <w:color w:val="000000"/>
                      <w:szCs w:val="21"/>
                    </w:rPr>
                    <w:t>登记管理排污单位</w:t>
                  </w:r>
                </w:p>
              </w:tc>
              <w:tc>
                <w:tcPr>
                  <w:tcW w:w="2311" w:type="dxa"/>
                  <w:vAlign w:val="center"/>
                </w:tcPr>
                <w:p>
                  <w:pPr>
                    <w:adjustRightInd w:val="0"/>
                    <w:snapToGrid w:val="0"/>
                    <w:jc w:val="center"/>
                    <w:rPr>
                      <w:color w:val="000000"/>
                      <w:szCs w:val="21"/>
                    </w:rPr>
                  </w:pPr>
                  <w:r>
                    <w:rPr>
                      <w:color w:val="000000"/>
                      <w:szCs w:val="21"/>
                    </w:rPr>
                    <w:t>非甲烷总烃</w:t>
                  </w:r>
                  <w:r>
                    <w:rPr>
                      <w:rFonts w:hint="eastAsia"/>
                      <w:color w:val="000000"/>
                      <w:szCs w:val="21"/>
                    </w:rPr>
                    <w:t>、氯化氢</w:t>
                  </w:r>
                </w:p>
              </w:tc>
              <w:tc>
                <w:tcPr>
                  <w:tcW w:w="2265" w:type="dxa"/>
                  <w:vAlign w:val="center"/>
                </w:tcPr>
                <w:p>
                  <w:pPr>
                    <w:adjustRightInd w:val="0"/>
                    <w:snapToGrid w:val="0"/>
                    <w:jc w:val="center"/>
                    <w:rPr>
                      <w:color w:val="000000"/>
                      <w:szCs w:val="21"/>
                    </w:rPr>
                  </w:pPr>
                  <w:r>
                    <w:rPr>
                      <w:rFonts w:hint="eastAsia"/>
                      <w:color w:val="000000"/>
                      <w:szCs w:val="21"/>
                    </w:rPr>
                    <w:t>DA001排气筒进出口</w:t>
                  </w:r>
                </w:p>
              </w:tc>
              <w:tc>
                <w:tcPr>
                  <w:tcW w:w="1560" w:type="dxa"/>
                  <w:vAlign w:val="center"/>
                </w:tcPr>
                <w:p>
                  <w:pPr>
                    <w:adjustRightInd w:val="0"/>
                    <w:snapToGrid w:val="0"/>
                    <w:jc w:val="center"/>
                    <w:rPr>
                      <w:color w:val="000000"/>
                      <w:szCs w:val="21"/>
                    </w:rPr>
                  </w:pPr>
                  <w:r>
                    <w:rPr>
                      <w:rFonts w:hint="eastAsia"/>
                      <w:color w:val="000000"/>
                      <w:szCs w:val="21"/>
                    </w:rPr>
                    <w:t>一般排放口</w:t>
                  </w:r>
                </w:p>
              </w:tc>
              <w:tc>
                <w:tcPr>
                  <w:tcW w:w="1722" w:type="dxa"/>
                  <w:vAlign w:val="center"/>
                </w:tcPr>
                <w:p>
                  <w:pPr>
                    <w:adjustRightInd w:val="0"/>
                    <w:snapToGrid w:val="0"/>
                    <w:jc w:val="center"/>
                    <w:rPr>
                      <w:color w:val="000000"/>
                      <w:szCs w:val="21"/>
                    </w:rPr>
                  </w:pPr>
                  <w:r>
                    <w:rPr>
                      <w:color w:val="000000"/>
                      <w:szCs w:val="21"/>
                    </w:rPr>
                    <w:t>1次/年</w:t>
                  </w:r>
                </w:p>
              </w:tc>
              <w:tc>
                <w:tcPr>
                  <w:tcW w:w="3461" w:type="dxa"/>
                  <w:vAlign w:val="center"/>
                </w:tcPr>
                <w:p>
                  <w:pPr>
                    <w:adjustRightInd w:val="0"/>
                    <w:snapToGrid w:val="0"/>
                    <w:jc w:val="center"/>
                    <w:rPr>
                      <w:color w:val="000000"/>
                      <w:szCs w:val="21"/>
                    </w:rPr>
                  </w:pPr>
                  <w:r>
                    <w:rPr>
                      <w:color w:val="000000"/>
                      <w:szCs w:val="21"/>
                    </w:rPr>
                    <w:t>上海市《大气污染物综合排放标准》（DB31/933-2015）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850" w:type="dxa"/>
                  <w:vMerge w:val="continue"/>
                  <w:vAlign w:val="center"/>
                </w:tcPr>
                <w:p>
                  <w:pPr>
                    <w:adjustRightInd w:val="0"/>
                    <w:snapToGrid w:val="0"/>
                    <w:jc w:val="center"/>
                    <w:rPr>
                      <w:color w:val="000000"/>
                      <w:szCs w:val="21"/>
                    </w:rPr>
                  </w:pPr>
                </w:p>
              </w:tc>
              <w:tc>
                <w:tcPr>
                  <w:tcW w:w="1725" w:type="dxa"/>
                  <w:vMerge w:val="continue"/>
                  <w:vAlign w:val="center"/>
                </w:tcPr>
                <w:p>
                  <w:pPr>
                    <w:adjustRightInd w:val="0"/>
                    <w:snapToGrid w:val="0"/>
                    <w:jc w:val="center"/>
                    <w:rPr>
                      <w:color w:val="000000"/>
                      <w:szCs w:val="21"/>
                    </w:rPr>
                  </w:pPr>
                </w:p>
              </w:tc>
              <w:tc>
                <w:tcPr>
                  <w:tcW w:w="2311" w:type="dxa"/>
                  <w:vAlign w:val="center"/>
                </w:tcPr>
                <w:p>
                  <w:pPr>
                    <w:adjustRightInd w:val="0"/>
                    <w:snapToGrid w:val="0"/>
                    <w:jc w:val="center"/>
                    <w:rPr>
                      <w:color w:val="000000"/>
                      <w:szCs w:val="21"/>
                    </w:rPr>
                  </w:pPr>
                  <w:r>
                    <w:rPr>
                      <w:color w:val="000000"/>
                      <w:szCs w:val="21"/>
                    </w:rPr>
                    <w:t>非甲烷总烃、</w:t>
                  </w:r>
                  <w:r>
                    <w:rPr>
                      <w:rFonts w:hint="eastAsia"/>
                      <w:color w:val="000000"/>
                      <w:szCs w:val="21"/>
                    </w:rPr>
                    <w:t>氯化氢、颗粒物</w:t>
                  </w:r>
                </w:p>
              </w:tc>
              <w:tc>
                <w:tcPr>
                  <w:tcW w:w="2265" w:type="dxa"/>
                  <w:vAlign w:val="center"/>
                </w:tcPr>
                <w:p>
                  <w:pPr>
                    <w:adjustRightInd w:val="0"/>
                    <w:snapToGrid w:val="0"/>
                    <w:jc w:val="center"/>
                    <w:rPr>
                      <w:color w:val="000000"/>
                      <w:szCs w:val="21"/>
                    </w:rPr>
                  </w:pPr>
                  <w:r>
                    <w:rPr>
                      <w:color w:val="000000"/>
                      <w:szCs w:val="21"/>
                    </w:rPr>
                    <w:t>边界</w:t>
                  </w:r>
                </w:p>
              </w:tc>
              <w:tc>
                <w:tcPr>
                  <w:tcW w:w="1560" w:type="dxa"/>
                  <w:vAlign w:val="center"/>
                </w:tcPr>
                <w:p>
                  <w:pPr>
                    <w:adjustRightInd w:val="0"/>
                    <w:snapToGrid w:val="0"/>
                    <w:jc w:val="center"/>
                    <w:rPr>
                      <w:color w:val="000000"/>
                      <w:szCs w:val="21"/>
                    </w:rPr>
                  </w:pPr>
                  <w:r>
                    <w:rPr>
                      <w:color w:val="000000"/>
                      <w:szCs w:val="21"/>
                    </w:rPr>
                    <w:t>/</w:t>
                  </w:r>
                </w:p>
              </w:tc>
              <w:tc>
                <w:tcPr>
                  <w:tcW w:w="1722" w:type="dxa"/>
                  <w:vAlign w:val="center"/>
                </w:tcPr>
                <w:p>
                  <w:pPr>
                    <w:adjustRightInd w:val="0"/>
                    <w:snapToGrid w:val="0"/>
                    <w:jc w:val="center"/>
                    <w:rPr>
                      <w:color w:val="000000"/>
                      <w:szCs w:val="21"/>
                    </w:rPr>
                  </w:pPr>
                  <w:r>
                    <w:rPr>
                      <w:color w:val="000000"/>
                      <w:szCs w:val="21"/>
                    </w:rPr>
                    <w:t>1次/年</w:t>
                  </w:r>
                </w:p>
              </w:tc>
              <w:tc>
                <w:tcPr>
                  <w:tcW w:w="3461" w:type="dxa"/>
                  <w:vAlign w:val="center"/>
                </w:tcPr>
                <w:p>
                  <w:pPr>
                    <w:adjustRightInd w:val="0"/>
                    <w:snapToGrid w:val="0"/>
                    <w:jc w:val="center"/>
                    <w:rPr>
                      <w:color w:val="000000"/>
                      <w:szCs w:val="21"/>
                    </w:rPr>
                  </w:pPr>
                  <w:r>
                    <w:rPr>
                      <w:color w:val="000000"/>
                      <w:szCs w:val="21"/>
                    </w:rPr>
                    <w:t>上海市《大气污染物综合排放标准》（DB31/933-2015）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0" w:type="dxa"/>
                  <w:vMerge w:val="continue"/>
                  <w:vAlign w:val="center"/>
                </w:tcPr>
                <w:p>
                  <w:pPr>
                    <w:adjustRightInd w:val="0"/>
                    <w:snapToGrid w:val="0"/>
                    <w:jc w:val="center"/>
                    <w:rPr>
                      <w:color w:val="000000"/>
                      <w:szCs w:val="21"/>
                    </w:rPr>
                  </w:pPr>
                </w:p>
              </w:tc>
              <w:tc>
                <w:tcPr>
                  <w:tcW w:w="1725" w:type="dxa"/>
                  <w:vMerge w:val="continue"/>
                  <w:vAlign w:val="center"/>
                </w:tcPr>
                <w:p>
                  <w:pPr>
                    <w:adjustRightInd w:val="0"/>
                    <w:snapToGrid w:val="0"/>
                    <w:jc w:val="center"/>
                    <w:rPr>
                      <w:color w:val="000000"/>
                      <w:szCs w:val="21"/>
                    </w:rPr>
                  </w:pPr>
                </w:p>
              </w:tc>
              <w:tc>
                <w:tcPr>
                  <w:tcW w:w="2311" w:type="dxa"/>
                  <w:vAlign w:val="center"/>
                </w:tcPr>
                <w:p>
                  <w:pPr>
                    <w:adjustRightInd w:val="0"/>
                    <w:snapToGrid w:val="0"/>
                    <w:jc w:val="center"/>
                    <w:rPr>
                      <w:color w:val="000000"/>
                      <w:szCs w:val="21"/>
                    </w:rPr>
                  </w:pPr>
                  <w:r>
                    <w:rPr>
                      <w:color w:val="000000"/>
                      <w:szCs w:val="21"/>
                    </w:rPr>
                    <w:t>非甲烷总烃</w:t>
                  </w:r>
                </w:p>
              </w:tc>
              <w:tc>
                <w:tcPr>
                  <w:tcW w:w="2265" w:type="dxa"/>
                  <w:vAlign w:val="center"/>
                </w:tcPr>
                <w:p>
                  <w:pPr>
                    <w:adjustRightInd w:val="0"/>
                    <w:snapToGrid w:val="0"/>
                    <w:jc w:val="center"/>
                    <w:rPr>
                      <w:color w:val="000000"/>
                      <w:szCs w:val="21"/>
                    </w:rPr>
                  </w:pPr>
                  <w:r>
                    <w:rPr>
                      <w:color w:val="000000"/>
                      <w:szCs w:val="21"/>
                    </w:rPr>
                    <w:t>厂区内厂房外</w:t>
                  </w:r>
                </w:p>
              </w:tc>
              <w:tc>
                <w:tcPr>
                  <w:tcW w:w="1560" w:type="dxa"/>
                  <w:vAlign w:val="center"/>
                </w:tcPr>
                <w:p>
                  <w:pPr>
                    <w:adjustRightInd w:val="0"/>
                    <w:snapToGrid w:val="0"/>
                    <w:jc w:val="center"/>
                    <w:rPr>
                      <w:color w:val="000000"/>
                      <w:szCs w:val="21"/>
                    </w:rPr>
                  </w:pPr>
                  <w:r>
                    <w:rPr>
                      <w:color w:val="000000"/>
                      <w:szCs w:val="21"/>
                    </w:rPr>
                    <w:t>/</w:t>
                  </w:r>
                </w:p>
              </w:tc>
              <w:tc>
                <w:tcPr>
                  <w:tcW w:w="1722" w:type="dxa"/>
                  <w:vAlign w:val="center"/>
                </w:tcPr>
                <w:p>
                  <w:pPr>
                    <w:adjustRightInd w:val="0"/>
                    <w:snapToGrid w:val="0"/>
                    <w:jc w:val="center"/>
                    <w:rPr>
                      <w:color w:val="000000"/>
                      <w:szCs w:val="21"/>
                    </w:rPr>
                  </w:pPr>
                  <w:r>
                    <w:rPr>
                      <w:color w:val="000000"/>
                      <w:szCs w:val="21"/>
                    </w:rPr>
                    <w:t>1次/年</w:t>
                  </w:r>
                </w:p>
              </w:tc>
              <w:tc>
                <w:tcPr>
                  <w:tcW w:w="3461" w:type="dxa"/>
                  <w:vAlign w:val="center"/>
                </w:tcPr>
                <w:p>
                  <w:pPr>
                    <w:adjustRightInd w:val="0"/>
                    <w:snapToGrid w:val="0"/>
                    <w:jc w:val="center"/>
                    <w:rPr>
                      <w:color w:val="000000"/>
                      <w:szCs w:val="21"/>
                    </w:rPr>
                  </w:pPr>
                  <w:r>
                    <w:rPr>
                      <w:color w:val="000000"/>
                      <w:szCs w:val="21"/>
                    </w:rPr>
                    <w:t>《挥发性有机物无组织排放控制标准》（GB37822-2019）中排放限值</w:t>
                  </w:r>
                </w:p>
              </w:tc>
            </w:tr>
          </w:tbl>
          <w:p>
            <w:pPr>
              <w:rPr>
                <w:color w:val="000000"/>
              </w:rPr>
            </w:pPr>
          </w:p>
        </w:tc>
      </w:tr>
    </w:tbl>
    <w:p>
      <w:pPr>
        <w:pStyle w:val="20"/>
        <w:jc w:val="center"/>
        <w:outlineLvl w:val="0"/>
        <w:rPr>
          <w:rFonts w:ascii="Times New Roman" w:hAnsi="Times New Roman" w:eastAsia="黑体"/>
          <w:snapToGrid w:val="0"/>
          <w:color w:val="000000"/>
          <w:sz w:val="30"/>
          <w:szCs w:val="30"/>
        </w:rPr>
        <w:sectPr>
          <w:pgSz w:w="16838" w:h="11906" w:orient="landscape"/>
          <w:pgMar w:top="1418" w:right="1418" w:bottom="1418" w:left="1418" w:header="851" w:footer="851" w:gutter="0"/>
          <w:cols w:space="720" w:num="1"/>
          <w:docGrid w:linePitch="312" w:charSpace="0"/>
        </w:sectPr>
      </w:pP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5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93" w:hRule="atLeast"/>
          <w:jc w:val="center"/>
        </w:trPr>
        <w:tc>
          <w:tcPr>
            <w:tcW w:w="778" w:type="dxa"/>
            <w:tcMar>
              <w:left w:w="28" w:type="dxa"/>
              <w:right w:w="28" w:type="dxa"/>
            </w:tcMar>
            <w:vAlign w:val="center"/>
          </w:tcPr>
          <w:p>
            <w:pPr>
              <w:adjustRightInd w:val="0"/>
              <w:snapToGrid w:val="0"/>
              <w:jc w:val="center"/>
              <w:rPr>
                <w:b/>
                <w:bCs/>
                <w:color w:val="000000"/>
                <w:szCs w:val="21"/>
              </w:rPr>
            </w:pPr>
            <w:r>
              <w:rPr>
                <w:b/>
                <w:bCs/>
                <w:color w:val="000000"/>
                <w:szCs w:val="21"/>
              </w:rPr>
              <w:t>运营</w:t>
            </w:r>
          </w:p>
          <w:p>
            <w:pPr>
              <w:adjustRightInd w:val="0"/>
              <w:snapToGrid w:val="0"/>
              <w:jc w:val="center"/>
              <w:rPr>
                <w:b/>
                <w:bCs/>
                <w:color w:val="000000"/>
                <w:szCs w:val="21"/>
              </w:rPr>
            </w:pPr>
            <w:r>
              <w:rPr>
                <w:b/>
                <w:bCs/>
                <w:color w:val="000000"/>
                <w:szCs w:val="21"/>
              </w:rPr>
              <w:t>期环</w:t>
            </w:r>
          </w:p>
          <w:p>
            <w:pPr>
              <w:adjustRightInd w:val="0"/>
              <w:snapToGrid w:val="0"/>
              <w:jc w:val="center"/>
              <w:rPr>
                <w:b/>
                <w:bCs/>
                <w:color w:val="000000"/>
                <w:szCs w:val="21"/>
              </w:rPr>
            </w:pPr>
            <w:r>
              <w:rPr>
                <w:b/>
                <w:bCs/>
                <w:color w:val="000000"/>
                <w:szCs w:val="21"/>
              </w:rPr>
              <w:t>境影</w:t>
            </w:r>
          </w:p>
          <w:p>
            <w:pPr>
              <w:adjustRightInd w:val="0"/>
              <w:snapToGrid w:val="0"/>
              <w:jc w:val="center"/>
              <w:rPr>
                <w:b/>
                <w:bCs/>
                <w:color w:val="000000"/>
                <w:szCs w:val="21"/>
              </w:rPr>
            </w:pPr>
            <w:r>
              <w:rPr>
                <w:b/>
                <w:bCs/>
                <w:color w:val="000000"/>
                <w:szCs w:val="21"/>
              </w:rPr>
              <w:t>响和</w:t>
            </w:r>
          </w:p>
          <w:p>
            <w:pPr>
              <w:adjustRightInd w:val="0"/>
              <w:snapToGrid w:val="0"/>
              <w:jc w:val="center"/>
              <w:rPr>
                <w:b/>
                <w:bCs/>
                <w:color w:val="000000"/>
                <w:szCs w:val="21"/>
              </w:rPr>
            </w:pPr>
            <w:r>
              <w:rPr>
                <w:b/>
                <w:bCs/>
                <w:color w:val="000000"/>
                <w:szCs w:val="21"/>
              </w:rPr>
              <w:t>保护</w:t>
            </w:r>
          </w:p>
          <w:p>
            <w:pPr>
              <w:adjustRightInd w:val="0"/>
              <w:snapToGrid w:val="0"/>
              <w:jc w:val="center"/>
              <w:rPr>
                <w:bCs/>
                <w:color w:val="000000"/>
                <w:szCs w:val="21"/>
              </w:rPr>
            </w:pPr>
            <w:r>
              <w:rPr>
                <w:b/>
                <w:bCs/>
                <w:color w:val="000000"/>
                <w:szCs w:val="21"/>
              </w:rPr>
              <w:t>措施</w:t>
            </w:r>
          </w:p>
        </w:tc>
        <w:tc>
          <w:tcPr>
            <w:tcW w:w="8509" w:type="dxa"/>
            <w:vAlign w:val="center"/>
          </w:tcPr>
          <w:p>
            <w:pPr>
              <w:spacing w:line="360" w:lineRule="auto"/>
              <w:ind w:firstLine="482" w:firstLineChars="200"/>
              <w:rPr>
                <w:b/>
                <w:bCs/>
                <w:color w:val="000000"/>
                <w:sz w:val="24"/>
              </w:rPr>
            </w:pPr>
            <w:r>
              <w:rPr>
                <w:b/>
                <w:bCs/>
                <w:color w:val="000000"/>
                <w:sz w:val="24"/>
              </w:rPr>
              <w:t>2、大气环境影响分析：</w:t>
            </w:r>
          </w:p>
          <w:p>
            <w:pPr>
              <w:spacing w:line="360" w:lineRule="auto"/>
              <w:ind w:firstLine="480" w:firstLineChars="200"/>
              <w:rPr>
                <w:color w:val="000000"/>
                <w:sz w:val="24"/>
              </w:rPr>
            </w:pPr>
            <w:r>
              <w:rPr>
                <w:rFonts w:hint="eastAsia"/>
                <w:color w:val="000000"/>
                <w:sz w:val="24"/>
              </w:rPr>
              <w:t>（1）废气处理措施</w:t>
            </w:r>
          </w:p>
          <w:p>
            <w:pPr>
              <w:spacing w:line="360" w:lineRule="auto"/>
              <w:ind w:firstLine="480" w:firstLineChars="200"/>
              <w:rPr>
                <w:color w:val="000000"/>
                <w:sz w:val="24"/>
              </w:rPr>
            </w:pPr>
            <w:r>
              <w:rPr>
                <w:rFonts w:hint="eastAsia"/>
                <w:color w:val="000000"/>
                <w:sz w:val="24"/>
              </w:rPr>
              <w:t>①</w:t>
            </w:r>
            <w:r>
              <w:rPr>
                <w:rFonts w:hint="eastAsia"/>
                <w:kern w:val="0"/>
                <w:sz w:val="24"/>
                <w:lang w:bidi="ar"/>
              </w:rPr>
              <w:t>喷砂过程设备全密闭，经</w:t>
            </w:r>
            <w:r>
              <w:rPr>
                <w:rFonts w:hint="eastAsia"/>
                <w:color w:val="000000"/>
                <w:sz w:val="24"/>
              </w:rPr>
              <w:t>设备自带布袋除尘器处理后车间内无组织排放，此过程粉尘产生量较小；</w:t>
            </w:r>
          </w:p>
          <w:p>
            <w:pPr>
              <w:spacing w:line="360" w:lineRule="auto"/>
              <w:ind w:firstLine="480" w:firstLineChars="200"/>
              <w:rPr>
                <w:color w:val="000000"/>
                <w:sz w:val="24"/>
              </w:rPr>
            </w:pPr>
            <w:r>
              <w:rPr>
                <w:rFonts w:hint="eastAsia"/>
                <w:color w:val="000000"/>
                <w:sz w:val="24"/>
              </w:rPr>
              <w:t>②酸洗过程全密闭，产生的酸性废气由酸洗槽上方集气罩收集后通过管道经1套碱喷淋塔+</w:t>
            </w:r>
            <w:r>
              <w:rPr>
                <w:rFonts w:hint="eastAsia"/>
                <w:color w:val="000000"/>
                <w:sz w:val="24"/>
                <w:lang w:eastAsia="zh-CN"/>
              </w:rPr>
              <w:t>除湿棉</w:t>
            </w:r>
            <w:r>
              <w:rPr>
                <w:rFonts w:hint="eastAsia"/>
                <w:color w:val="000000"/>
                <w:sz w:val="24"/>
              </w:rPr>
              <w:t>+二级活性炭吸附装置处理后通过楼顶22.5m高排气筒排放（DA001）；</w:t>
            </w:r>
          </w:p>
          <w:p>
            <w:pPr>
              <w:spacing w:line="360" w:lineRule="auto"/>
              <w:ind w:firstLine="480" w:firstLineChars="200"/>
              <w:rPr>
                <w:color w:val="000000"/>
                <w:sz w:val="24"/>
              </w:rPr>
            </w:pPr>
            <w:r>
              <w:rPr>
                <w:rFonts w:hint="eastAsia"/>
                <w:color w:val="000000"/>
                <w:sz w:val="24"/>
              </w:rPr>
              <w:t>③涂覆产生的有机废气和氯化氢经密闭车间负压收集经1套碱喷淋塔+</w:t>
            </w:r>
            <w:r>
              <w:rPr>
                <w:rFonts w:hint="eastAsia"/>
                <w:color w:val="000000"/>
                <w:sz w:val="24"/>
                <w:lang w:eastAsia="zh-CN"/>
              </w:rPr>
              <w:t>除湿棉</w:t>
            </w:r>
            <w:r>
              <w:rPr>
                <w:rFonts w:hint="eastAsia"/>
                <w:color w:val="000000"/>
                <w:sz w:val="24"/>
              </w:rPr>
              <w:t>+二级活性炭吸附装置处理后通过楼顶22.5m高排气筒排放（DA001）；</w:t>
            </w:r>
          </w:p>
          <w:p>
            <w:pPr>
              <w:spacing w:line="360" w:lineRule="auto"/>
              <w:ind w:firstLine="480" w:firstLineChars="200"/>
              <w:rPr>
                <w:color w:val="000000"/>
                <w:sz w:val="24"/>
              </w:rPr>
            </w:pPr>
            <w:r>
              <w:rPr>
                <w:rFonts w:hint="eastAsia" w:ascii="宋体" w:hAnsi="宋体" w:cs="宋体"/>
                <w:color w:val="000000"/>
                <w:sz w:val="24"/>
              </w:rPr>
              <w:t>④</w:t>
            </w:r>
            <w:r>
              <w:rPr>
                <w:rFonts w:hint="eastAsia"/>
                <w:color w:val="000000"/>
                <w:sz w:val="24"/>
              </w:rPr>
              <w:t>实验室整体密闭负压，产生的有机废气通过万向集气罩收集后与生产1区域废气共用1套碱喷淋塔+</w:t>
            </w:r>
            <w:r>
              <w:rPr>
                <w:rFonts w:hint="eastAsia"/>
                <w:color w:val="000000"/>
                <w:sz w:val="24"/>
                <w:lang w:eastAsia="zh-CN"/>
              </w:rPr>
              <w:t>除湿棉</w:t>
            </w:r>
            <w:r>
              <w:rPr>
                <w:rFonts w:hint="eastAsia"/>
                <w:color w:val="000000"/>
                <w:sz w:val="24"/>
              </w:rPr>
              <w:t>+二级活性炭吸附装置处理后通过楼顶22.5m高排气筒排放（DA001）；</w:t>
            </w:r>
          </w:p>
          <w:p>
            <w:pPr>
              <w:spacing w:line="360" w:lineRule="auto"/>
              <w:ind w:firstLine="480" w:firstLineChars="200"/>
              <w:rPr>
                <w:color w:val="auto"/>
                <w:sz w:val="24"/>
              </w:rPr>
            </w:pPr>
            <w:r>
              <w:rPr>
                <w:rFonts w:hint="eastAsia"/>
                <w:color w:val="auto"/>
                <w:sz w:val="24"/>
              </w:rPr>
              <w:t>（2）废气治理措施可行性分析</w:t>
            </w:r>
          </w:p>
          <w:p>
            <w:pPr>
              <w:spacing w:line="360" w:lineRule="auto"/>
              <w:ind w:firstLine="480" w:firstLineChars="200"/>
              <w:rPr>
                <w:color w:val="C00000"/>
                <w:sz w:val="24"/>
              </w:rPr>
            </w:pPr>
            <w:r>
              <w:rPr>
                <w:rFonts w:hint="eastAsia" w:ascii="宋体" w:hAnsi="宋体" w:cs="宋体"/>
                <w:color w:val="auto"/>
                <w:sz w:val="24"/>
              </w:rPr>
              <w:t>①</w:t>
            </w:r>
            <w:r>
              <w:rPr>
                <w:rFonts w:hint="eastAsia"/>
                <w:color w:val="auto"/>
                <w:sz w:val="24"/>
              </w:rPr>
              <w:t>有机废气：有机废气采用二活性炭吸附处理，根据</w:t>
            </w:r>
            <w:r>
              <w:rPr>
                <w:bCs/>
                <w:color w:val="auto"/>
                <w:sz w:val="24"/>
              </w:rPr>
              <w:t>《挥发性有机物治理实用手册》</w:t>
            </w:r>
            <w:r>
              <w:rPr>
                <w:rFonts w:hint="eastAsia"/>
                <w:bCs/>
                <w:color w:val="auto"/>
                <w:sz w:val="24"/>
              </w:rPr>
              <w:t>、</w:t>
            </w:r>
            <w:r>
              <w:rPr>
                <w:rFonts w:hint="eastAsia"/>
                <w:color w:val="auto"/>
                <w:sz w:val="24"/>
              </w:rPr>
              <w:t>《排污许可证申请与核发技术规范 电子工业》（HJ1031-2019），活性炭吸附法属于可行性技术。非</w:t>
            </w:r>
            <w:r>
              <w:rPr>
                <w:rFonts w:hint="eastAsia"/>
                <w:bCs/>
                <w:color w:val="auto"/>
                <w:sz w:val="24"/>
              </w:rPr>
              <w:t>甲烷总烃</w:t>
            </w:r>
            <w:r>
              <w:rPr>
                <w:color w:val="auto"/>
                <w:sz w:val="24"/>
              </w:rPr>
              <w:t>排放能</w:t>
            </w:r>
            <w:r>
              <w:rPr>
                <w:color w:val="000000"/>
                <w:sz w:val="24"/>
              </w:rPr>
              <w:t>够满足上海市《大气污染物综合排放标准》（DB31/933-2015）、《挥发性有机物无组织排放控制标准》（GB37822-2019）中排放限值要求。</w:t>
            </w:r>
          </w:p>
          <w:p>
            <w:pPr>
              <w:spacing w:line="360" w:lineRule="auto"/>
              <w:ind w:firstLine="480" w:firstLineChars="200"/>
              <w:rPr>
                <w:sz w:val="24"/>
              </w:rPr>
            </w:pPr>
            <w:r>
              <w:rPr>
                <w:rFonts w:hint="eastAsia" w:ascii="宋体" w:hAnsi="宋体" w:cs="宋体"/>
                <w:sz w:val="24"/>
              </w:rPr>
              <w:t>②</w:t>
            </w:r>
            <w:r>
              <w:rPr>
                <w:rFonts w:hint="eastAsia"/>
                <w:sz w:val="24"/>
              </w:rPr>
              <w:t>氯化氢及酸性气体：</w:t>
            </w:r>
          </w:p>
          <w:p>
            <w:pPr>
              <w:spacing w:line="360" w:lineRule="auto"/>
              <w:ind w:firstLine="480" w:firstLineChars="200"/>
              <w:rPr>
                <w:sz w:val="24"/>
              </w:rPr>
            </w:pPr>
            <w:r>
              <w:rPr>
                <w:rFonts w:hint="eastAsia"/>
                <w:sz w:val="24"/>
              </w:rPr>
              <w:t>碱喷淋塔的工作原理：利用气体与液体间的接触，将气体中的污染物传送到液体中，然后再将清洁气体与被污染的液体分离，达到净化空气的目的。废气经由填充式喷淋塔，采用气液逆向吸收方式处理，即液体自塔顶向下以雾状（或小液滴）喷撒而下。废气则由塔体（逆向流）达到气液接触之目的；此处理方式可冷却废气、去除颗粒及净化气体，再经过除雾段处理后，排入下一处理环节。</w:t>
            </w:r>
          </w:p>
          <w:p>
            <w:pPr>
              <w:spacing w:line="360" w:lineRule="auto"/>
              <w:ind w:firstLine="480" w:firstLineChars="200"/>
              <w:rPr>
                <w:sz w:val="24"/>
              </w:rPr>
            </w:pPr>
            <w:r>
              <w:rPr>
                <w:rFonts w:hint="eastAsia"/>
                <w:sz w:val="24"/>
              </w:rPr>
              <w:t>根据</w:t>
            </w:r>
            <w:r>
              <w:rPr>
                <w:kern w:val="0"/>
                <w:sz w:val="24"/>
                <w:lang w:bidi="ar"/>
              </w:rPr>
              <w:t xml:space="preserve">《排放源统计调查产排污核算方法和系数手册 </w:t>
            </w:r>
            <w:r>
              <w:rPr>
                <w:rFonts w:hint="eastAsia"/>
                <w:kern w:val="0"/>
                <w:sz w:val="24"/>
                <w:lang w:bidi="ar"/>
              </w:rPr>
              <w:t>33金属制品业、34通用设备制造业、35专用设备制造业、36汽车制造业、37铁路、船舶、航空航天和其他运输设备制造业、431金属制品修理、432通用设备修理、433专用设备修理、434铁路、船舶、航空航天等运输设备修理（不包括电镀工艺）</w:t>
            </w:r>
            <w:r>
              <w:rPr>
                <w:kern w:val="0"/>
                <w:sz w:val="24"/>
                <w:lang w:bidi="ar"/>
              </w:rPr>
              <w:t>行业系数手册》</w:t>
            </w:r>
            <w:r>
              <w:rPr>
                <w:rFonts w:hint="eastAsia"/>
                <w:sz w:val="24"/>
              </w:rPr>
              <w:t>中，碱喷淋塔对氯化氢的去除效率为90%以上，处理后氯化氢及酸性气体的排放浓度低于上海市《大气污染物综合排放标准》（DB31/933-2015）表1排放限值。故废气采用碱喷淋塔技术可行。</w:t>
            </w:r>
          </w:p>
          <w:p>
            <w:pPr>
              <w:spacing w:line="360" w:lineRule="auto"/>
              <w:ind w:firstLine="480" w:firstLineChars="200"/>
              <w:rPr>
                <w:color w:val="000000"/>
                <w:sz w:val="24"/>
              </w:rPr>
            </w:pPr>
            <w:r>
              <w:rPr>
                <w:rFonts w:hint="eastAsia"/>
                <w:color w:val="000000"/>
                <w:sz w:val="24"/>
              </w:rPr>
              <w:t>（3）无组织排放控制要求</w:t>
            </w:r>
          </w:p>
          <w:p>
            <w:pPr>
              <w:spacing w:line="360" w:lineRule="auto"/>
              <w:ind w:firstLine="480" w:firstLineChars="200"/>
              <w:rPr>
                <w:color w:val="000000"/>
                <w:sz w:val="24"/>
              </w:rPr>
            </w:pPr>
            <w:r>
              <w:rPr>
                <w:color w:val="000000"/>
                <w:sz w:val="24"/>
              </w:rPr>
              <w:t>本项目提出VOCs物料储存、转移等无组织排放控制要求如下：</w:t>
            </w:r>
          </w:p>
          <w:p>
            <w:pPr>
              <w:spacing w:line="360" w:lineRule="auto"/>
              <w:ind w:firstLine="480" w:firstLineChars="200"/>
              <w:rPr>
                <w:color w:val="000000"/>
                <w:sz w:val="24"/>
              </w:rPr>
            </w:pPr>
            <w:r>
              <w:rPr>
                <w:color w:val="000000"/>
                <w:sz w:val="24"/>
              </w:rPr>
              <w:t>1、</w:t>
            </w:r>
            <w:r>
              <w:rPr>
                <w:rFonts w:hint="eastAsia"/>
                <w:color w:val="000000"/>
                <w:sz w:val="24"/>
              </w:rPr>
              <w:t>正丁醇</w:t>
            </w:r>
            <w:r>
              <w:rPr>
                <w:color w:val="000000"/>
                <w:sz w:val="24"/>
              </w:rPr>
              <w:t>、</w:t>
            </w:r>
            <w:r>
              <w:rPr>
                <w:rFonts w:hint="eastAsia"/>
                <w:color w:val="000000"/>
                <w:sz w:val="24"/>
              </w:rPr>
              <w:t>乙醇</w:t>
            </w:r>
            <w:r>
              <w:rPr>
                <w:color w:val="000000"/>
                <w:sz w:val="24"/>
              </w:rPr>
              <w:t>、</w:t>
            </w:r>
            <w:r>
              <w:rPr>
                <w:rFonts w:hint="eastAsia"/>
                <w:color w:val="000000"/>
                <w:sz w:val="24"/>
              </w:rPr>
              <w:t>异丙醇</w:t>
            </w:r>
            <w:r>
              <w:rPr>
                <w:color w:val="000000"/>
                <w:sz w:val="24"/>
              </w:rPr>
              <w:t>等物料应储存于密闭的包装桶中。</w:t>
            </w:r>
          </w:p>
          <w:p>
            <w:pPr>
              <w:spacing w:line="360" w:lineRule="auto"/>
              <w:ind w:firstLine="480" w:firstLineChars="200"/>
              <w:rPr>
                <w:color w:val="000000"/>
                <w:sz w:val="24"/>
              </w:rPr>
            </w:pPr>
            <w:r>
              <w:rPr>
                <w:color w:val="000000"/>
                <w:sz w:val="24"/>
              </w:rPr>
              <w:t>2、盛装</w:t>
            </w:r>
            <w:r>
              <w:rPr>
                <w:rFonts w:hint="eastAsia"/>
                <w:color w:val="000000"/>
                <w:sz w:val="24"/>
              </w:rPr>
              <w:t>正丁醇</w:t>
            </w:r>
            <w:r>
              <w:rPr>
                <w:color w:val="000000"/>
                <w:sz w:val="24"/>
              </w:rPr>
              <w:t>、</w:t>
            </w:r>
            <w:r>
              <w:rPr>
                <w:rFonts w:hint="eastAsia"/>
                <w:color w:val="000000"/>
                <w:sz w:val="24"/>
              </w:rPr>
              <w:t>乙醇</w:t>
            </w:r>
            <w:r>
              <w:rPr>
                <w:color w:val="000000"/>
                <w:sz w:val="24"/>
              </w:rPr>
              <w:t>、</w:t>
            </w:r>
            <w:r>
              <w:rPr>
                <w:rFonts w:hint="eastAsia"/>
                <w:color w:val="000000"/>
                <w:sz w:val="24"/>
              </w:rPr>
              <w:t>异丙醇</w:t>
            </w:r>
            <w:r>
              <w:rPr>
                <w:color w:val="000000"/>
                <w:sz w:val="24"/>
              </w:rPr>
              <w:t>等物料包装桶在非取用状态时应加盖、封口，保持密闭。</w:t>
            </w:r>
          </w:p>
          <w:p>
            <w:pPr>
              <w:spacing w:line="360" w:lineRule="auto"/>
              <w:ind w:firstLine="480" w:firstLineChars="200"/>
              <w:rPr>
                <w:color w:val="000000"/>
                <w:sz w:val="24"/>
              </w:rPr>
            </w:pPr>
            <w:r>
              <w:rPr>
                <w:color w:val="000000"/>
                <w:sz w:val="24"/>
              </w:rPr>
              <w:t>3、除人员、车辆、设备、物料进出时，以及依法设立的通风口外，门窗应随时保持关闭状态。</w:t>
            </w:r>
          </w:p>
          <w:p>
            <w:pPr>
              <w:spacing w:line="360" w:lineRule="auto"/>
              <w:ind w:firstLine="480" w:firstLineChars="200"/>
              <w:rPr>
                <w:color w:val="000000"/>
                <w:sz w:val="24"/>
              </w:rPr>
            </w:pPr>
            <w:r>
              <w:rPr>
                <w:color w:val="000000"/>
                <w:sz w:val="24"/>
              </w:rPr>
              <w:t>4、</w:t>
            </w:r>
            <w:r>
              <w:rPr>
                <w:rFonts w:hint="eastAsia"/>
                <w:color w:val="000000"/>
                <w:sz w:val="24"/>
              </w:rPr>
              <w:t>正丁醇</w:t>
            </w:r>
            <w:r>
              <w:rPr>
                <w:color w:val="000000"/>
                <w:sz w:val="24"/>
              </w:rPr>
              <w:t>、</w:t>
            </w:r>
            <w:r>
              <w:rPr>
                <w:rFonts w:hint="eastAsia"/>
                <w:color w:val="000000"/>
                <w:sz w:val="24"/>
              </w:rPr>
              <w:t>乙醇</w:t>
            </w:r>
            <w:r>
              <w:rPr>
                <w:color w:val="000000"/>
                <w:sz w:val="24"/>
              </w:rPr>
              <w:t>、</w:t>
            </w:r>
            <w:r>
              <w:rPr>
                <w:rFonts w:hint="eastAsia"/>
                <w:color w:val="000000"/>
                <w:sz w:val="24"/>
              </w:rPr>
              <w:t>异丙醇</w:t>
            </w:r>
            <w:r>
              <w:rPr>
                <w:color w:val="000000"/>
                <w:sz w:val="24"/>
              </w:rPr>
              <w:t>等物料在运输过程采用非管道输送方式转移时，应采用密闭容器进行转移。</w:t>
            </w:r>
          </w:p>
          <w:p>
            <w:pPr>
              <w:spacing w:line="360" w:lineRule="auto"/>
              <w:ind w:firstLine="480" w:firstLineChars="200"/>
              <w:rPr>
                <w:color w:val="000000"/>
              </w:rPr>
            </w:pPr>
            <w:r>
              <w:rPr>
                <w:color w:val="000000"/>
                <w:sz w:val="24"/>
              </w:rPr>
              <w:t>本项目位于合肥市，</w:t>
            </w:r>
            <w:r>
              <w:rPr>
                <w:color w:val="000000"/>
                <w:sz w:val="24"/>
                <w:lang w:val="zh-CN"/>
              </w:rPr>
              <w:t>合肥市为</w:t>
            </w:r>
            <w:r>
              <w:rPr>
                <w:color w:val="000000"/>
                <w:sz w:val="24"/>
              </w:rPr>
              <w:t>环境质量达标区，基本污染物质量状况均能满足《环境空气质量标准》（GB3095-2012）中的二级标准，根据补充监测结果，本项目区域环境空气非甲烷总烃浓度能够满足</w:t>
            </w:r>
            <w:r>
              <w:rPr>
                <w:color w:val="000000"/>
                <w:sz w:val="24"/>
                <w:szCs w:val="22"/>
              </w:rPr>
              <w:t>《大气污染物综合排放标准详解》</w:t>
            </w:r>
            <w:r>
              <w:rPr>
                <w:rFonts w:hint="eastAsia"/>
                <w:color w:val="000000"/>
                <w:sz w:val="24"/>
                <w:szCs w:val="22"/>
              </w:rPr>
              <w:t>中限值要求</w:t>
            </w:r>
            <w:r>
              <w:rPr>
                <w:color w:val="000000"/>
                <w:sz w:val="24"/>
              </w:rPr>
              <w:t>。根据废气污染物排放量核算结果，项目废气</w:t>
            </w:r>
            <w:r>
              <w:rPr>
                <w:rFonts w:hint="eastAsia"/>
                <w:color w:val="000000"/>
                <w:sz w:val="24"/>
              </w:rPr>
              <w:t>氯化氢及酸性废气</w:t>
            </w:r>
            <w:r>
              <w:rPr>
                <w:color w:val="000000"/>
                <w:sz w:val="24"/>
              </w:rPr>
              <w:t>、</w:t>
            </w:r>
            <w:r>
              <w:rPr>
                <w:rFonts w:hint="eastAsia"/>
                <w:color w:val="000000"/>
                <w:sz w:val="24"/>
              </w:rPr>
              <w:t>非</w:t>
            </w:r>
            <w:r>
              <w:rPr>
                <w:color w:val="000000"/>
                <w:sz w:val="24"/>
              </w:rPr>
              <w:t>甲烷总烃经处理后排放量较小，本项目对周边大气环境影响较小。</w:t>
            </w:r>
          </w:p>
          <w:p>
            <w:pPr>
              <w:numPr>
                <w:ilvl w:val="0"/>
                <w:numId w:val="3"/>
              </w:numPr>
              <w:spacing w:line="360" w:lineRule="auto"/>
              <w:ind w:firstLine="482" w:firstLineChars="200"/>
              <w:rPr>
                <w:b/>
                <w:bCs/>
                <w:color w:val="000000"/>
                <w:sz w:val="24"/>
              </w:rPr>
            </w:pPr>
            <w:r>
              <w:rPr>
                <w:b/>
                <w:bCs/>
                <w:color w:val="000000"/>
                <w:sz w:val="24"/>
              </w:rPr>
              <w:t>废水</w:t>
            </w:r>
          </w:p>
          <w:p>
            <w:pPr>
              <w:spacing w:line="360" w:lineRule="auto"/>
              <w:ind w:left="340" w:leftChars="162" w:firstLine="118" w:firstLineChars="49"/>
              <w:rPr>
                <w:b/>
                <w:bCs/>
                <w:color w:val="000000"/>
                <w:sz w:val="24"/>
              </w:rPr>
            </w:pPr>
            <w:r>
              <w:rPr>
                <w:b/>
                <w:bCs/>
                <w:color w:val="000000"/>
                <w:sz w:val="24"/>
              </w:rPr>
              <w:t>1、废水处理及排放</w:t>
            </w:r>
          </w:p>
          <w:p>
            <w:pPr>
              <w:autoSpaceDE w:val="0"/>
              <w:autoSpaceDN w:val="0"/>
              <w:spacing w:line="360" w:lineRule="auto"/>
              <w:ind w:firstLine="480" w:firstLineChars="200"/>
              <w:rPr>
                <w:color w:val="000000"/>
                <w:sz w:val="24"/>
              </w:rPr>
            </w:pPr>
            <w:r>
              <w:rPr>
                <w:color w:val="000000"/>
                <w:sz w:val="24"/>
              </w:rPr>
              <w:t>本项目采用雨、污分流的排水体制。雨水进入市政雨水管网，</w:t>
            </w:r>
            <w:r>
              <w:rPr>
                <w:rFonts w:hint="eastAsia"/>
                <w:color w:val="000000"/>
                <w:sz w:val="24"/>
              </w:rPr>
              <w:t>测试</w:t>
            </w:r>
            <w:r>
              <w:rPr>
                <w:color w:val="000000"/>
                <w:sz w:val="24"/>
              </w:rPr>
              <w:t>废液、</w:t>
            </w:r>
            <w:r>
              <w:rPr>
                <w:rFonts w:hint="eastAsia"/>
                <w:color w:val="000000"/>
                <w:sz w:val="24"/>
              </w:rPr>
              <w:t>检测</w:t>
            </w:r>
            <w:r>
              <w:rPr>
                <w:color w:val="000000"/>
                <w:sz w:val="24"/>
              </w:rPr>
              <w:t>废液</w:t>
            </w:r>
            <w:r>
              <w:rPr>
                <w:rFonts w:hint="eastAsia"/>
                <w:color w:val="000000"/>
                <w:sz w:val="24"/>
              </w:rPr>
              <w:t>、清洗废液、喷淋塔废液</w:t>
            </w:r>
            <w:r>
              <w:rPr>
                <w:color w:val="000000"/>
                <w:sz w:val="24"/>
              </w:rPr>
              <w:t>经收集后作为</w:t>
            </w:r>
            <w:r>
              <w:rPr>
                <w:rFonts w:hint="eastAsia"/>
                <w:color w:val="000000"/>
                <w:sz w:val="24"/>
              </w:rPr>
              <w:t>危废</w:t>
            </w:r>
            <w:r>
              <w:rPr>
                <w:color w:val="000000"/>
                <w:sz w:val="24"/>
              </w:rPr>
              <w:t>处置，委托有资质单位处理；项目废水主要为生活污水、</w:t>
            </w:r>
            <w:r>
              <w:rPr>
                <w:rFonts w:hint="eastAsia"/>
                <w:color w:val="000000"/>
                <w:sz w:val="24"/>
              </w:rPr>
              <w:t>车间保洁废水</w:t>
            </w:r>
            <w:r>
              <w:rPr>
                <w:color w:val="000000"/>
                <w:sz w:val="24"/>
              </w:rPr>
              <w:t>。</w:t>
            </w:r>
            <w:r>
              <w:rPr>
                <w:rFonts w:hint="eastAsia"/>
                <w:color w:val="000000"/>
                <w:sz w:val="24"/>
                <w:lang w:eastAsia="zh-CN"/>
              </w:rPr>
              <w:t>办公</w:t>
            </w:r>
            <w:r>
              <w:rPr>
                <w:color w:val="000000"/>
                <w:sz w:val="24"/>
              </w:rPr>
              <w:t>生活污水、</w:t>
            </w:r>
            <w:r>
              <w:rPr>
                <w:rFonts w:hint="eastAsia"/>
                <w:color w:val="000000"/>
                <w:sz w:val="24"/>
              </w:rPr>
              <w:t>车间保洁废水依托明珠产业园现有预处理设施处理</w:t>
            </w:r>
            <w:r>
              <w:rPr>
                <w:color w:val="000000"/>
                <w:sz w:val="24"/>
              </w:rPr>
              <w:t>后满足</w:t>
            </w:r>
            <w:r>
              <w:rPr>
                <w:rFonts w:hint="eastAsia"/>
                <w:color w:val="C00000"/>
                <w:sz w:val="24"/>
              </w:rPr>
              <w:t>《电子工业水污染物排放标准》（GB39731-2020）和</w:t>
            </w:r>
            <w:r>
              <w:rPr>
                <w:color w:val="000000"/>
                <w:sz w:val="24"/>
              </w:rPr>
              <w:t>西部组团污水处理厂接管标准经市政污水管网进入西部组团污水处理厂深度处理后最终排入派河。</w:t>
            </w:r>
          </w:p>
          <w:p>
            <w:pPr>
              <w:adjustRightInd w:val="0"/>
              <w:snapToGrid w:val="0"/>
              <w:spacing w:line="360" w:lineRule="auto"/>
              <w:ind w:firstLine="480" w:firstLineChars="200"/>
              <w:rPr>
                <w:color w:val="000000"/>
              </w:rPr>
            </w:pPr>
            <w:r>
              <w:rPr>
                <w:color w:val="000000"/>
                <w:sz w:val="24"/>
              </w:rPr>
              <w:t>本项目废水产生、处理及排放情况见下表。</w:t>
            </w:r>
          </w:p>
        </w:tc>
      </w:tr>
    </w:tbl>
    <w:p>
      <w:pPr>
        <w:pStyle w:val="20"/>
        <w:jc w:val="center"/>
        <w:outlineLvl w:val="0"/>
        <w:rPr>
          <w:rFonts w:ascii="Times New Roman" w:hAnsi="Times New Roman" w:eastAsia="黑体"/>
          <w:snapToGrid w:val="0"/>
          <w:color w:val="000000"/>
          <w:sz w:val="30"/>
          <w:szCs w:val="30"/>
        </w:rPr>
        <w:sectPr>
          <w:pgSz w:w="11906" w:h="16838"/>
          <w:pgMar w:top="1418" w:right="1418" w:bottom="1418" w:left="1418" w:header="851" w:footer="851" w:gutter="0"/>
          <w:cols w:space="720" w:num="1"/>
          <w:docGrid w:linePitch="312" w:charSpace="0"/>
        </w:sectPr>
      </w:pP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47"/>
        <w:gridCol w:w="134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62" w:hRule="atLeast"/>
          <w:jc w:val="center"/>
        </w:trPr>
        <w:tc>
          <w:tcPr>
            <w:tcW w:w="756" w:type="dxa"/>
            <w:vAlign w:val="center"/>
          </w:tcPr>
          <w:p>
            <w:pPr>
              <w:adjustRightInd w:val="0"/>
              <w:snapToGrid w:val="0"/>
              <w:jc w:val="center"/>
              <w:rPr>
                <w:b/>
                <w:bCs/>
                <w:color w:val="000000"/>
                <w:szCs w:val="21"/>
              </w:rPr>
            </w:pPr>
            <w:r>
              <w:rPr>
                <w:b/>
                <w:bCs/>
                <w:color w:val="000000"/>
                <w:szCs w:val="21"/>
              </w:rPr>
              <w:t>运营</w:t>
            </w:r>
          </w:p>
          <w:p>
            <w:pPr>
              <w:adjustRightInd w:val="0"/>
              <w:snapToGrid w:val="0"/>
              <w:jc w:val="center"/>
              <w:rPr>
                <w:b/>
                <w:bCs/>
                <w:color w:val="000000"/>
                <w:szCs w:val="21"/>
              </w:rPr>
            </w:pPr>
            <w:r>
              <w:rPr>
                <w:b/>
                <w:bCs/>
                <w:color w:val="000000"/>
                <w:szCs w:val="21"/>
              </w:rPr>
              <w:t>期环</w:t>
            </w:r>
          </w:p>
          <w:p>
            <w:pPr>
              <w:adjustRightInd w:val="0"/>
              <w:snapToGrid w:val="0"/>
              <w:jc w:val="center"/>
              <w:rPr>
                <w:b/>
                <w:bCs/>
                <w:color w:val="000000"/>
                <w:szCs w:val="21"/>
              </w:rPr>
            </w:pPr>
            <w:r>
              <w:rPr>
                <w:b/>
                <w:bCs/>
                <w:color w:val="000000"/>
                <w:szCs w:val="21"/>
              </w:rPr>
              <w:t>境影</w:t>
            </w:r>
          </w:p>
          <w:p>
            <w:pPr>
              <w:adjustRightInd w:val="0"/>
              <w:snapToGrid w:val="0"/>
              <w:jc w:val="center"/>
              <w:rPr>
                <w:b/>
                <w:bCs/>
                <w:color w:val="000000"/>
                <w:szCs w:val="21"/>
              </w:rPr>
            </w:pPr>
            <w:r>
              <w:rPr>
                <w:b/>
                <w:bCs/>
                <w:color w:val="000000"/>
                <w:szCs w:val="21"/>
              </w:rPr>
              <w:t>响和</w:t>
            </w:r>
          </w:p>
          <w:p>
            <w:pPr>
              <w:adjustRightInd w:val="0"/>
              <w:snapToGrid w:val="0"/>
              <w:jc w:val="center"/>
              <w:rPr>
                <w:rFonts w:eastAsia="黑体"/>
                <w:snapToGrid w:val="0"/>
                <w:color w:val="000000"/>
                <w:sz w:val="30"/>
                <w:szCs w:val="30"/>
              </w:rPr>
            </w:pPr>
            <w:r>
              <w:rPr>
                <w:b/>
                <w:bCs/>
                <w:color w:val="000000"/>
                <w:szCs w:val="21"/>
              </w:rPr>
              <w:t>保护措施</w:t>
            </w:r>
          </w:p>
        </w:tc>
        <w:tc>
          <w:tcPr>
            <w:tcW w:w="13557" w:type="dxa"/>
          </w:tcPr>
          <w:p>
            <w:pPr>
              <w:widowControl/>
              <w:numPr>
                <w:ilvl w:val="0"/>
                <w:numId w:val="1"/>
              </w:numPr>
              <w:jc w:val="center"/>
              <w:rPr>
                <w:b/>
                <w:color w:val="000000"/>
                <w:kern w:val="0"/>
                <w:szCs w:val="21"/>
              </w:rPr>
            </w:pPr>
            <w:r>
              <w:rPr>
                <w:b/>
                <w:color w:val="000000"/>
                <w:kern w:val="0"/>
                <w:szCs w:val="21"/>
              </w:rPr>
              <w:t xml:space="preserve">  项目废水污染物产生、处理及排放情况一览表</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
              <w:gridCol w:w="773"/>
              <w:gridCol w:w="952"/>
              <w:gridCol w:w="737"/>
              <w:gridCol w:w="904"/>
              <w:gridCol w:w="631"/>
              <w:gridCol w:w="493"/>
              <w:gridCol w:w="562"/>
              <w:gridCol w:w="631"/>
              <w:gridCol w:w="787"/>
              <w:gridCol w:w="737"/>
              <w:gridCol w:w="899"/>
              <w:gridCol w:w="1007"/>
              <w:gridCol w:w="631"/>
              <w:gridCol w:w="978"/>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restart"/>
                  <w:vAlign w:val="center"/>
                </w:tcPr>
                <w:p>
                  <w:pPr>
                    <w:widowControl/>
                    <w:jc w:val="center"/>
                    <w:textAlignment w:val="center"/>
                    <w:rPr>
                      <w:rFonts w:ascii="宋体" w:hAnsi="宋体" w:cs="宋体"/>
                      <w:b/>
                      <w:bCs/>
                      <w:color w:val="000000"/>
                      <w:kern w:val="0"/>
                      <w:szCs w:val="21"/>
                      <w:lang w:bidi="ar"/>
                    </w:rPr>
                  </w:pPr>
                  <w:r>
                    <w:rPr>
                      <w:rFonts w:hint="eastAsia" w:ascii="宋体" w:hAnsi="宋体" w:cs="宋体"/>
                      <w:b/>
                      <w:bCs/>
                      <w:color w:val="000000"/>
                      <w:kern w:val="0"/>
                      <w:szCs w:val="21"/>
                      <w:lang w:bidi="ar"/>
                    </w:rPr>
                    <w:t>产污</w:t>
                  </w:r>
                </w:p>
                <w:p>
                  <w:pPr>
                    <w:widowControl/>
                    <w:jc w:val="center"/>
                    <w:textAlignment w:val="center"/>
                    <w:rPr>
                      <w:b/>
                      <w:bCs/>
                      <w:color w:val="000000"/>
                      <w:szCs w:val="21"/>
                    </w:rPr>
                  </w:pPr>
                  <w:r>
                    <w:rPr>
                      <w:rFonts w:hint="eastAsia" w:ascii="宋体" w:hAnsi="宋体" w:cs="宋体"/>
                      <w:b/>
                      <w:bCs/>
                      <w:color w:val="000000"/>
                      <w:kern w:val="0"/>
                      <w:szCs w:val="21"/>
                      <w:lang w:bidi="ar"/>
                    </w:rPr>
                    <w:t>环节</w:t>
                  </w:r>
                </w:p>
              </w:tc>
              <w:tc>
                <w:tcPr>
                  <w:tcW w:w="292" w:type="pct"/>
                  <w:vMerge w:val="restar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类别</w:t>
                  </w:r>
                </w:p>
              </w:tc>
              <w:tc>
                <w:tcPr>
                  <w:tcW w:w="359" w:type="pct"/>
                  <w:vMerge w:val="restar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污染物种类</w:t>
                  </w:r>
                </w:p>
              </w:tc>
              <w:tc>
                <w:tcPr>
                  <w:tcW w:w="619" w:type="pct"/>
                  <w:gridSpan w:val="2"/>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产生情况</w:t>
                  </w:r>
                </w:p>
              </w:tc>
              <w:tc>
                <w:tcPr>
                  <w:tcW w:w="1171" w:type="pct"/>
                  <w:gridSpan w:val="5"/>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治理设施</w:t>
                  </w:r>
                </w:p>
              </w:tc>
              <w:tc>
                <w:tcPr>
                  <w:tcW w:w="2380" w:type="pct"/>
                  <w:gridSpan w:val="6"/>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widowControl/>
                    <w:jc w:val="center"/>
                    <w:textAlignment w:val="center"/>
                    <w:rPr>
                      <w:b/>
                      <w:bCs/>
                      <w:color w:val="000000"/>
                      <w:szCs w:val="21"/>
                    </w:rPr>
                  </w:pPr>
                </w:p>
              </w:tc>
              <w:tc>
                <w:tcPr>
                  <w:tcW w:w="292" w:type="pct"/>
                  <w:vMerge w:val="continue"/>
                  <w:vAlign w:val="center"/>
                </w:tcPr>
                <w:p>
                  <w:pPr>
                    <w:jc w:val="center"/>
                    <w:rPr>
                      <w:b/>
                      <w:bCs/>
                      <w:color w:val="000000"/>
                      <w:szCs w:val="21"/>
                    </w:rPr>
                  </w:pPr>
                </w:p>
              </w:tc>
              <w:tc>
                <w:tcPr>
                  <w:tcW w:w="359" w:type="pct"/>
                  <w:vMerge w:val="continue"/>
                  <w:vAlign w:val="center"/>
                </w:tcPr>
                <w:p>
                  <w:pPr>
                    <w:jc w:val="center"/>
                    <w:rPr>
                      <w:b/>
                      <w:bCs/>
                      <w:color w:val="000000"/>
                      <w:szCs w:val="21"/>
                    </w:rPr>
                  </w:pPr>
                </w:p>
              </w:tc>
              <w:tc>
                <w:tcPr>
                  <w:tcW w:w="278" w:type="pc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产生量</w:t>
                  </w:r>
                </w:p>
              </w:tc>
              <w:tc>
                <w:tcPr>
                  <w:tcW w:w="341" w:type="pc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浓度</w:t>
                  </w:r>
                </w:p>
              </w:tc>
              <w:tc>
                <w:tcPr>
                  <w:tcW w:w="238" w:type="pct"/>
                  <w:vMerge w:val="restar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处理措施</w:t>
                  </w:r>
                </w:p>
              </w:tc>
              <w:tc>
                <w:tcPr>
                  <w:tcW w:w="186" w:type="pc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处理</w:t>
                  </w:r>
                </w:p>
              </w:tc>
              <w:tc>
                <w:tcPr>
                  <w:tcW w:w="212" w:type="pc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处理</w:t>
                  </w:r>
                </w:p>
              </w:tc>
              <w:tc>
                <w:tcPr>
                  <w:tcW w:w="238" w:type="pct"/>
                  <w:vMerge w:val="restar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处理能力</w:t>
                  </w:r>
                </w:p>
              </w:tc>
              <w:tc>
                <w:tcPr>
                  <w:tcW w:w="297" w:type="pct"/>
                  <w:vMerge w:val="restar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是否可行技术</w:t>
                  </w:r>
                </w:p>
              </w:tc>
              <w:tc>
                <w:tcPr>
                  <w:tcW w:w="278" w:type="pc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排放量</w:t>
                  </w:r>
                </w:p>
              </w:tc>
              <w:tc>
                <w:tcPr>
                  <w:tcW w:w="339" w:type="pc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浓度</w:t>
                  </w:r>
                </w:p>
              </w:tc>
              <w:tc>
                <w:tcPr>
                  <w:tcW w:w="380" w:type="pct"/>
                  <w:vMerge w:val="restar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排放口编号</w:t>
                  </w:r>
                </w:p>
              </w:tc>
              <w:tc>
                <w:tcPr>
                  <w:tcW w:w="238" w:type="pc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排放</w:t>
                  </w:r>
                </w:p>
              </w:tc>
              <w:tc>
                <w:tcPr>
                  <w:tcW w:w="369" w:type="pct"/>
                  <w:vMerge w:val="restar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排放去向</w:t>
                  </w:r>
                </w:p>
              </w:tc>
              <w:tc>
                <w:tcPr>
                  <w:tcW w:w="775" w:type="pct"/>
                  <w:vMerge w:val="restart"/>
                  <w:vAlign w:val="center"/>
                </w:tcPr>
                <w:p>
                  <w:pPr>
                    <w:widowControl/>
                    <w:jc w:val="center"/>
                    <w:textAlignment w:val="center"/>
                    <w:rPr>
                      <w:b/>
                      <w:bCs/>
                      <w:color w:val="000000"/>
                      <w:szCs w:val="21"/>
                    </w:rPr>
                  </w:pPr>
                  <w:r>
                    <w:rPr>
                      <w:rFonts w:hint="eastAsia" w:ascii="宋体" w:hAnsi="宋体" w:cs="宋体"/>
                      <w:b/>
                      <w:bCs/>
                      <w:color w:val="000000"/>
                      <w:kern w:val="0"/>
                      <w:szCs w:val="21"/>
                      <w:lang w:bidi="ar"/>
                    </w:rPr>
                    <w:t>排放规律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rPr>
                      <w:color w:val="000000"/>
                      <w:szCs w:val="21"/>
                    </w:rPr>
                  </w:pPr>
                </w:p>
              </w:tc>
              <w:tc>
                <w:tcPr>
                  <w:tcW w:w="292" w:type="pct"/>
                  <w:vMerge w:val="continue"/>
                  <w:vAlign w:val="center"/>
                </w:tcPr>
                <w:p>
                  <w:pPr>
                    <w:jc w:val="center"/>
                    <w:rPr>
                      <w:color w:val="000000"/>
                      <w:szCs w:val="21"/>
                    </w:rPr>
                  </w:pPr>
                </w:p>
              </w:tc>
              <w:tc>
                <w:tcPr>
                  <w:tcW w:w="359" w:type="pct"/>
                  <w:vMerge w:val="continue"/>
                  <w:vAlign w:val="center"/>
                </w:tcPr>
                <w:p>
                  <w:pPr>
                    <w:jc w:val="center"/>
                    <w:rPr>
                      <w:bCs/>
                      <w:color w:val="000000"/>
                      <w:kern w:val="0"/>
                      <w:szCs w:val="21"/>
                    </w:rPr>
                  </w:pPr>
                </w:p>
              </w:tc>
              <w:tc>
                <w:tcPr>
                  <w:tcW w:w="278" w:type="pct"/>
                  <w:vAlign w:val="center"/>
                </w:tcPr>
                <w:p>
                  <w:pPr>
                    <w:widowControl/>
                    <w:jc w:val="center"/>
                    <w:textAlignment w:val="center"/>
                    <w:rPr>
                      <w:color w:val="000000"/>
                      <w:szCs w:val="21"/>
                    </w:rPr>
                  </w:pPr>
                  <w:r>
                    <w:rPr>
                      <w:b/>
                      <w:bCs/>
                      <w:color w:val="000000"/>
                      <w:kern w:val="0"/>
                      <w:szCs w:val="21"/>
                      <w:lang w:bidi="ar"/>
                    </w:rPr>
                    <w:t>(t/a)</w:t>
                  </w:r>
                </w:p>
              </w:tc>
              <w:tc>
                <w:tcPr>
                  <w:tcW w:w="341" w:type="pct"/>
                  <w:vAlign w:val="center"/>
                </w:tcPr>
                <w:p>
                  <w:pPr>
                    <w:widowControl/>
                    <w:jc w:val="center"/>
                    <w:textAlignment w:val="center"/>
                    <w:rPr>
                      <w:bCs/>
                      <w:color w:val="000000"/>
                      <w:kern w:val="0"/>
                      <w:szCs w:val="21"/>
                    </w:rPr>
                  </w:pPr>
                  <w:r>
                    <w:rPr>
                      <w:b/>
                      <w:bCs/>
                      <w:color w:val="000000"/>
                      <w:kern w:val="0"/>
                      <w:szCs w:val="21"/>
                      <w:lang w:bidi="ar"/>
                    </w:rPr>
                    <w:t>(mg/L)</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rFonts w:hint="eastAsia" w:ascii="宋体" w:hAnsi="宋体" w:cs="宋体"/>
                      <w:b/>
                      <w:bCs/>
                      <w:color w:val="000000"/>
                      <w:kern w:val="0"/>
                      <w:szCs w:val="21"/>
                      <w:lang w:bidi="ar"/>
                    </w:rPr>
                    <w:t>效率</w:t>
                  </w:r>
                </w:p>
              </w:tc>
              <w:tc>
                <w:tcPr>
                  <w:tcW w:w="212" w:type="pct"/>
                  <w:vAlign w:val="center"/>
                </w:tcPr>
                <w:p>
                  <w:pPr>
                    <w:widowControl/>
                    <w:jc w:val="center"/>
                    <w:textAlignment w:val="center"/>
                    <w:rPr>
                      <w:color w:val="000000"/>
                      <w:szCs w:val="21"/>
                    </w:rPr>
                  </w:pPr>
                  <w:r>
                    <w:rPr>
                      <w:rFonts w:hint="eastAsia" w:ascii="宋体" w:hAnsi="宋体" w:cs="宋体"/>
                      <w:b/>
                      <w:bCs/>
                      <w:color w:val="000000"/>
                      <w:kern w:val="0"/>
                      <w:szCs w:val="21"/>
                      <w:lang w:bidi="ar"/>
                    </w:rPr>
                    <w:t>工艺</w:t>
                  </w: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b/>
                      <w:bCs/>
                      <w:color w:val="000000"/>
                      <w:kern w:val="0"/>
                      <w:szCs w:val="21"/>
                      <w:lang w:bidi="ar"/>
                    </w:rPr>
                    <w:t>(t/a)</w:t>
                  </w:r>
                </w:p>
              </w:tc>
              <w:tc>
                <w:tcPr>
                  <w:tcW w:w="339" w:type="pct"/>
                  <w:vAlign w:val="center"/>
                </w:tcPr>
                <w:p>
                  <w:pPr>
                    <w:widowControl/>
                    <w:jc w:val="center"/>
                    <w:textAlignment w:val="center"/>
                    <w:rPr>
                      <w:color w:val="000000"/>
                      <w:szCs w:val="21"/>
                    </w:rPr>
                  </w:pPr>
                  <w:r>
                    <w:rPr>
                      <w:b/>
                      <w:bCs/>
                      <w:color w:val="000000"/>
                      <w:kern w:val="0"/>
                      <w:szCs w:val="21"/>
                      <w:lang w:bidi="ar"/>
                    </w:rPr>
                    <w:t>(mg/L)</w:t>
                  </w:r>
                </w:p>
              </w:tc>
              <w:tc>
                <w:tcPr>
                  <w:tcW w:w="380" w:type="pct"/>
                  <w:vMerge w:val="continue"/>
                  <w:vAlign w:val="center"/>
                </w:tcPr>
                <w:p>
                  <w:pPr>
                    <w:jc w:val="center"/>
                    <w:rPr>
                      <w:color w:val="000000"/>
                      <w:szCs w:val="21"/>
                    </w:rPr>
                  </w:pPr>
                </w:p>
              </w:tc>
              <w:tc>
                <w:tcPr>
                  <w:tcW w:w="238" w:type="pct"/>
                  <w:vAlign w:val="center"/>
                </w:tcPr>
                <w:p>
                  <w:pPr>
                    <w:widowControl/>
                    <w:jc w:val="center"/>
                    <w:textAlignment w:val="center"/>
                    <w:rPr>
                      <w:color w:val="000000"/>
                      <w:szCs w:val="21"/>
                    </w:rPr>
                  </w:pPr>
                  <w:r>
                    <w:rPr>
                      <w:rFonts w:hint="eastAsia" w:ascii="宋体" w:hAnsi="宋体" w:cs="宋体"/>
                      <w:b/>
                      <w:bCs/>
                      <w:color w:val="000000"/>
                      <w:kern w:val="0"/>
                      <w:szCs w:val="21"/>
                      <w:lang w:bidi="ar"/>
                    </w:rPr>
                    <w:t>方式</w:t>
                  </w: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生活</w:t>
                  </w:r>
                </w:p>
              </w:tc>
              <w:tc>
                <w:tcPr>
                  <w:tcW w:w="292"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生活污水</w:t>
                  </w:r>
                </w:p>
              </w:tc>
              <w:tc>
                <w:tcPr>
                  <w:tcW w:w="359" w:type="pct"/>
                  <w:vAlign w:val="center"/>
                </w:tcPr>
                <w:p>
                  <w:pPr>
                    <w:widowControl/>
                    <w:jc w:val="center"/>
                    <w:textAlignment w:val="center"/>
                    <w:rPr>
                      <w:bCs/>
                      <w:color w:val="000000"/>
                      <w:kern w:val="0"/>
                      <w:szCs w:val="21"/>
                    </w:rPr>
                  </w:pPr>
                  <w:r>
                    <w:rPr>
                      <w:rFonts w:hint="eastAsia" w:ascii="宋体" w:hAnsi="宋体" w:cs="宋体"/>
                      <w:color w:val="000000"/>
                      <w:kern w:val="0"/>
                      <w:szCs w:val="21"/>
                      <w:lang w:bidi="ar"/>
                    </w:rPr>
                    <w:t>水量</w:t>
                  </w:r>
                </w:p>
              </w:tc>
              <w:tc>
                <w:tcPr>
                  <w:tcW w:w="278" w:type="pct"/>
                  <w:vAlign w:val="center"/>
                </w:tcPr>
                <w:p>
                  <w:pPr>
                    <w:widowControl/>
                    <w:jc w:val="center"/>
                    <w:textAlignment w:val="center"/>
                    <w:rPr>
                      <w:color w:val="000000"/>
                      <w:szCs w:val="21"/>
                    </w:rPr>
                  </w:pPr>
                  <w:r>
                    <w:rPr>
                      <w:color w:val="000000"/>
                      <w:kern w:val="0"/>
                      <w:szCs w:val="21"/>
                      <w:lang w:bidi="ar"/>
                    </w:rPr>
                    <w:t>448</w:t>
                  </w:r>
                </w:p>
              </w:tc>
              <w:tc>
                <w:tcPr>
                  <w:tcW w:w="341" w:type="pct"/>
                  <w:vAlign w:val="center"/>
                </w:tcPr>
                <w:p>
                  <w:pPr>
                    <w:widowControl/>
                    <w:jc w:val="center"/>
                    <w:textAlignment w:val="center"/>
                    <w:rPr>
                      <w:bCs/>
                      <w:color w:val="000000"/>
                      <w:kern w:val="0"/>
                      <w:szCs w:val="21"/>
                    </w:rPr>
                  </w:pPr>
                  <w:r>
                    <w:rPr>
                      <w:color w:val="000000"/>
                      <w:kern w:val="0"/>
                      <w:szCs w:val="21"/>
                      <w:lang w:bidi="ar"/>
                    </w:rPr>
                    <w:t>/</w:t>
                  </w:r>
                </w:p>
              </w:tc>
              <w:tc>
                <w:tcPr>
                  <w:tcW w:w="238"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化粪池</w:t>
                  </w: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化粪池</w:t>
                  </w:r>
                </w:p>
              </w:tc>
              <w:tc>
                <w:tcPr>
                  <w:tcW w:w="238" w:type="pct"/>
                  <w:vMerge w:val="restart"/>
                  <w:vAlign w:val="center"/>
                </w:tcPr>
                <w:p>
                  <w:pPr>
                    <w:widowControl/>
                    <w:jc w:val="center"/>
                    <w:textAlignment w:val="center"/>
                    <w:rPr>
                      <w:color w:val="000000"/>
                      <w:szCs w:val="21"/>
                    </w:rPr>
                  </w:pPr>
                  <w:r>
                    <w:rPr>
                      <w:color w:val="000000"/>
                      <w:kern w:val="0"/>
                      <w:szCs w:val="21"/>
                      <w:lang w:bidi="ar"/>
                    </w:rPr>
                    <w:t>/</w:t>
                  </w:r>
                </w:p>
              </w:tc>
              <w:tc>
                <w:tcPr>
                  <w:tcW w:w="297"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是</w:t>
                  </w:r>
                </w:p>
              </w:tc>
              <w:tc>
                <w:tcPr>
                  <w:tcW w:w="278" w:type="pct"/>
                  <w:vAlign w:val="center"/>
                </w:tcPr>
                <w:p>
                  <w:pPr>
                    <w:widowControl/>
                    <w:jc w:val="center"/>
                    <w:textAlignment w:val="center"/>
                    <w:rPr>
                      <w:color w:val="000000"/>
                      <w:szCs w:val="21"/>
                    </w:rPr>
                  </w:pPr>
                  <w:r>
                    <w:rPr>
                      <w:color w:val="000000"/>
                      <w:kern w:val="0"/>
                      <w:szCs w:val="21"/>
                      <w:lang w:bidi="ar"/>
                    </w:rPr>
                    <w:t>448</w:t>
                  </w:r>
                </w:p>
              </w:tc>
              <w:tc>
                <w:tcPr>
                  <w:tcW w:w="339" w:type="pct"/>
                  <w:vAlign w:val="center"/>
                </w:tcPr>
                <w:p>
                  <w:pPr>
                    <w:widowControl/>
                    <w:jc w:val="center"/>
                    <w:textAlignment w:val="center"/>
                    <w:rPr>
                      <w:color w:val="000000"/>
                      <w:szCs w:val="21"/>
                    </w:rPr>
                  </w:pPr>
                  <w:r>
                    <w:rPr>
                      <w:color w:val="000000"/>
                      <w:kern w:val="0"/>
                      <w:szCs w:val="21"/>
                      <w:lang w:bidi="ar"/>
                    </w:rPr>
                    <w:t>/</w:t>
                  </w:r>
                </w:p>
              </w:tc>
              <w:tc>
                <w:tcPr>
                  <w:tcW w:w="380" w:type="pct"/>
                  <w:vMerge w:val="restart"/>
                  <w:vAlign w:val="center"/>
                </w:tcPr>
                <w:p>
                  <w:pPr>
                    <w:widowControl/>
                    <w:jc w:val="center"/>
                    <w:textAlignment w:val="center"/>
                    <w:rPr>
                      <w:color w:val="000000"/>
                      <w:szCs w:val="21"/>
                    </w:rPr>
                  </w:pPr>
                  <w:r>
                    <w:rPr>
                      <w:color w:val="000000"/>
                      <w:kern w:val="0"/>
                      <w:szCs w:val="21"/>
                      <w:lang w:bidi="ar"/>
                    </w:rPr>
                    <w:t>DW001</w:t>
                  </w:r>
                </w:p>
              </w:tc>
              <w:tc>
                <w:tcPr>
                  <w:tcW w:w="238"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间接排放</w:t>
                  </w:r>
                </w:p>
              </w:tc>
              <w:tc>
                <w:tcPr>
                  <w:tcW w:w="369"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西部组团污水处理厂</w:t>
                  </w:r>
                </w:p>
              </w:tc>
              <w:tc>
                <w:tcPr>
                  <w:tcW w:w="775"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间断排放，排放期间流量不稳定，但有周期性规律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COD</w:t>
                  </w:r>
                </w:p>
              </w:tc>
              <w:tc>
                <w:tcPr>
                  <w:tcW w:w="278" w:type="pct"/>
                  <w:vAlign w:val="center"/>
                </w:tcPr>
                <w:p>
                  <w:pPr>
                    <w:widowControl/>
                    <w:jc w:val="center"/>
                    <w:textAlignment w:val="center"/>
                    <w:rPr>
                      <w:color w:val="000000"/>
                      <w:szCs w:val="21"/>
                    </w:rPr>
                  </w:pPr>
                  <w:r>
                    <w:rPr>
                      <w:color w:val="000000"/>
                      <w:kern w:val="0"/>
                      <w:szCs w:val="21"/>
                      <w:lang w:bidi="ar"/>
                    </w:rPr>
                    <w:t>0.134</w:t>
                  </w:r>
                </w:p>
              </w:tc>
              <w:tc>
                <w:tcPr>
                  <w:tcW w:w="341" w:type="pct"/>
                  <w:vAlign w:val="center"/>
                </w:tcPr>
                <w:p>
                  <w:pPr>
                    <w:widowControl/>
                    <w:jc w:val="center"/>
                    <w:textAlignment w:val="center"/>
                    <w:rPr>
                      <w:bCs/>
                      <w:color w:val="000000"/>
                      <w:kern w:val="0"/>
                      <w:szCs w:val="21"/>
                    </w:rPr>
                  </w:pPr>
                  <w:r>
                    <w:rPr>
                      <w:color w:val="000000"/>
                      <w:kern w:val="0"/>
                      <w:szCs w:val="21"/>
                      <w:lang w:bidi="ar"/>
                    </w:rPr>
                    <w:t>300</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0.134</w:t>
                  </w:r>
                </w:p>
              </w:tc>
              <w:tc>
                <w:tcPr>
                  <w:tcW w:w="339" w:type="pct"/>
                  <w:vAlign w:val="center"/>
                </w:tcPr>
                <w:p>
                  <w:pPr>
                    <w:widowControl/>
                    <w:jc w:val="center"/>
                    <w:textAlignment w:val="center"/>
                    <w:rPr>
                      <w:color w:val="000000"/>
                      <w:szCs w:val="21"/>
                    </w:rPr>
                  </w:pPr>
                  <w:r>
                    <w:rPr>
                      <w:color w:val="000000"/>
                      <w:kern w:val="0"/>
                      <w:szCs w:val="21"/>
                      <w:lang w:bidi="ar"/>
                    </w:rPr>
                    <w:t>300</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BOD</w:t>
                  </w:r>
                  <w:r>
                    <w:rPr>
                      <w:color w:val="000000"/>
                      <w:kern w:val="0"/>
                      <w:szCs w:val="21"/>
                      <w:vertAlign w:val="subscript"/>
                      <w:lang w:bidi="ar"/>
                    </w:rPr>
                    <w:t>5</w:t>
                  </w:r>
                </w:p>
              </w:tc>
              <w:tc>
                <w:tcPr>
                  <w:tcW w:w="278" w:type="pct"/>
                  <w:vAlign w:val="center"/>
                </w:tcPr>
                <w:p>
                  <w:pPr>
                    <w:widowControl/>
                    <w:jc w:val="center"/>
                    <w:textAlignment w:val="center"/>
                    <w:rPr>
                      <w:color w:val="000000"/>
                      <w:szCs w:val="21"/>
                    </w:rPr>
                  </w:pPr>
                  <w:r>
                    <w:rPr>
                      <w:color w:val="000000"/>
                      <w:kern w:val="0"/>
                      <w:szCs w:val="21"/>
                      <w:lang w:bidi="ar"/>
                    </w:rPr>
                    <w:t>0.067</w:t>
                  </w:r>
                </w:p>
              </w:tc>
              <w:tc>
                <w:tcPr>
                  <w:tcW w:w="341" w:type="pct"/>
                  <w:vAlign w:val="center"/>
                </w:tcPr>
                <w:p>
                  <w:pPr>
                    <w:widowControl/>
                    <w:jc w:val="center"/>
                    <w:textAlignment w:val="center"/>
                    <w:rPr>
                      <w:bCs/>
                      <w:color w:val="000000"/>
                      <w:kern w:val="0"/>
                      <w:szCs w:val="21"/>
                    </w:rPr>
                  </w:pPr>
                  <w:r>
                    <w:rPr>
                      <w:color w:val="000000"/>
                      <w:kern w:val="0"/>
                      <w:szCs w:val="21"/>
                      <w:lang w:bidi="ar"/>
                    </w:rPr>
                    <w:t>150</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0.067</w:t>
                  </w:r>
                </w:p>
              </w:tc>
              <w:tc>
                <w:tcPr>
                  <w:tcW w:w="339" w:type="pct"/>
                  <w:vAlign w:val="center"/>
                </w:tcPr>
                <w:p>
                  <w:pPr>
                    <w:widowControl/>
                    <w:jc w:val="center"/>
                    <w:textAlignment w:val="center"/>
                    <w:rPr>
                      <w:color w:val="000000"/>
                      <w:szCs w:val="21"/>
                    </w:rPr>
                  </w:pPr>
                  <w:r>
                    <w:rPr>
                      <w:color w:val="000000"/>
                      <w:kern w:val="0"/>
                      <w:szCs w:val="21"/>
                      <w:lang w:bidi="ar"/>
                    </w:rPr>
                    <w:t>150</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SS</w:t>
                  </w:r>
                </w:p>
              </w:tc>
              <w:tc>
                <w:tcPr>
                  <w:tcW w:w="278" w:type="pct"/>
                  <w:vAlign w:val="center"/>
                </w:tcPr>
                <w:p>
                  <w:pPr>
                    <w:widowControl/>
                    <w:jc w:val="center"/>
                    <w:textAlignment w:val="center"/>
                    <w:rPr>
                      <w:color w:val="000000"/>
                      <w:szCs w:val="21"/>
                    </w:rPr>
                  </w:pPr>
                  <w:r>
                    <w:rPr>
                      <w:color w:val="000000"/>
                      <w:kern w:val="0"/>
                      <w:szCs w:val="21"/>
                      <w:lang w:bidi="ar"/>
                    </w:rPr>
                    <w:t>0.054</w:t>
                  </w:r>
                </w:p>
              </w:tc>
              <w:tc>
                <w:tcPr>
                  <w:tcW w:w="341" w:type="pct"/>
                  <w:vAlign w:val="center"/>
                </w:tcPr>
                <w:p>
                  <w:pPr>
                    <w:widowControl/>
                    <w:jc w:val="center"/>
                    <w:textAlignment w:val="center"/>
                    <w:rPr>
                      <w:bCs/>
                      <w:color w:val="000000"/>
                      <w:kern w:val="0"/>
                      <w:szCs w:val="21"/>
                    </w:rPr>
                  </w:pPr>
                  <w:r>
                    <w:rPr>
                      <w:color w:val="000000"/>
                      <w:kern w:val="0"/>
                      <w:szCs w:val="21"/>
                      <w:lang w:bidi="ar"/>
                    </w:rPr>
                    <w:t>120</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0.054</w:t>
                  </w:r>
                </w:p>
              </w:tc>
              <w:tc>
                <w:tcPr>
                  <w:tcW w:w="339" w:type="pct"/>
                  <w:vAlign w:val="center"/>
                </w:tcPr>
                <w:p>
                  <w:pPr>
                    <w:widowControl/>
                    <w:jc w:val="center"/>
                    <w:textAlignment w:val="center"/>
                    <w:rPr>
                      <w:color w:val="000000"/>
                      <w:szCs w:val="21"/>
                    </w:rPr>
                  </w:pPr>
                  <w:r>
                    <w:rPr>
                      <w:color w:val="000000"/>
                      <w:kern w:val="0"/>
                      <w:szCs w:val="21"/>
                      <w:lang w:bidi="ar"/>
                    </w:rPr>
                    <w:t>120</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NH</w:t>
                  </w:r>
                  <w:r>
                    <w:rPr>
                      <w:color w:val="000000"/>
                      <w:kern w:val="0"/>
                      <w:szCs w:val="21"/>
                      <w:vertAlign w:val="subscript"/>
                      <w:lang w:bidi="ar"/>
                    </w:rPr>
                    <w:t>3</w:t>
                  </w:r>
                  <w:r>
                    <w:rPr>
                      <w:color w:val="000000"/>
                      <w:kern w:val="0"/>
                      <w:szCs w:val="21"/>
                      <w:lang w:bidi="ar"/>
                    </w:rPr>
                    <w:t>-N</w:t>
                  </w:r>
                </w:p>
              </w:tc>
              <w:tc>
                <w:tcPr>
                  <w:tcW w:w="278" w:type="pct"/>
                  <w:vAlign w:val="center"/>
                </w:tcPr>
                <w:p>
                  <w:pPr>
                    <w:widowControl/>
                    <w:jc w:val="center"/>
                    <w:textAlignment w:val="center"/>
                    <w:rPr>
                      <w:color w:val="000000"/>
                      <w:szCs w:val="21"/>
                    </w:rPr>
                  </w:pPr>
                  <w:r>
                    <w:rPr>
                      <w:color w:val="000000"/>
                      <w:kern w:val="0"/>
                      <w:szCs w:val="21"/>
                      <w:lang w:bidi="ar"/>
                    </w:rPr>
                    <w:t>0.013</w:t>
                  </w:r>
                </w:p>
              </w:tc>
              <w:tc>
                <w:tcPr>
                  <w:tcW w:w="341" w:type="pct"/>
                  <w:vAlign w:val="center"/>
                </w:tcPr>
                <w:p>
                  <w:pPr>
                    <w:widowControl/>
                    <w:jc w:val="center"/>
                    <w:textAlignment w:val="center"/>
                    <w:rPr>
                      <w:bCs/>
                      <w:color w:val="000000"/>
                      <w:kern w:val="0"/>
                      <w:szCs w:val="21"/>
                    </w:rPr>
                  </w:pPr>
                  <w:r>
                    <w:rPr>
                      <w:color w:val="000000"/>
                      <w:kern w:val="0"/>
                      <w:szCs w:val="21"/>
                      <w:lang w:bidi="ar"/>
                    </w:rPr>
                    <w:t>30</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0.013</w:t>
                  </w:r>
                </w:p>
              </w:tc>
              <w:tc>
                <w:tcPr>
                  <w:tcW w:w="339" w:type="pct"/>
                  <w:vAlign w:val="center"/>
                </w:tcPr>
                <w:p>
                  <w:pPr>
                    <w:widowControl/>
                    <w:jc w:val="center"/>
                    <w:textAlignment w:val="center"/>
                    <w:rPr>
                      <w:color w:val="000000"/>
                      <w:szCs w:val="21"/>
                    </w:rPr>
                  </w:pPr>
                  <w:r>
                    <w:rPr>
                      <w:color w:val="000000"/>
                      <w:kern w:val="0"/>
                      <w:szCs w:val="21"/>
                      <w:lang w:bidi="ar"/>
                    </w:rPr>
                    <w:t>30</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TP</w:t>
                  </w:r>
                </w:p>
              </w:tc>
              <w:tc>
                <w:tcPr>
                  <w:tcW w:w="278" w:type="pct"/>
                  <w:vAlign w:val="center"/>
                </w:tcPr>
                <w:p>
                  <w:pPr>
                    <w:widowControl/>
                    <w:jc w:val="center"/>
                    <w:textAlignment w:val="center"/>
                    <w:rPr>
                      <w:color w:val="000000"/>
                      <w:szCs w:val="21"/>
                    </w:rPr>
                  </w:pPr>
                  <w:r>
                    <w:rPr>
                      <w:color w:val="000000"/>
                      <w:kern w:val="0"/>
                      <w:szCs w:val="21"/>
                      <w:lang w:bidi="ar"/>
                    </w:rPr>
                    <w:t>0.001</w:t>
                  </w:r>
                </w:p>
              </w:tc>
              <w:tc>
                <w:tcPr>
                  <w:tcW w:w="341" w:type="pct"/>
                  <w:vAlign w:val="center"/>
                </w:tcPr>
                <w:p>
                  <w:pPr>
                    <w:widowControl/>
                    <w:jc w:val="center"/>
                    <w:textAlignment w:val="center"/>
                    <w:rPr>
                      <w:bCs/>
                      <w:color w:val="000000"/>
                      <w:kern w:val="0"/>
                      <w:szCs w:val="21"/>
                    </w:rPr>
                  </w:pPr>
                  <w:r>
                    <w:rPr>
                      <w:color w:val="000000"/>
                      <w:kern w:val="0"/>
                      <w:szCs w:val="21"/>
                      <w:lang w:bidi="ar"/>
                    </w:rPr>
                    <w:t>1.5</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0.001</w:t>
                  </w:r>
                </w:p>
              </w:tc>
              <w:tc>
                <w:tcPr>
                  <w:tcW w:w="339" w:type="pct"/>
                  <w:vAlign w:val="center"/>
                </w:tcPr>
                <w:p>
                  <w:pPr>
                    <w:widowControl/>
                    <w:jc w:val="center"/>
                    <w:textAlignment w:val="center"/>
                    <w:rPr>
                      <w:color w:val="000000"/>
                      <w:szCs w:val="21"/>
                    </w:rPr>
                  </w:pPr>
                  <w:r>
                    <w:rPr>
                      <w:color w:val="000000"/>
                      <w:kern w:val="0"/>
                      <w:szCs w:val="21"/>
                      <w:lang w:bidi="ar"/>
                    </w:rPr>
                    <w:t>1.5</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TN</w:t>
                  </w:r>
                </w:p>
              </w:tc>
              <w:tc>
                <w:tcPr>
                  <w:tcW w:w="278" w:type="pct"/>
                  <w:vAlign w:val="center"/>
                </w:tcPr>
                <w:p>
                  <w:pPr>
                    <w:widowControl/>
                    <w:jc w:val="center"/>
                    <w:textAlignment w:val="center"/>
                    <w:rPr>
                      <w:color w:val="000000"/>
                      <w:szCs w:val="21"/>
                    </w:rPr>
                  </w:pPr>
                  <w:r>
                    <w:rPr>
                      <w:color w:val="000000"/>
                      <w:kern w:val="0"/>
                      <w:szCs w:val="21"/>
                      <w:lang w:bidi="ar"/>
                    </w:rPr>
                    <w:t>0.016</w:t>
                  </w:r>
                </w:p>
              </w:tc>
              <w:tc>
                <w:tcPr>
                  <w:tcW w:w="341" w:type="pct"/>
                  <w:vAlign w:val="center"/>
                </w:tcPr>
                <w:p>
                  <w:pPr>
                    <w:widowControl/>
                    <w:jc w:val="center"/>
                    <w:textAlignment w:val="center"/>
                    <w:rPr>
                      <w:bCs/>
                      <w:color w:val="000000"/>
                      <w:kern w:val="0"/>
                      <w:szCs w:val="21"/>
                    </w:rPr>
                  </w:pPr>
                  <w:r>
                    <w:rPr>
                      <w:color w:val="000000"/>
                      <w:kern w:val="0"/>
                      <w:szCs w:val="21"/>
                      <w:lang w:bidi="ar"/>
                    </w:rPr>
                    <w:t>35</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0.016</w:t>
                  </w:r>
                </w:p>
              </w:tc>
              <w:tc>
                <w:tcPr>
                  <w:tcW w:w="339" w:type="pct"/>
                  <w:vAlign w:val="center"/>
                </w:tcPr>
                <w:p>
                  <w:pPr>
                    <w:widowControl/>
                    <w:jc w:val="center"/>
                    <w:textAlignment w:val="center"/>
                    <w:rPr>
                      <w:bCs/>
                      <w:color w:val="000000"/>
                      <w:kern w:val="0"/>
                      <w:szCs w:val="21"/>
                    </w:rPr>
                  </w:pPr>
                  <w:r>
                    <w:rPr>
                      <w:color w:val="000000"/>
                      <w:kern w:val="0"/>
                      <w:szCs w:val="21"/>
                      <w:lang w:bidi="ar"/>
                    </w:rPr>
                    <w:t>35</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生活</w:t>
                  </w:r>
                </w:p>
              </w:tc>
              <w:tc>
                <w:tcPr>
                  <w:tcW w:w="292" w:type="pct"/>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车间保洁废水</w:t>
                  </w:r>
                </w:p>
              </w:tc>
              <w:tc>
                <w:tcPr>
                  <w:tcW w:w="359" w:type="pct"/>
                  <w:vAlign w:val="center"/>
                </w:tcPr>
                <w:p>
                  <w:pPr>
                    <w:widowControl/>
                    <w:jc w:val="center"/>
                    <w:textAlignment w:val="center"/>
                    <w:rPr>
                      <w:bCs/>
                      <w:color w:val="000000"/>
                      <w:kern w:val="0"/>
                      <w:szCs w:val="21"/>
                    </w:rPr>
                  </w:pPr>
                  <w:r>
                    <w:rPr>
                      <w:rFonts w:hint="eastAsia" w:ascii="宋体" w:hAnsi="宋体" w:cs="宋体"/>
                      <w:color w:val="000000"/>
                      <w:kern w:val="0"/>
                      <w:szCs w:val="21"/>
                      <w:lang w:bidi="ar"/>
                    </w:rPr>
                    <w:t>水量</w:t>
                  </w:r>
                </w:p>
              </w:tc>
              <w:tc>
                <w:tcPr>
                  <w:tcW w:w="278" w:type="pct"/>
                  <w:vAlign w:val="center"/>
                </w:tcPr>
                <w:p>
                  <w:pPr>
                    <w:widowControl/>
                    <w:jc w:val="center"/>
                    <w:textAlignment w:val="center"/>
                    <w:rPr>
                      <w:color w:val="000000"/>
                      <w:szCs w:val="21"/>
                    </w:rPr>
                  </w:pPr>
                  <w:r>
                    <w:rPr>
                      <w:color w:val="000000"/>
                      <w:kern w:val="0"/>
                      <w:szCs w:val="21"/>
                      <w:lang w:bidi="ar"/>
                    </w:rPr>
                    <w:t>238</w:t>
                  </w:r>
                </w:p>
              </w:tc>
              <w:tc>
                <w:tcPr>
                  <w:tcW w:w="341" w:type="pct"/>
                  <w:vAlign w:val="center"/>
                </w:tcPr>
                <w:p>
                  <w:pPr>
                    <w:widowControl/>
                    <w:jc w:val="center"/>
                    <w:textAlignment w:val="center"/>
                    <w:rPr>
                      <w:bCs/>
                      <w:color w:val="000000"/>
                      <w:kern w:val="0"/>
                      <w:szCs w:val="21"/>
                    </w:rPr>
                  </w:pPr>
                  <w:r>
                    <w:rPr>
                      <w:color w:val="000000"/>
                      <w:kern w:val="0"/>
                      <w:szCs w:val="21"/>
                      <w:lang w:bidi="ar"/>
                    </w:rPr>
                    <w:t>/</w:t>
                  </w:r>
                </w:p>
              </w:tc>
              <w:tc>
                <w:tcPr>
                  <w:tcW w:w="238" w:type="pct"/>
                  <w:vMerge w:val="restart"/>
                  <w:vAlign w:val="center"/>
                </w:tcPr>
                <w:p>
                  <w:pPr>
                    <w:widowControl/>
                    <w:jc w:val="center"/>
                    <w:textAlignment w:val="center"/>
                    <w:rPr>
                      <w:color w:val="000000"/>
                      <w:szCs w:val="21"/>
                    </w:rPr>
                  </w:pPr>
                  <w:r>
                    <w:rPr>
                      <w:color w:val="000000"/>
                      <w:kern w:val="0"/>
                      <w:szCs w:val="21"/>
                      <w:lang w:bidi="ar"/>
                    </w:rPr>
                    <w:t>/</w:t>
                  </w: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widowControl/>
                    <w:jc w:val="center"/>
                    <w:textAlignment w:val="center"/>
                    <w:rPr>
                      <w:color w:val="000000"/>
                      <w:szCs w:val="21"/>
                    </w:rPr>
                  </w:pPr>
                </w:p>
              </w:tc>
              <w:tc>
                <w:tcPr>
                  <w:tcW w:w="238" w:type="pct"/>
                  <w:vMerge w:val="restart"/>
                  <w:vAlign w:val="center"/>
                </w:tcPr>
                <w:p>
                  <w:pPr>
                    <w:widowControl/>
                    <w:jc w:val="center"/>
                    <w:textAlignment w:val="center"/>
                    <w:rPr>
                      <w:color w:val="000000"/>
                      <w:szCs w:val="21"/>
                    </w:rPr>
                  </w:pPr>
                  <w:r>
                    <w:rPr>
                      <w:color w:val="000000"/>
                      <w:kern w:val="0"/>
                      <w:szCs w:val="21"/>
                      <w:lang w:bidi="ar"/>
                    </w:rPr>
                    <w:t>/</w:t>
                  </w: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238</w:t>
                  </w:r>
                </w:p>
              </w:tc>
              <w:tc>
                <w:tcPr>
                  <w:tcW w:w="339" w:type="pct"/>
                  <w:vAlign w:val="center"/>
                </w:tcPr>
                <w:p>
                  <w:pPr>
                    <w:widowControl/>
                    <w:jc w:val="center"/>
                    <w:textAlignment w:val="center"/>
                    <w:rPr>
                      <w:bCs/>
                      <w:color w:val="000000"/>
                      <w:kern w:val="0"/>
                      <w:szCs w:val="21"/>
                    </w:rPr>
                  </w:pPr>
                  <w:r>
                    <w:rPr>
                      <w:color w:val="000000"/>
                      <w:kern w:val="0"/>
                      <w:szCs w:val="21"/>
                      <w:lang w:bidi="ar"/>
                    </w:rPr>
                    <w:t>/</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COD</w:t>
                  </w:r>
                </w:p>
              </w:tc>
              <w:tc>
                <w:tcPr>
                  <w:tcW w:w="278" w:type="pct"/>
                  <w:vAlign w:val="center"/>
                </w:tcPr>
                <w:p>
                  <w:pPr>
                    <w:widowControl/>
                    <w:jc w:val="center"/>
                    <w:textAlignment w:val="center"/>
                    <w:rPr>
                      <w:color w:val="000000"/>
                      <w:szCs w:val="21"/>
                    </w:rPr>
                  </w:pPr>
                  <w:r>
                    <w:rPr>
                      <w:color w:val="000000"/>
                      <w:kern w:val="0"/>
                      <w:szCs w:val="21"/>
                      <w:lang w:bidi="ar"/>
                    </w:rPr>
                    <w:t>0.024</w:t>
                  </w:r>
                </w:p>
              </w:tc>
              <w:tc>
                <w:tcPr>
                  <w:tcW w:w="341" w:type="pct"/>
                  <w:vAlign w:val="center"/>
                </w:tcPr>
                <w:p>
                  <w:pPr>
                    <w:widowControl/>
                    <w:jc w:val="center"/>
                    <w:textAlignment w:val="center"/>
                    <w:rPr>
                      <w:bCs/>
                      <w:color w:val="000000"/>
                      <w:kern w:val="0"/>
                      <w:szCs w:val="21"/>
                    </w:rPr>
                  </w:pPr>
                  <w:r>
                    <w:rPr>
                      <w:color w:val="000000"/>
                      <w:kern w:val="0"/>
                      <w:szCs w:val="21"/>
                      <w:lang w:bidi="ar"/>
                    </w:rPr>
                    <w:t>100</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0.024</w:t>
                  </w:r>
                </w:p>
              </w:tc>
              <w:tc>
                <w:tcPr>
                  <w:tcW w:w="339" w:type="pct"/>
                  <w:vAlign w:val="center"/>
                </w:tcPr>
                <w:p>
                  <w:pPr>
                    <w:widowControl/>
                    <w:jc w:val="center"/>
                    <w:textAlignment w:val="center"/>
                    <w:rPr>
                      <w:bCs/>
                      <w:color w:val="000000"/>
                      <w:kern w:val="0"/>
                      <w:szCs w:val="21"/>
                    </w:rPr>
                  </w:pPr>
                  <w:r>
                    <w:rPr>
                      <w:color w:val="000000"/>
                      <w:kern w:val="0"/>
                      <w:szCs w:val="21"/>
                      <w:lang w:bidi="ar"/>
                    </w:rPr>
                    <w:t>100</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BOD</w:t>
                  </w:r>
                  <w:r>
                    <w:rPr>
                      <w:color w:val="000000"/>
                      <w:kern w:val="0"/>
                      <w:szCs w:val="21"/>
                      <w:vertAlign w:val="subscript"/>
                      <w:lang w:bidi="ar"/>
                    </w:rPr>
                    <w:t>5</w:t>
                  </w:r>
                </w:p>
              </w:tc>
              <w:tc>
                <w:tcPr>
                  <w:tcW w:w="278" w:type="pct"/>
                  <w:vAlign w:val="center"/>
                </w:tcPr>
                <w:p>
                  <w:pPr>
                    <w:widowControl/>
                    <w:jc w:val="center"/>
                    <w:textAlignment w:val="center"/>
                    <w:rPr>
                      <w:color w:val="000000"/>
                      <w:szCs w:val="21"/>
                    </w:rPr>
                  </w:pPr>
                  <w:r>
                    <w:rPr>
                      <w:color w:val="000000"/>
                      <w:kern w:val="0"/>
                      <w:szCs w:val="21"/>
                      <w:lang w:bidi="ar"/>
                    </w:rPr>
                    <w:t>0.007</w:t>
                  </w:r>
                </w:p>
              </w:tc>
              <w:tc>
                <w:tcPr>
                  <w:tcW w:w="341" w:type="pct"/>
                  <w:vAlign w:val="center"/>
                </w:tcPr>
                <w:p>
                  <w:pPr>
                    <w:widowControl/>
                    <w:jc w:val="center"/>
                    <w:textAlignment w:val="center"/>
                    <w:rPr>
                      <w:bCs/>
                      <w:color w:val="000000"/>
                      <w:kern w:val="0"/>
                      <w:szCs w:val="21"/>
                    </w:rPr>
                  </w:pPr>
                  <w:r>
                    <w:rPr>
                      <w:color w:val="000000"/>
                      <w:kern w:val="0"/>
                      <w:szCs w:val="21"/>
                      <w:lang w:bidi="ar"/>
                    </w:rPr>
                    <w:t>30</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0.007</w:t>
                  </w:r>
                </w:p>
              </w:tc>
              <w:tc>
                <w:tcPr>
                  <w:tcW w:w="339" w:type="pct"/>
                  <w:vAlign w:val="center"/>
                </w:tcPr>
                <w:p>
                  <w:pPr>
                    <w:widowControl/>
                    <w:jc w:val="center"/>
                    <w:textAlignment w:val="center"/>
                    <w:rPr>
                      <w:bCs/>
                      <w:color w:val="000000"/>
                      <w:kern w:val="0"/>
                      <w:szCs w:val="21"/>
                    </w:rPr>
                  </w:pPr>
                  <w:r>
                    <w:rPr>
                      <w:color w:val="000000"/>
                      <w:kern w:val="0"/>
                      <w:szCs w:val="21"/>
                      <w:lang w:bidi="ar"/>
                    </w:rPr>
                    <w:t>30</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SS</w:t>
                  </w:r>
                </w:p>
              </w:tc>
              <w:tc>
                <w:tcPr>
                  <w:tcW w:w="278" w:type="pct"/>
                  <w:vAlign w:val="center"/>
                </w:tcPr>
                <w:p>
                  <w:pPr>
                    <w:widowControl/>
                    <w:jc w:val="center"/>
                    <w:textAlignment w:val="center"/>
                    <w:rPr>
                      <w:color w:val="000000"/>
                      <w:szCs w:val="21"/>
                    </w:rPr>
                  </w:pPr>
                  <w:r>
                    <w:rPr>
                      <w:color w:val="000000"/>
                      <w:kern w:val="0"/>
                      <w:szCs w:val="21"/>
                      <w:lang w:bidi="ar"/>
                    </w:rPr>
                    <w:t>0.048</w:t>
                  </w:r>
                </w:p>
              </w:tc>
              <w:tc>
                <w:tcPr>
                  <w:tcW w:w="341" w:type="pct"/>
                  <w:vAlign w:val="center"/>
                </w:tcPr>
                <w:p>
                  <w:pPr>
                    <w:widowControl/>
                    <w:jc w:val="center"/>
                    <w:textAlignment w:val="center"/>
                    <w:rPr>
                      <w:bCs/>
                      <w:color w:val="000000"/>
                      <w:kern w:val="0"/>
                      <w:szCs w:val="21"/>
                    </w:rPr>
                  </w:pPr>
                  <w:r>
                    <w:rPr>
                      <w:color w:val="000000"/>
                      <w:kern w:val="0"/>
                      <w:szCs w:val="21"/>
                      <w:lang w:bidi="ar"/>
                    </w:rPr>
                    <w:t>200</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bCs/>
                      <w:color w:val="000000"/>
                      <w:kern w:val="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0.048</w:t>
                  </w:r>
                </w:p>
              </w:tc>
              <w:tc>
                <w:tcPr>
                  <w:tcW w:w="339" w:type="pct"/>
                  <w:vAlign w:val="center"/>
                </w:tcPr>
                <w:p>
                  <w:pPr>
                    <w:widowControl/>
                    <w:jc w:val="center"/>
                    <w:textAlignment w:val="center"/>
                    <w:rPr>
                      <w:bCs/>
                      <w:color w:val="000000"/>
                      <w:kern w:val="0"/>
                      <w:szCs w:val="21"/>
                    </w:rPr>
                  </w:pPr>
                  <w:r>
                    <w:rPr>
                      <w:color w:val="000000"/>
                      <w:kern w:val="0"/>
                      <w:szCs w:val="21"/>
                      <w:lang w:bidi="ar"/>
                    </w:rPr>
                    <w:t>200</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 w:type="pct"/>
                  <w:vMerge w:val="continue"/>
                  <w:vAlign w:val="center"/>
                </w:tcPr>
                <w:p>
                  <w:pPr>
                    <w:jc w:val="center"/>
                    <w:rPr>
                      <w:color w:val="000000"/>
                      <w:szCs w:val="21"/>
                    </w:rPr>
                  </w:pPr>
                </w:p>
              </w:tc>
              <w:tc>
                <w:tcPr>
                  <w:tcW w:w="292" w:type="pct"/>
                  <w:vMerge w:val="continue"/>
                  <w:vAlign w:val="center"/>
                </w:tcPr>
                <w:p>
                  <w:pPr>
                    <w:jc w:val="center"/>
                    <w:rPr>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NH</w:t>
                  </w:r>
                  <w:r>
                    <w:rPr>
                      <w:color w:val="000000"/>
                      <w:kern w:val="0"/>
                      <w:szCs w:val="21"/>
                      <w:vertAlign w:val="subscript"/>
                      <w:lang w:bidi="ar"/>
                    </w:rPr>
                    <w:t>3</w:t>
                  </w:r>
                  <w:r>
                    <w:rPr>
                      <w:color w:val="000000"/>
                      <w:kern w:val="0"/>
                      <w:szCs w:val="21"/>
                      <w:lang w:bidi="ar"/>
                    </w:rPr>
                    <w:t>-N</w:t>
                  </w:r>
                </w:p>
              </w:tc>
              <w:tc>
                <w:tcPr>
                  <w:tcW w:w="278" w:type="pct"/>
                  <w:vAlign w:val="center"/>
                </w:tcPr>
                <w:p>
                  <w:pPr>
                    <w:widowControl/>
                    <w:jc w:val="center"/>
                    <w:textAlignment w:val="center"/>
                    <w:rPr>
                      <w:color w:val="000000"/>
                      <w:szCs w:val="21"/>
                    </w:rPr>
                  </w:pPr>
                  <w:r>
                    <w:rPr>
                      <w:color w:val="000000"/>
                      <w:kern w:val="0"/>
                      <w:szCs w:val="21"/>
                      <w:lang w:bidi="ar"/>
                    </w:rPr>
                    <w:t>0.004</w:t>
                  </w:r>
                </w:p>
              </w:tc>
              <w:tc>
                <w:tcPr>
                  <w:tcW w:w="341" w:type="pct"/>
                  <w:vAlign w:val="center"/>
                </w:tcPr>
                <w:p>
                  <w:pPr>
                    <w:widowControl/>
                    <w:jc w:val="center"/>
                    <w:textAlignment w:val="center"/>
                    <w:rPr>
                      <w:color w:val="000000"/>
                      <w:szCs w:val="21"/>
                    </w:rPr>
                  </w:pPr>
                  <w:r>
                    <w:rPr>
                      <w:color w:val="000000"/>
                      <w:kern w:val="0"/>
                      <w:szCs w:val="21"/>
                      <w:lang w:bidi="ar"/>
                    </w:rPr>
                    <w:t>15</w:t>
                  </w:r>
                </w:p>
              </w:tc>
              <w:tc>
                <w:tcPr>
                  <w:tcW w:w="238" w:type="pct"/>
                  <w:vMerge w:val="continue"/>
                  <w:vAlign w:val="center"/>
                </w:tcPr>
                <w:p>
                  <w:pPr>
                    <w:jc w:val="center"/>
                    <w:rPr>
                      <w:color w:val="000000"/>
                      <w:szCs w:val="21"/>
                    </w:rPr>
                  </w:pPr>
                </w:p>
              </w:tc>
              <w:tc>
                <w:tcPr>
                  <w:tcW w:w="186" w:type="pct"/>
                  <w:vAlign w:val="center"/>
                </w:tcPr>
                <w:p>
                  <w:pPr>
                    <w:widowControl/>
                    <w:jc w:val="center"/>
                    <w:textAlignment w:val="center"/>
                    <w:rPr>
                      <w:color w:val="000000"/>
                      <w:szCs w:val="21"/>
                    </w:rPr>
                  </w:pPr>
                  <w:r>
                    <w:rPr>
                      <w:color w:val="000000"/>
                      <w:kern w:val="0"/>
                      <w:szCs w:val="21"/>
                      <w:lang w:bidi="ar"/>
                    </w:rPr>
                    <w:t>/</w:t>
                  </w: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0.004</w:t>
                  </w:r>
                </w:p>
              </w:tc>
              <w:tc>
                <w:tcPr>
                  <w:tcW w:w="339" w:type="pct"/>
                  <w:vAlign w:val="center"/>
                </w:tcPr>
                <w:p>
                  <w:pPr>
                    <w:widowControl/>
                    <w:jc w:val="center"/>
                    <w:textAlignment w:val="center"/>
                    <w:rPr>
                      <w:color w:val="000000"/>
                      <w:szCs w:val="21"/>
                    </w:rPr>
                  </w:pPr>
                  <w:r>
                    <w:rPr>
                      <w:color w:val="000000"/>
                      <w:kern w:val="0"/>
                      <w:szCs w:val="21"/>
                      <w:lang w:bidi="ar"/>
                    </w:rPr>
                    <w:t>15</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8" w:type="pct"/>
                  <w:gridSpan w:val="2"/>
                  <w:vMerge w:val="restart"/>
                  <w:vAlign w:val="center"/>
                </w:tcPr>
                <w:p>
                  <w:pPr>
                    <w:widowControl/>
                    <w:jc w:val="center"/>
                    <w:textAlignment w:val="center"/>
                    <w:rPr>
                      <w:color w:val="000000"/>
                      <w:szCs w:val="21"/>
                    </w:rPr>
                  </w:pPr>
                  <w:r>
                    <w:rPr>
                      <w:rFonts w:hint="eastAsia" w:ascii="宋体" w:hAnsi="宋体" w:cs="宋体"/>
                      <w:color w:val="000000"/>
                      <w:kern w:val="0"/>
                      <w:szCs w:val="21"/>
                      <w:lang w:bidi="ar"/>
                    </w:rPr>
                    <w:t>污水总排口</w:t>
                  </w:r>
                </w:p>
              </w:tc>
              <w:tc>
                <w:tcPr>
                  <w:tcW w:w="359" w:type="pct"/>
                  <w:vAlign w:val="center"/>
                </w:tcPr>
                <w:p>
                  <w:pPr>
                    <w:widowControl/>
                    <w:jc w:val="center"/>
                    <w:textAlignment w:val="center"/>
                    <w:rPr>
                      <w:bCs/>
                      <w:color w:val="000000"/>
                      <w:kern w:val="0"/>
                      <w:szCs w:val="21"/>
                    </w:rPr>
                  </w:pPr>
                  <w:r>
                    <w:rPr>
                      <w:rFonts w:hint="eastAsia" w:ascii="宋体" w:hAnsi="宋体" w:cs="宋体"/>
                      <w:color w:val="000000"/>
                      <w:kern w:val="0"/>
                      <w:szCs w:val="21"/>
                      <w:lang w:bidi="ar"/>
                    </w:rPr>
                    <w:t>水量</w:t>
                  </w:r>
                </w:p>
              </w:tc>
              <w:tc>
                <w:tcPr>
                  <w:tcW w:w="278" w:type="pct"/>
                  <w:vAlign w:val="center"/>
                </w:tcPr>
                <w:p>
                  <w:pPr>
                    <w:widowControl/>
                    <w:jc w:val="center"/>
                    <w:textAlignment w:val="center"/>
                    <w:rPr>
                      <w:color w:val="000000"/>
                      <w:szCs w:val="21"/>
                    </w:rPr>
                  </w:pPr>
                  <w:r>
                    <w:rPr>
                      <w:color w:val="000000"/>
                      <w:kern w:val="0"/>
                      <w:szCs w:val="21"/>
                      <w:lang w:bidi="ar"/>
                    </w:rPr>
                    <w:t>686</w:t>
                  </w:r>
                </w:p>
              </w:tc>
              <w:tc>
                <w:tcPr>
                  <w:tcW w:w="341" w:type="pct"/>
                  <w:vAlign w:val="center"/>
                </w:tcPr>
                <w:p>
                  <w:pPr>
                    <w:widowControl/>
                    <w:jc w:val="center"/>
                    <w:textAlignment w:val="center"/>
                    <w:rPr>
                      <w:color w:val="000000"/>
                      <w:szCs w:val="21"/>
                    </w:rPr>
                  </w:pPr>
                  <w:r>
                    <w:rPr>
                      <w:color w:val="000000"/>
                      <w:kern w:val="0"/>
                      <w:szCs w:val="21"/>
                      <w:lang w:bidi="ar"/>
                    </w:rPr>
                    <w:t>/</w:t>
                  </w:r>
                </w:p>
              </w:tc>
              <w:tc>
                <w:tcPr>
                  <w:tcW w:w="238" w:type="pct"/>
                  <w:vMerge w:val="restart"/>
                  <w:vAlign w:val="center"/>
                </w:tcPr>
                <w:p>
                  <w:pPr>
                    <w:widowControl/>
                    <w:jc w:val="center"/>
                    <w:textAlignment w:val="center"/>
                    <w:rPr>
                      <w:color w:val="000000"/>
                      <w:szCs w:val="21"/>
                    </w:rPr>
                  </w:pPr>
                  <w:r>
                    <w:rPr>
                      <w:color w:val="000000"/>
                      <w:kern w:val="0"/>
                      <w:szCs w:val="21"/>
                      <w:lang w:bidi="ar"/>
                    </w:rPr>
                    <w:t>/</w:t>
                  </w:r>
                </w:p>
              </w:tc>
              <w:tc>
                <w:tcPr>
                  <w:tcW w:w="186" w:type="pct"/>
                  <w:vMerge w:val="restart"/>
                  <w:vAlign w:val="center"/>
                </w:tcPr>
                <w:p>
                  <w:pPr>
                    <w:widowControl/>
                    <w:jc w:val="center"/>
                    <w:textAlignment w:val="center"/>
                    <w:rPr>
                      <w:color w:val="000000"/>
                      <w:szCs w:val="21"/>
                    </w:rPr>
                  </w:pPr>
                  <w:r>
                    <w:rPr>
                      <w:color w:val="000000"/>
                      <w:kern w:val="0"/>
                      <w:szCs w:val="21"/>
                      <w:lang w:bidi="ar"/>
                    </w:rPr>
                    <w:t>/</w:t>
                  </w:r>
                </w:p>
              </w:tc>
              <w:tc>
                <w:tcPr>
                  <w:tcW w:w="212" w:type="pct"/>
                  <w:vMerge w:val="continue"/>
                  <w:vAlign w:val="center"/>
                </w:tcPr>
                <w:p>
                  <w:pPr>
                    <w:widowControl/>
                    <w:jc w:val="center"/>
                    <w:textAlignment w:val="center"/>
                    <w:rPr>
                      <w:color w:val="000000"/>
                      <w:szCs w:val="21"/>
                    </w:rPr>
                  </w:pPr>
                </w:p>
              </w:tc>
              <w:tc>
                <w:tcPr>
                  <w:tcW w:w="238" w:type="pct"/>
                  <w:vMerge w:val="restart"/>
                  <w:vAlign w:val="center"/>
                </w:tcPr>
                <w:p>
                  <w:pPr>
                    <w:widowControl/>
                    <w:jc w:val="center"/>
                    <w:textAlignment w:val="center"/>
                    <w:rPr>
                      <w:color w:val="000000"/>
                      <w:szCs w:val="21"/>
                    </w:rPr>
                  </w:pPr>
                  <w:r>
                    <w:rPr>
                      <w:color w:val="000000"/>
                      <w:kern w:val="0"/>
                      <w:szCs w:val="21"/>
                      <w:lang w:bidi="ar"/>
                    </w:rPr>
                    <w:t>/</w:t>
                  </w: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szCs w:val="21"/>
                    </w:rPr>
                  </w:pPr>
                  <w:r>
                    <w:rPr>
                      <w:color w:val="000000"/>
                      <w:kern w:val="0"/>
                      <w:szCs w:val="21"/>
                      <w:lang w:bidi="ar"/>
                    </w:rPr>
                    <w:t>686</w:t>
                  </w:r>
                </w:p>
              </w:tc>
              <w:tc>
                <w:tcPr>
                  <w:tcW w:w="339" w:type="pct"/>
                  <w:vAlign w:val="center"/>
                </w:tcPr>
                <w:p>
                  <w:pPr>
                    <w:widowControl/>
                    <w:jc w:val="center"/>
                    <w:textAlignment w:val="center"/>
                    <w:rPr>
                      <w:color w:val="000000"/>
                      <w:szCs w:val="21"/>
                    </w:rPr>
                  </w:pPr>
                  <w:r>
                    <w:rPr>
                      <w:color w:val="000000"/>
                      <w:kern w:val="0"/>
                      <w:szCs w:val="21"/>
                      <w:lang w:bidi="ar"/>
                    </w:rPr>
                    <w:t>/</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8" w:type="pct"/>
                  <w:gridSpan w:val="2"/>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COD</w:t>
                  </w:r>
                </w:p>
              </w:tc>
              <w:tc>
                <w:tcPr>
                  <w:tcW w:w="278" w:type="pct"/>
                  <w:vAlign w:val="center"/>
                </w:tcPr>
                <w:p>
                  <w:pPr>
                    <w:widowControl/>
                    <w:jc w:val="center"/>
                    <w:textAlignment w:val="center"/>
                    <w:rPr>
                      <w:color w:val="000000"/>
                      <w:szCs w:val="21"/>
                    </w:rPr>
                  </w:pPr>
                  <w:r>
                    <w:rPr>
                      <w:color w:val="000000"/>
                      <w:kern w:val="0"/>
                      <w:szCs w:val="21"/>
                      <w:lang w:bidi="ar"/>
                    </w:rPr>
                    <w:t>0.158</w:t>
                  </w:r>
                </w:p>
              </w:tc>
              <w:tc>
                <w:tcPr>
                  <w:tcW w:w="341" w:type="pct"/>
                </w:tcPr>
                <w:p>
                  <w:pPr>
                    <w:widowControl/>
                    <w:jc w:val="center"/>
                    <w:textAlignment w:val="top"/>
                    <w:rPr>
                      <w:color w:val="000000"/>
                      <w:szCs w:val="21"/>
                    </w:rPr>
                  </w:pPr>
                  <w:r>
                    <w:rPr>
                      <w:color w:val="000000"/>
                      <w:kern w:val="0"/>
                      <w:szCs w:val="21"/>
                      <w:lang w:bidi="ar"/>
                    </w:rPr>
                    <w:t>230.612</w:t>
                  </w:r>
                </w:p>
              </w:tc>
              <w:tc>
                <w:tcPr>
                  <w:tcW w:w="238" w:type="pct"/>
                  <w:vMerge w:val="continue"/>
                  <w:vAlign w:val="center"/>
                </w:tcPr>
                <w:p>
                  <w:pPr>
                    <w:jc w:val="center"/>
                    <w:rPr>
                      <w:color w:val="000000"/>
                      <w:szCs w:val="21"/>
                    </w:rPr>
                  </w:pPr>
                </w:p>
              </w:tc>
              <w:tc>
                <w:tcPr>
                  <w:tcW w:w="186" w:type="pct"/>
                  <w:vMerge w:val="continue"/>
                  <w:vAlign w:val="center"/>
                </w:tcPr>
                <w:p>
                  <w:pPr>
                    <w:jc w:val="center"/>
                    <w:rPr>
                      <w:color w:val="000000"/>
                      <w:szCs w:val="21"/>
                    </w:rPr>
                  </w:pP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snapToGrid w:val="0"/>
                      <w:color w:val="000000"/>
                      <w:kern w:val="21"/>
                      <w:szCs w:val="21"/>
                    </w:rPr>
                  </w:pPr>
                  <w:r>
                    <w:rPr>
                      <w:color w:val="000000"/>
                      <w:kern w:val="0"/>
                      <w:szCs w:val="21"/>
                      <w:lang w:bidi="ar"/>
                    </w:rPr>
                    <w:t>0.158</w:t>
                  </w:r>
                </w:p>
              </w:tc>
              <w:tc>
                <w:tcPr>
                  <w:tcW w:w="339" w:type="pct"/>
                </w:tcPr>
                <w:p>
                  <w:pPr>
                    <w:widowControl/>
                    <w:jc w:val="center"/>
                    <w:textAlignment w:val="top"/>
                    <w:rPr>
                      <w:color w:val="000000"/>
                      <w:szCs w:val="21"/>
                    </w:rPr>
                  </w:pPr>
                  <w:r>
                    <w:rPr>
                      <w:color w:val="000000"/>
                      <w:kern w:val="0"/>
                      <w:szCs w:val="21"/>
                      <w:lang w:bidi="ar"/>
                    </w:rPr>
                    <w:t>230.612</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8" w:type="pct"/>
                  <w:gridSpan w:val="2"/>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BOD</w:t>
                  </w:r>
                  <w:r>
                    <w:rPr>
                      <w:color w:val="000000"/>
                      <w:kern w:val="0"/>
                      <w:szCs w:val="21"/>
                      <w:vertAlign w:val="subscript"/>
                      <w:lang w:bidi="ar"/>
                    </w:rPr>
                    <w:t>5</w:t>
                  </w:r>
                </w:p>
              </w:tc>
              <w:tc>
                <w:tcPr>
                  <w:tcW w:w="278" w:type="pct"/>
                  <w:vAlign w:val="center"/>
                </w:tcPr>
                <w:p>
                  <w:pPr>
                    <w:widowControl/>
                    <w:jc w:val="center"/>
                    <w:textAlignment w:val="center"/>
                    <w:rPr>
                      <w:color w:val="000000"/>
                      <w:szCs w:val="21"/>
                    </w:rPr>
                  </w:pPr>
                  <w:r>
                    <w:rPr>
                      <w:color w:val="000000"/>
                      <w:kern w:val="0"/>
                      <w:szCs w:val="21"/>
                      <w:lang w:bidi="ar"/>
                    </w:rPr>
                    <w:t>0.074</w:t>
                  </w:r>
                </w:p>
              </w:tc>
              <w:tc>
                <w:tcPr>
                  <w:tcW w:w="341" w:type="pct"/>
                </w:tcPr>
                <w:p>
                  <w:pPr>
                    <w:widowControl/>
                    <w:jc w:val="center"/>
                    <w:textAlignment w:val="top"/>
                    <w:rPr>
                      <w:color w:val="000000"/>
                      <w:szCs w:val="21"/>
                    </w:rPr>
                  </w:pPr>
                  <w:r>
                    <w:rPr>
                      <w:color w:val="000000"/>
                      <w:kern w:val="0"/>
                      <w:szCs w:val="21"/>
                      <w:lang w:bidi="ar"/>
                    </w:rPr>
                    <w:t>108.367</w:t>
                  </w:r>
                </w:p>
              </w:tc>
              <w:tc>
                <w:tcPr>
                  <w:tcW w:w="238" w:type="pct"/>
                  <w:vMerge w:val="continue"/>
                  <w:vAlign w:val="center"/>
                </w:tcPr>
                <w:p>
                  <w:pPr>
                    <w:jc w:val="center"/>
                    <w:rPr>
                      <w:color w:val="000000"/>
                      <w:szCs w:val="21"/>
                    </w:rPr>
                  </w:pPr>
                </w:p>
              </w:tc>
              <w:tc>
                <w:tcPr>
                  <w:tcW w:w="186" w:type="pct"/>
                  <w:vMerge w:val="continue"/>
                  <w:vAlign w:val="center"/>
                </w:tcPr>
                <w:p>
                  <w:pPr>
                    <w:jc w:val="center"/>
                    <w:rPr>
                      <w:color w:val="000000"/>
                      <w:szCs w:val="21"/>
                    </w:rPr>
                  </w:pP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snapToGrid w:val="0"/>
                      <w:color w:val="000000"/>
                      <w:kern w:val="21"/>
                      <w:szCs w:val="21"/>
                    </w:rPr>
                  </w:pPr>
                  <w:r>
                    <w:rPr>
                      <w:color w:val="000000"/>
                      <w:kern w:val="0"/>
                      <w:szCs w:val="21"/>
                      <w:lang w:bidi="ar"/>
                    </w:rPr>
                    <w:t>0.074</w:t>
                  </w:r>
                </w:p>
              </w:tc>
              <w:tc>
                <w:tcPr>
                  <w:tcW w:w="339" w:type="pct"/>
                </w:tcPr>
                <w:p>
                  <w:pPr>
                    <w:widowControl/>
                    <w:jc w:val="center"/>
                    <w:textAlignment w:val="top"/>
                    <w:rPr>
                      <w:color w:val="000000"/>
                      <w:szCs w:val="21"/>
                    </w:rPr>
                  </w:pPr>
                  <w:r>
                    <w:rPr>
                      <w:color w:val="000000"/>
                      <w:kern w:val="0"/>
                      <w:szCs w:val="21"/>
                      <w:lang w:bidi="ar"/>
                    </w:rPr>
                    <w:t>108.367</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8" w:type="pct"/>
                  <w:gridSpan w:val="2"/>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SS</w:t>
                  </w:r>
                </w:p>
              </w:tc>
              <w:tc>
                <w:tcPr>
                  <w:tcW w:w="278" w:type="pct"/>
                  <w:vAlign w:val="center"/>
                </w:tcPr>
                <w:p>
                  <w:pPr>
                    <w:widowControl/>
                    <w:jc w:val="center"/>
                    <w:textAlignment w:val="center"/>
                    <w:rPr>
                      <w:color w:val="000000"/>
                      <w:szCs w:val="21"/>
                    </w:rPr>
                  </w:pPr>
                  <w:r>
                    <w:rPr>
                      <w:color w:val="000000"/>
                      <w:kern w:val="0"/>
                      <w:szCs w:val="21"/>
                      <w:lang w:bidi="ar"/>
                    </w:rPr>
                    <w:t>0.101</w:t>
                  </w:r>
                </w:p>
              </w:tc>
              <w:tc>
                <w:tcPr>
                  <w:tcW w:w="341" w:type="pct"/>
                </w:tcPr>
                <w:p>
                  <w:pPr>
                    <w:widowControl/>
                    <w:jc w:val="center"/>
                    <w:textAlignment w:val="top"/>
                    <w:rPr>
                      <w:color w:val="000000"/>
                      <w:szCs w:val="21"/>
                    </w:rPr>
                  </w:pPr>
                  <w:r>
                    <w:rPr>
                      <w:color w:val="000000"/>
                      <w:kern w:val="0"/>
                      <w:szCs w:val="21"/>
                      <w:lang w:bidi="ar"/>
                    </w:rPr>
                    <w:t>147.755</w:t>
                  </w:r>
                </w:p>
              </w:tc>
              <w:tc>
                <w:tcPr>
                  <w:tcW w:w="238" w:type="pct"/>
                  <w:vMerge w:val="continue"/>
                  <w:vAlign w:val="center"/>
                </w:tcPr>
                <w:p>
                  <w:pPr>
                    <w:jc w:val="center"/>
                    <w:rPr>
                      <w:color w:val="000000"/>
                      <w:szCs w:val="21"/>
                    </w:rPr>
                  </w:pPr>
                </w:p>
              </w:tc>
              <w:tc>
                <w:tcPr>
                  <w:tcW w:w="186" w:type="pct"/>
                  <w:vMerge w:val="continue"/>
                  <w:vAlign w:val="center"/>
                </w:tcPr>
                <w:p>
                  <w:pPr>
                    <w:jc w:val="center"/>
                    <w:rPr>
                      <w:color w:val="000000"/>
                      <w:szCs w:val="21"/>
                    </w:rPr>
                  </w:pP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snapToGrid w:val="0"/>
                      <w:color w:val="000000"/>
                      <w:kern w:val="21"/>
                      <w:szCs w:val="21"/>
                    </w:rPr>
                  </w:pPr>
                  <w:r>
                    <w:rPr>
                      <w:color w:val="000000"/>
                      <w:kern w:val="0"/>
                      <w:szCs w:val="21"/>
                      <w:lang w:bidi="ar"/>
                    </w:rPr>
                    <w:t>0.101</w:t>
                  </w:r>
                </w:p>
              </w:tc>
              <w:tc>
                <w:tcPr>
                  <w:tcW w:w="339" w:type="pct"/>
                </w:tcPr>
                <w:p>
                  <w:pPr>
                    <w:widowControl/>
                    <w:jc w:val="center"/>
                    <w:textAlignment w:val="top"/>
                    <w:rPr>
                      <w:color w:val="000000"/>
                      <w:szCs w:val="21"/>
                    </w:rPr>
                  </w:pPr>
                  <w:r>
                    <w:rPr>
                      <w:color w:val="000000"/>
                      <w:kern w:val="0"/>
                      <w:szCs w:val="21"/>
                      <w:lang w:bidi="ar"/>
                    </w:rPr>
                    <w:t>147.755</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8" w:type="pct"/>
                  <w:gridSpan w:val="2"/>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NH</w:t>
                  </w:r>
                  <w:r>
                    <w:rPr>
                      <w:color w:val="000000"/>
                      <w:kern w:val="0"/>
                      <w:szCs w:val="21"/>
                      <w:vertAlign w:val="subscript"/>
                      <w:lang w:bidi="ar"/>
                    </w:rPr>
                    <w:t>3</w:t>
                  </w:r>
                  <w:r>
                    <w:rPr>
                      <w:color w:val="000000"/>
                      <w:kern w:val="0"/>
                      <w:szCs w:val="21"/>
                      <w:lang w:bidi="ar"/>
                    </w:rPr>
                    <w:t>-N</w:t>
                  </w:r>
                </w:p>
              </w:tc>
              <w:tc>
                <w:tcPr>
                  <w:tcW w:w="278" w:type="pct"/>
                  <w:vAlign w:val="center"/>
                </w:tcPr>
                <w:p>
                  <w:pPr>
                    <w:widowControl/>
                    <w:jc w:val="center"/>
                    <w:textAlignment w:val="center"/>
                    <w:rPr>
                      <w:color w:val="000000"/>
                      <w:szCs w:val="21"/>
                    </w:rPr>
                  </w:pPr>
                  <w:r>
                    <w:rPr>
                      <w:color w:val="000000"/>
                      <w:kern w:val="0"/>
                      <w:szCs w:val="21"/>
                      <w:lang w:bidi="ar"/>
                    </w:rPr>
                    <w:t>0.017</w:t>
                  </w:r>
                </w:p>
              </w:tc>
              <w:tc>
                <w:tcPr>
                  <w:tcW w:w="341" w:type="pct"/>
                </w:tcPr>
                <w:p>
                  <w:pPr>
                    <w:widowControl/>
                    <w:jc w:val="center"/>
                    <w:textAlignment w:val="top"/>
                    <w:rPr>
                      <w:color w:val="000000"/>
                      <w:szCs w:val="21"/>
                    </w:rPr>
                  </w:pPr>
                  <w:r>
                    <w:rPr>
                      <w:color w:val="000000"/>
                      <w:kern w:val="0"/>
                      <w:szCs w:val="21"/>
                      <w:lang w:bidi="ar"/>
                    </w:rPr>
                    <w:t>24.796</w:t>
                  </w:r>
                </w:p>
              </w:tc>
              <w:tc>
                <w:tcPr>
                  <w:tcW w:w="238" w:type="pct"/>
                  <w:vMerge w:val="continue"/>
                  <w:vAlign w:val="center"/>
                </w:tcPr>
                <w:p>
                  <w:pPr>
                    <w:jc w:val="center"/>
                    <w:rPr>
                      <w:color w:val="000000"/>
                      <w:szCs w:val="21"/>
                    </w:rPr>
                  </w:pPr>
                </w:p>
              </w:tc>
              <w:tc>
                <w:tcPr>
                  <w:tcW w:w="186" w:type="pct"/>
                  <w:vMerge w:val="continue"/>
                  <w:vAlign w:val="center"/>
                </w:tcPr>
                <w:p>
                  <w:pPr>
                    <w:jc w:val="center"/>
                    <w:rPr>
                      <w:color w:val="000000"/>
                      <w:szCs w:val="21"/>
                    </w:rPr>
                  </w:pP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snapToGrid w:val="0"/>
                      <w:color w:val="000000"/>
                      <w:kern w:val="21"/>
                      <w:szCs w:val="21"/>
                    </w:rPr>
                  </w:pPr>
                  <w:r>
                    <w:rPr>
                      <w:color w:val="000000"/>
                      <w:kern w:val="0"/>
                      <w:szCs w:val="21"/>
                      <w:lang w:bidi="ar"/>
                    </w:rPr>
                    <w:t>0.017</w:t>
                  </w:r>
                </w:p>
              </w:tc>
              <w:tc>
                <w:tcPr>
                  <w:tcW w:w="339" w:type="pct"/>
                </w:tcPr>
                <w:p>
                  <w:pPr>
                    <w:widowControl/>
                    <w:jc w:val="center"/>
                    <w:textAlignment w:val="top"/>
                    <w:rPr>
                      <w:color w:val="000000"/>
                      <w:szCs w:val="21"/>
                    </w:rPr>
                  </w:pPr>
                  <w:r>
                    <w:rPr>
                      <w:color w:val="000000"/>
                      <w:kern w:val="0"/>
                      <w:szCs w:val="21"/>
                      <w:lang w:bidi="ar"/>
                    </w:rPr>
                    <w:t>24.796</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8" w:type="pct"/>
                  <w:gridSpan w:val="2"/>
                  <w:vMerge w:val="continue"/>
                  <w:vAlign w:val="center"/>
                </w:tcPr>
                <w:p>
                  <w:pPr>
                    <w:jc w:val="center"/>
                    <w:rPr>
                      <w:color w:val="000000"/>
                      <w:szCs w:val="21"/>
                    </w:rPr>
                  </w:pPr>
                </w:p>
              </w:tc>
              <w:tc>
                <w:tcPr>
                  <w:tcW w:w="359" w:type="pct"/>
                  <w:vAlign w:val="center"/>
                </w:tcPr>
                <w:p>
                  <w:pPr>
                    <w:widowControl/>
                    <w:jc w:val="center"/>
                    <w:textAlignment w:val="center"/>
                    <w:rPr>
                      <w:bCs/>
                      <w:color w:val="000000"/>
                      <w:kern w:val="0"/>
                      <w:szCs w:val="21"/>
                    </w:rPr>
                  </w:pPr>
                  <w:r>
                    <w:rPr>
                      <w:color w:val="000000"/>
                      <w:kern w:val="0"/>
                      <w:szCs w:val="21"/>
                      <w:lang w:bidi="ar"/>
                    </w:rPr>
                    <w:t>TP</w:t>
                  </w:r>
                </w:p>
              </w:tc>
              <w:tc>
                <w:tcPr>
                  <w:tcW w:w="278" w:type="pct"/>
                  <w:vAlign w:val="center"/>
                </w:tcPr>
                <w:p>
                  <w:pPr>
                    <w:widowControl/>
                    <w:jc w:val="center"/>
                    <w:textAlignment w:val="center"/>
                    <w:rPr>
                      <w:color w:val="000000"/>
                      <w:szCs w:val="21"/>
                    </w:rPr>
                  </w:pPr>
                  <w:r>
                    <w:rPr>
                      <w:color w:val="000000"/>
                      <w:kern w:val="0"/>
                      <w:szCs w:val="21"/>
                      <w:lang w:bidi="ar"/>
                    </w:rPr>
                    <w:t>0.001</w:t>
                  </w:r>
                </w:p>
              </w:tc>
              <w:tc>
                <w:tcPr>
                  <w:tcW w:w="341" w:type="pct"/>
                </w:tcPr>
                <w:p>
                  <w:pPr>
                    <w:widowControl/>
                    <w:jc w:val="center"/>
                    <w:textAlignment w:val="top"/>
                    <w:rPr>
                      <w:color w:val="000000"/>
                      <w:szCs w:val="21"/>
                    </w:rPr>
                  </w:pPr>
                  <w:r>
                    <w:rPr>
                      <w:color w:val="000000"/>
                      <w:kern w:val="0"/>
                      <w:szCs w:val="21"/>
                      <w:lang w:bidi="ar"/>
                    </w:rPr>
                    <w:t>0.980</w:t>
                  </w:r>
                </w:p>
              </w:tc>
              <w:tc>
                <w:tcPr>
                  <w:tcW w:w="238" w:type="pct"/>
                  <w:vMerge w:val="continue"/>
                  <w:vAlign w:val="center"/>
                </w:tcPr>
                <w:p>
                  <w:pPr>
                    <w:jc w:val="center"/>
                    <w:rPr>
                      <w:color w:val="000000"/>
                      <w:szCs w:val="21"/>
                    </w:rPr>
                  </w:pPr>
                </w:p>
              </w:tc>
              <w:tc>
                <w:tcPr>
                  <w:tcW w:w="186" w:type="pct"/>
                  <w:vMerge w:val="continue"/>
                  <w:vAlign w:val="center"/>
                </w:tcPr>
                <w:p>
                  <w:pPr>
                    <w:jc w:val="center"/>
                    <w:rPr>
                      <w:color w:val="000000"/>
                      <w:szCs w:val="21"/>
                    </w:rPr>
                  </w:pP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snapToGrid w:val="0"/>
                      <w:color w:val="000000"/>
                      <w:kern w:val="21"/>
                      <w:szCs w:val="21"/>
                    </w:rPr>
                  </w:pPr>
                  <w:r>
                    <w:rPr>
                      <w:color w:val="000000"/>
                      <w:kern w:val="0"/>
                      <w:szCs w:val="21"/>
                      <w:lang w:bidi="ar"/>
                    </w:rPr>
                    <w:t>0.001</w:t>
                  </w:r>
                </w:p>
              </w:tc>
              <w:tc>
                <w:tcPr>
                  <w:tcW w:w="339" w:type="pct"/>
                </w:tcPr>
                <w:p>
                  <w:pPr>
                    <w:widowControl/>
                    <w:jc w:val="center"/>
                    <w:textAlignment w:val="top"/>
                    <w:rPr>
                      <w:color w:val="000000"/>
                      <w:szCs w:val="21"/>
                    </w:rPr>
                  </w:pPr>
                  <w:r>
                    <w:rPr>
                      <w:color w:val="000000"/>
                      <w:kern w:val="0"/>
                      <w:szCs w:val="21"/>
                      <w:lang w:bidi="ar"/>
                    </w:rPr>
                    <w:t>0.980</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8" w:type="pct"/>
                  <w:gridSpan w:val="2"/>
                  <w:vMerge w:val="continue"/>
                  <w:vAlign w:val="center"/>
                </w:tcPr>
                <w:p>
                  <w:pPr>
                    <w:jc w:val="center"/>
                    <w:rPr>
                      <w:color w:val="000000"/>
                      <w:szCs w:val="21"/>
                    </w:rPr>
                  </w:pPr>
                </w:p>
              </w:tc>
              <w:tc>
                <w:tcPr>
                  <w:tcW w:w="359" w:type="pct"/>
                  <w:vAlign w:val="center"/>
                </w:tcPr>
                <w:p>
                  <w:pPr>
                    <w:widowControl/>
                    <w:jc w:val="center"/>
                    <w:textAlignment w:val="center"/>
                    <w:rPr>
                      <w:color w:val="000000"/>
                      <w:kern w:val="0"/>
                      <w:szCs w:val="21"/>
                      <w:lang w:bidi="ar"/>
                    </w:rPr>
                  </w:pPr>
                  <w:r>
                    <w:rPr>
                      <w:color w:val="000000"/>
                      <w:kern w:val="0"/>
                      <w:szCs w:val="21"/>
                      <w:lang w:bidi="ar"/>
                    </w:rPr>
                    <w:t>TN</w:t>
                  </w:r>
                </w:p>
              </w:tc>
              <w:tc>
                <w:tcPr>
                  <w:tcW w:w="278" w:type="pct"/>
                  <w:vAlign w:val="center"/>
                </w:tcPr>
                <w:p>
                  <w:pPr>
                    <w:widowControl/>
                    <w:jc w:val="center"/>
                    <w:textAlignment w:val="center"/>
                    <w:rPr>
                      <w:color w:val="000000"/>
                      <w:kern w:val="0"/>
                      <w:szCs w:val="21"/>
                      <w:lang w:bidi="ar"/>
                    </w:rPr>
                  </w:pPr>
                  <w:r>
                    <w:rPr>
                      <w:color w:val="000000"/>
                      <w:kern w:val="0"/>
                      <w:szCs w:val="21"/>
                      <w:lang w:bidi="ar"/>
                    </w:rPr>
                    <w:t>0.016</w:t>
                  </w:r>
                </w:p>
              </w:tc>
              <w:tc>
                <w:tcPr>
                  <w:tcW w:w="341" w:type="pct"/>
                  <w:vAlign w:val="center"/>
                </w:tcPr>
                <w:p>
                  <w:pPr>
                    <w:widowControl/>
                    <w:jc w:val="center"/>
                    <w:textAlignment w:val="top"/>
                    <w:rPr>
                      <w:color w:val="000000"/>
                      <w:kern w:val="0"/>
                      <w:szCs w:val="21"/>
                      <w:lang w:bidi="ar"/>
                    </w:rPr>
                  </w:pPr>
                  <w:r>
                    <w:rPr>
                      <w:color w:val="000000"/>
                      <w:kern w:val="0"/>
                      <w:szCs w:val="21"/>
                      <w:lang w:bidi="ar"/>
                    </w:rPr>
                    <w:t>22.857</w:t>
                  </w:r>
                </w:p>
              </w:tc>
              <w:tc>
                <w:tcPr>
                  <w:tcW w:w="238" w:type="pct"/>
                  <w:vMerge w:val="continue"/>
                  <w:vAlign w:val="center"/>
                </w:tcPr>
                <w:p>
                  <w:pPr>
                    <w:jc w:val="center"/>
                    <w:rPr>
                      <w:color w:val="000000"/>
                      <w:szCs w:val="21"/>
                    </w:rPr>
                  </w:pPr>
                </w:p>
              </w:tc>
              <w:tc>
                <w:tcPr>
                  <w:tcW w:w="186" w:type="pct"/>
                  <w:vMerge w:val="continue"/>
                  <w:vAlign w:val="center"/>
                </w:tcPr>
                <w:p>
                  <w:pPr>
                    <w:jc w:val="center"/>
                    <w:rPr>
                      <w:color w:val="000000"/>
                      <w:szCs w:val="21"/>
                    </w:rPr>
                  </w:pPr>
                </w:p>
              </w:tc>
              <w:tc>
                <w:tcPr>
                  <w:tcW w:w="212"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297" w:type="pct"/>
                  <w:vMerge w:val="continue"/>
                  <w:vAlign w:val="center"/>
                </w:tcPr>
                <w:p>
                  <w:pPr>
                    <w:jc w:val="center"/>
                    <w:rPr>
                      <w:color w:val="000000"/>
                      <w:szCs w:val="21"/>
                    </w:rPr>
                  </w:pPr>
                </w:p>
              </w:tc>
              <w:tc>
                <w:tcPr>
                  <w:tcW w:w="278" w:type="pct"/>
                  <w:vAlign w:val="center"/>
                </w:tcPr>
                <w:p>
                  <w:pPr>
                    <w:widowControl/>
                    <w:jc w:val="center"/>
                    <w:textAlignment w:val="center"/>
                    <w:rPr>
                      <w:color w:val="000000"/>
                      <w:kern w:val="0"/>
                      <w:szCs w:val="21"/>
                      <w:lang w:bidi="ar"/>
                    </w:rPr>
                  </w:pPr>
                  <w:r>
                    <w:rPr>
                      <w:color w:val="000000"/>
                      <w:kern w:val="0"/>
                      <w:szCs w:val="21"/>
                      <w:lang w:bidi="ar"/>
                    </w:rPr>
                    <w:t>0.016</w:t>
                  </w:r>
                </w:p>
              </w:tc>
              <w:tc>
                <w:tcPr>
                  <w:tcW w:w="339" w:type="pct"/>
                  <w:vAlign w:val="center"/>
                </w:tcPr>
                <w:p>
                  <w:pPr>
                    <w:widowControl/>
                    <w:jc w:val="center"/>
                    <w:textAlignment w:val="top"/>
                    <w:rPr>
                      <w:color w:val="000000"/>
                      <w:kern w:val="0"/>
                      <w:szCs w:val="21"/>
                      <w:lang w:bidi="ar"/>
                    </w:rPr>
                  </w:pPr>
                  <w:r>
                    <w:rPr>
                      <w:color w:val="000000"/>
                      <w:kern w:val="0"/>
                      <w:szCs w:val="21"/>
                      <w:lang w:bidi="ar"/>
                    </w:rPr>
                    <w:t>22.857</w:t>
                  </w:r>
                </w:p>
              </w:tc>
              <w:tc>
                <w:tcPr>
                  <w:tcW w:w="380" w:type="pct"/>
                  <w:vMerge w:val="continue"/>
                  <w:vAlign w:val="center"/>
                </w:tcPr>
                <w:p>
                  <w:pPr>
                    <w:jc w:val="center"/>
                    <w:rPr>
                      <w:color w:val="000000"/>
                      <w:szCs w:val="21"/>
                    </w:rPr>
                  </w:pPr>
                </w:p>
              </w:tc>
              <w:tc>
                <w:tcPr>
                  <w:tcW w:w="238" w:type="pct"/>
                  <w:vMerge w:val="continue"/>
                  <w:vAlign w:val="center"/>
                </w:tcPr>
                <w:p>
                  <w:pPr>
                    <w:jc w:val="center"/>
                    <w:rPr>
                      <w:color w:val="000000"/>
                      <w:szCs w:val="21"/>
                    </w:rPr>
                  </w:pPr>
                </w:p>
              </w:tc>
              <w:tc>
                <w:tcPr>
                  <w:tcW w:w="369" w:type="pct"/>
                  <w:vMerge w:val="continue"/>
                  <w:vAlign w:val="center"/>
                </w:tcPr>
                <w:p>
                  <w:pPr>
                    <w:jc w:val="center"/>
                    <w:rPr>
                      <w:color w:val="000000"/>
                      <w:szCs w:val="21"/>
                    </w:rPr>
                  </w:pPr>
                </w:p>
              </w:tc>
              <w:tc>
                <w:tcPr>
                  <w:tcW w:w="775" w:type="pct"/>
                  <w:vMerge w:val="continue"/>
                  <w:vAlign w:val="center"/>
                </w:tcPr>
                <w:p>
                  <w:pPr>
                    <w:jc w:val="center"/>
                    <w:rPr>
                      <w:color w:val="000000"/>
                      <w:szCs w:val="21"/>
                    </w:rPr>
                  </w:pPr>
                </w:p>
              </w:tc>
            </w:tr>
          </w:tbl>
          <w:p>
            <w:pPr>
              <w:widowControl/>
              <w:spacing w:line="360" w:lineRule="auto"/>
              <w:ind w:firstLine="480" w:firstLineChars="200"/>
              <w:rPr>
                <w:b/>
                <w:color w:val="C00000"/>
                <w:kern w:val="0"/>
                <w:sz w:val="24"/>
              </w:rPr>
            </w:pPr>
            <w:r>
              <w:rPr>
                <w:rFonts w:hint="eastAsia"/>
                <w:color w:val="C00000"/>
                <w:sz w:val="24"/>
              </w:rPr>
              <w:t>本项目为登记管理，监测计划</w:t>
            </w:r>
            <w:r>
              <w:rPr>
                <w:color w:val="C00000"/>
                <w:sz w:val="24"/>
              </w:rPr>
              <w:t>参照</w:t>
            </w:r>
            <w:r>
              <w:rPr>
                <w:rFonts w:hint="eastAsia"/>
                <w:color w:val="C00000"/>
                <w:sz w:val="24"/>
              </w:rPr>
              <w:t>《排污许可证申请与核发技术规范 电子工业》（HJ1031-2019）和</w:t>
            </w:r>
            <w:r>
              <w:rPr>
                <w:color w:val="C00000"/>
                <w:sz w:val="24"/>
              </w:rPr>
              <w:t>《排污单位自行监测技术指南—总则》（HJ819-2017）</w:t>
            </w:r>
            <w:r>
              <w:rPr>
                <w:rFonts w:hint="eastAsia"/>
                <w:color w:val="C00000"/>
                <w:sz w:val="24"/>
              </w:rPr>
              <w:t>，具体</w:t>
            </w:r>
            <w:r>
              <w:rPr>
                <w:color w:val="C00000"/>
                <w:sz w:val="24"/>
              </w:rPr>
              <w:t>监测计划见下表：</w:t>
            </w:r>
          </w:p>
          <w:p>
            <w:pPr>
              <w:widowControl/>
              <w:numPr>
                <w:ilvl w:val="0"/>
                <w:numId w:val="1"/>
              </w:numPr>
              <w:jc w:val="center"/>
              <w:rPr>
                <w:b/>
                <w:color w:val="000000"/>
                <w:kern w:val="0"/>
                <w:szCs w:val="21"/>
              </w:rPr>
            </w:pPr>
            <w:r>
              <w:rPr>
                <w:b/>
                <w:color w:val="000000"/>
                <w:kern w:val="0"/>
                <w:szCs w:val="21"/>
              </w:rPr>
              <w:t xml:space="preserve">  项目废水排放口基本情况一览表</w:t>
            </w:r>
          </w:p>
          <w:tbl>
            <w:tblPr>
              <w:tblStyle w:val="24"/>
              <w:tblW w:w="0" w:type="auto"/>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0" w:type="dxa"/>
                <w:bottom w:w="0" w:type="dxa"/>
                <w:right w:w="0" w:type="dxa"/>
              </w:tblCellMar>
            </w:tblPr>
            <w:tblGrid>
              <w:gridCol w:w="477"/>
              <w:gridCol w:w="916"/>
              <w:gridCol w:w="1056"/>
              <w:gridCol w:w="896"/>
              <w:gridCol w:w="1063"/>
              <w:gridCol w:w="1045"/>
              <w:gridCol w:w="1138"/>
              <w:gridCol w:w="1786"/>
              <w:gridCol w:w="1132"/>
              <w:gridCol w:w="919"/>
              <w:gridCol w:w="1766"/>
              <w:gridCol w:w="1051"/>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restart"/>
                  <w:tcBorders>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rStyle w:val="53"/>
                      <w:rFonts w:hint="default" w:ascii="Times New Roman" w:hAnsi="Times New Roman" w:cs="Times New Roman"/>
                      <w:b/>
                      <w:bCs/>
                      <w:lang w:bidi="ar"/>
                    </w:rPr>
                    <w:t>序号</w:t>
                  </w:r>
                </w:p>
              </w:tc>
              <w:tc>
                <w:tcPr>
                  <w:tcW w:w="926" w:type="dxa"/>
                  <w:vMerge w:val="restart"/>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排放口</w:t>
                  </w:r>
                </w:p>
                <w:p>
                  <w:pPr>
                    <w:widowControl/>
                    <w:jc w:val="center"/>
                    <w:textAlignment w:val="center"/>
                    <w:rPr>
                      <w:b/>
                      <w:bCs/>
                      <w:color w:val="000000"/>
                      <w:szCs w:val="21"/>
                    </w:rPr>
                  </w:pPr>
                  <w:r>
                    <w:rPr>
                      <w:b/>
                      <w:bCs/>
                      <w:color w:val="000000"/>
                      <w:kern w:val="0"/>
                      <w:szCs w:val="21"/>
                      <w:lang w:bidi="ar"/>
                    </w:rPr>
                    <w:t>编号</w:t>
                  </w:r>
                </w:p>
              </w:tc>
              <w:tc>
                <w:tcPr>
                  <w:tcW w:w="1091" w:type="dxa"/>
                  <w:vMerge w:val="restart"/>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排放口</w:t>
                  </w:r>
                </w:p>
                <w:p>
                  <w:pPr>
                    <w:widowControl/>
                    <w:jc w:val="center"/>
                    <w:textAlignment w:val="center"/>
                    <w:rPr>
                      <w:b/>
                      <w:bCs/>
                      <w:color w:val="000000"/>
                      <w:szCs w:val="21"/>
                    </w:rPr>
                  </w:pPr>
                  <w:r>
                    <w:rPr>
                      <w:b/>
                      <w:bCs/>
                      <w:color w:val="000000"/>
                      <w:kern w:val="0"/>
                      <w:szCs w:val="21"/>
                      <w:lang w:bidi="ar"/>
                    </w:rPr>
                    <w:t>名称</w:t>
                  </w:r>
                </w:p>
              </w:tc>
              <w:tc>
                <w:tcPr>
                  <w:tcW w:w="924" w:type="dxa"/>
                  <w:vMerge w:val="restart"/>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排放口</w:t>
                  </w:r>
                </w:p>
                <w:p>
                  <w:pPr>
                    <w:widowControl/>
                    <w:jc w:val="center"/>
                    <w:textAlignment w:val="center"/>
                    <w:rPr>
                      <w:b/>
                      <w:bCs/>
                      <w:color w:val="000000"/>
                      <w:szCs w:val="21"/>
                    </w:rPr>
                  </w:pPr>
                  <w:r>
                    <w:rPr>
                      <w:b/>
                      <w:bCs/>
                      <w:color w:val="000000"/>
                      <w:kern w:val="0"/>
                      <w:szCs w:val="21"/>
                      <w:lang w:bidi="ar"/>
                    </w:rPr>
                    <w:t>类型</w:t>
                  </w:r>
                </w:p>
              </w:tc>
              <w:tc>
                <w:tcPr>
                  <w:tcW w:w="2115" w:type="dxa"/>
                  <w:gridSpan w:val="2"/>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rStyle w:val="53"/>
                      <w:rFonts w:hint="default" w:ascii="Times New Roman" w:hAnsi="Times New Roman" w:cs="Times New Roman"/>
                      <w:b/>
                      <w:bCs/>
                      <w:lang w:bidi="ar"/>
                    </w:rPr>
                    <w:t>排放口地理坐标</w:t>
                  </w:r>
                </w:p>
              </w:tc>
              <w:tc>
                <w:tcPr>
                  <w:tcW w:w="1177" w:type="dxa"/>
                  <w:vMerge w:val="restart"/>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53"/>
                      <w:rFonts w:hint="default" w:ascii="Times New Roman" w:hAnsi="Times New Roman" w:cs="Times New Roman"/>
                      <w:b/>
                      <w:bCs/>
                      <w:lang w:bidi="ar"/>
                    </w:rPr>
                  </w:pPr>
                  <w:r>
                    <w:rPr>
                      <w:rStyle w:val="53"/>
                      <w:rFonts w:hint="default" w:ascii="Times New Roman" w:hAnsi="Times New Roman" w:cs="Times New Roman"/>
                      <w:b/>
                      <w:bCs/>
                      <w:lang w:bidi="ar"/>
                    </w:rPr>
                    <w:t>受纳污水</w:t>
                  </w:r>
                </w:p>
                <w:p>
                  <w:pPr>
                    <w:widowControl/>
                    <w:jc w:val="center"/>
                    <w:textAlignment w:val="center"/>
                    <w:rPr>
                      <w:b/>
                      <w:bCs/>
                      <w:color w:val="000000"/>
                      <w:szCs w:val="21"/>
                    </w:rPr>
                  </w:pPr>
                  <w:r>
                    <w:rPr>
                      <w:rStyle w:val="53"/>
                      <w:rFonts w:hint="default" w:ascii="Times New Roman" w:hAnsi="Times New Roman" w:cs="Times New Roman"/>
                      <w:b/>
                      <w:bCs/>
                      <w:lang w:bidi="ar"/>
                    </w:rPr>
                    <w:t>处理厂</w:t>
                  </w:r>
                </w:p>
              </w:tc>
              <w:tc>
                <w:tcPr>
                  <w:tcW w:w="2918" w:type="dxa"/>
                  <w:gridSpan w:val="2"/>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color w:val="000000"/>
                      <w:szCs w:val="21"/>
                    </w:rPr>
                  </w:pPr>
                  <w:r>
                    <w:rPr>
                      <w:rStyle w:val="55"/>
                      <w:rFonts w:hint="default" w:ascii="Times New Roman" w:hAnsi="Times New Roman" w:cs="Times New Roman"/>
                      <w:b/>
                      <w:bCs/>
                      <w:sz w:val="21"/>
                      <w:szCs w:val="21"/>
                      <w:lang w:bidi="ar"/>
                    </w:rPr>
                    <w:t>污染物排放标准</w:t>
                  </w:r>
                </w:p>
              </w:tc>
              <w:tc>
                <w:tcPr>
                  <w:tcW w:w="3736" w:type="dxa"/>
                  <w:gridSpan w:val="3"/>
                  <w:tcBorders>
                    <w:left w:val="single" w:color="000000" w:sz="4" w:space="0"/>
                    <w:bottom w:val="single" w:color="000000" w:sz="4" w:space="0"/>
                  </w:tcBorders>
                  <w:noWrap/>
                  <w:tcMar>
                    <w:top w:w="12" w:type="dxa"/>
                    <w:left w:w="12" w:type="dxa"/>
                    <w:right w:w="12" w:type="dxa"/>
                  </w:tcMar>
                  <w:vAlign w:val="center"/>
                </w:tcPr>
                <w:p>
                  <w:pPr>
                    <w:widowControl/>
                    <w:jc w:val="center"/>
                    <w:textAlignment w:val="center"/>
                    <w:rPr>
                      <w:b/>
                      <w:bCs/>
                      <w:color w:val="000000"/>
                      <w:szCs w:val="21"/>
                    </w:rPr>
                  </w:pPr>
                  <w:r>
                    <w:rPr>
                      <w:rStyle w:val="55"/>
                      <w:rFonts w:hint="default" w:ascii="Times New Roman" w:hAnsi="Times New Roman" w:cs="Times New Roman"/>
                      <w:b/>
                      <w:bCs/>
                      <w:sz w:val="21"/>
                      <w:szCs w:val="21"/>
                      <w:lang w:bidi="ar"/>
                    </w:rPr>
                    <w:t>监测要求</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continue"/>
                  <w:tcBorders>
                    <w:top w:val="single" w:color="000000" w:sz="4" w:space="0"/>
                    <w:bottom w:val="single" w:color="000000" w:sz="4" w:space="0"/>
                    <w:right w:val="single" w:color="000000" w:sz="4" w:space="0"/>
                  </w:tcBorders>
                  <w:tcMar>
                    <w:top w:w="12" w:type="dxa"/>
                    <w:left w:w="12" w:type="dxa"/>
                    <w:right w:w="12" w:type="dxa"/>
                  </w:tcMar>
                  <w:vAlign w:val="center"/>
                </w:tcPr>
                <w:p>
                  <w:pPr>
                    <w:jc w:val="center"/>
                    <w:rPr>
                      <w:b/>
                      <w:bCs/>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b/>
                      <w:bCs/>
                      <w:color w:val="000000"/>
                      <w:szCs w:val="21"/>
                    </w:rPr>
                  </w:pPr>
                </w:p>
              </w:tc>
              <w:tc>
                <w:tcPr>
                  <w:tcW w:w="10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b/>
                      <w:bCs/>
                      <w:color w:val="000000"/>
                      <w:szCs w:val="21"/>
                    </w:rPr>
                  </w:pPr>
                </w:p>
              </w:tc>
              <w:tc>
                <w:tcPr>
                  <w:tcW w:w="92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b/>
                      <w:bCs/>
                      <w:color w:val="000000"/>
                      <w:szCs w:val="21"/>
                    </w:rPr>
                  </w:pPr>
                </w:p>
              </w:tc>
              <w:tc>
                <w:tcPr>
                  <w:tcW w:w="10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rStyle w:val="53"/>
                      <w:rFonts w:hint="default" w:ascii="Times New Roman" w:hAnsi="Times New Roman" w:cs="Times New Roman"/>
                      <w:b/>
                      <w:bCs/>
                      <w:lang w:bidi="ar"/>
                    </w:rPr>
                    <w:t>经度</w:t>
                  </w:r>
                </w:p>
              </w:tc>
              <w:tc>
                <w:tcPr>
                  <w:tcW w:w="105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rStyle w:val="53"/>
                      <w:rFonts w:hint="default" w:ascii="Times New Roman" w:hAnsi="Times New Roman" w:cs="Times New Roman"/>
                      <w:b/>
                      <w:bCs/>
                      <w:lang w:bidi="ar"/>
                    </w:rPr>
                    <w:t>纬度</w:t>
                  </w:r>
                </w:p>
              </w:tc>
              <w:tc>
                <w:tcPr>
                  <w:tcW w:w="117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b/>
                      <w:bCs/>
                      <w:color w:val="000000"/>
                      <w:szCs w:val="21"/>
                    </w:rPr>
                  </w:pPr>
                </w:p>
              </w:tc>
              <w:tc>
                <w:tcPr>
                  <w:tcW w:w="1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rStyle w:val="53"/>
                      <w:rFonts w:hint="default" w:ascii="Times New Roman" w:hAnsi="Times New Roman" w:cs="Times New Roman"/>
                      <w:b/>
                      <w:bCs/>
                      <w:lang w:bidi="ar"/>
                    </w:rPr>
                    <w:t>污染物种类</w:t>
                  </w:r>
                </w:p>
              </w:tc>
              <w:tc>
                <w:tcPr>
                  <w:tcW w:w="11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rStyle w:val="53"/>
                      <w:rFonts w:hint="default" w:ascii="Times New Roman" w:hAnsi="Times New Roman" w:cs="Times New Roman"/>
                      <w:b/>
                      <w:bCs/>
                      <w:lang w:bidi="ar"/>
                    </w:rPr>
                    <w:t>排放标准</w:t>
                  </w:r>
                </w:p>
              </w:tc>
              <w:tc>
                <w:tcPr>
                  <w:tcW w:w="91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color w:val="000000"/>
                      <w:szCs w:val="21"/>
                    </w:rPr>
                  </w:pPr>
                  <w:r>
                    <w:rPr>
                      <w:rStyle w:val="53"/>
                      <w:rFonts w:hint="default" w:ascii="Times New Roman" w:hAnsi="Times New Roman" w:cs="Times New Roman"/>
                      <w:b/>
                      <w:bCs/>
                      <w:lang w:bidi="ar"/>
                    </w:rPr>
                    <w:t>监测点位</w:t>
                  </w: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color w:val="000000"/>
                      <w:szCs w:val="21"/>
                    </w:rPr>
                  </w:pPr>
                  <w:r>
                    <w:rPr>
                      <w:rStyle w:val="53"/>
                      <w:rFonts w:hint="default" w:ascii="Times New Roman" w:hAnsi="Times New Roman" w:cs="Times New Roman"/>
                      <w:b/>
                      <w:bCs/>
                      <w:lang w:bidi="ar"/>
                    </w:rPr>
                    <w:t>监测因子</w:t>
                  </w:r>
                </w:p>
              </w:tc>
              <w:tc>
                <w:tcPr>
                  <w:tcW w:w="1051" w:type="dxa"/>
                  <w:tcBorders>
                    <w:top w:val="single" w:color="000000" w:sz="4" w:space="0"/>
                    <w:left w:val="single" w:color="000000" w:sz="4" w:space="0"/>
                    <w:bottom w:val="single" w:color="000000" w:sz="4" w:space="0"/>
                  </w:tcBorders>
                  <w:noWrap/>
                  <w:tcMar>
                    <w:top w:w="12" w:type="dxa"/>
                    <w:left w:w="12" w:type="dxa"/>
                    <w:right w:w="12" w:type="dxa"/>
                  </w:tcMar>
                  <w:vAlign w:val="center"/>
                </w:tcPr>
                <w:p>
                  <w:pPr>
                    <w:widowControl/>
                    <w:jc w:val="center"/>
                    <w:textAlignment w:val="center"/>
                    <w:rPr>
                      <w:b/>
                      <w:bCs/>
                      <w:color w:val="000000"/>
                      <w:szCs w:val="21"/>
                    </w:rPr>
                  </w:pPr>
                  <w:r>
                    <w:rPr>
                      <w:rStyle w:val="53"/>
                      <w:rFonts w:hint="default" w:ascii="Times New Roman" w:hAnsi="Times New Roman" w:cs="Times New Roman"/>
                      <w:b/>
                      <w:bCs/>
                      <w:lang w:bidi="ar"/>
                    </w:rPr>
                    <w:t>监测频次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restart"/>
                  <w:tcBorders>
                    <w:top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1</w:t>
                  </w:r>
                </w:p>
              </w:tc>
              <w:tc>
                <w:tcPr>
                  <w:tcW w:w="926"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DW001</w:t>
                  </w:r>
                </w:p>
              </w:tc>
              <w:tc>
                <w:tcPr>
                  <w:tcW w:w="1091"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Style w:val="53"/>
                      <w:rFonts w:hint="default" w:ascii="Times New Roman" w:hAnsi="Times New Roman" w:cs="Times New Roman"/>
                      <w:lang w:bidi="ar"/>
                    </w:rPr>
                    <w:t>厂区污水总排口</w:t>
                  </w:r>
                </w:p>
              </w:tc>
              <w:tc>
                <w:tcPr>
                  <w:tcW w:w="924"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color w:val="000000"/>
                      <w:szCs w:val="21"/>
                    </w:rPr>
                  </w:pPr>
                  <w:r>
                    <w:rPr>
                      <w:rFonts w:hint="eastAsia"/>
                      <w:color w:val="000000"/>
                      <w:szCs w:val="21"/>
                      <w:lang w:eastAsia="zh-CN"/>
                    </w:rPr>
                    <w:t>一般排放口</w:t>
                  </w:r>
                </w:p>
              </w:tc>
              <w:tc>
                <w:tcPr>
                  <w:tcW w:w="1065"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117.085748</w:t>
                  </w:r>
                </w:p>
              </w:tc>
              <w:tc>
                <w:tcPr>
                  <w:tcW w:w="1050"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31.864897</w:t>
                  </w:r>
                </w:p>
              </w:tc>
              <w:tc>
                <w:tcPr>
                  <w:tcW w:w="1177"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Style w:val="53"/>
                      <w:rFonts w:hint="default" w:ascii="Times New Roman" w:hAnsi="Times New Roman" w:cs="Times New Roman"/>
                      <w:lang w:bidi="ar"/>
                    </w:rPr>
                    <w:t>西部组团污水处理厂</w:t>
                  </w:r>
                </w:p>
              </w:tc>
              <w:tc>
                <w:tcPr>
                  <w:tcW w:w="1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流量</w:t>
                  </w:r>
                </w:p>
              </w:tc>
              <w:tc>
                <w:tcPr>
                  <w:tcW w:w="11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w:t>
                  </w:r>
                </w:p>
              </w:tc>
              <w:tc>
                <w:tcPr>
                  <w:tcW w:w="919"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Style w:val="55"/>
                      <w:rFonts w:hint="default" w:ascii="Times New Roman" w:hAnsi="Times New Roman" w:cs="Times New Roman"/>
                      <w:sz w:val="21"/>
                      <w:szCs w:val="21"/>
                      <w:lang w:bidi="ar"/>
                    </w:rPr>
                  </w:pPr>
                  <w:r>
                    <w:rPr>
                      <w:rStyle w:val="55"/>
                      <w:rFonts w:hint="default" w:ascii="Times New Roman" w:hAnsi="Times New Roman" w:cs="Times New Roman"/>
                      <w:sz w:val="21"/>
                      <w:szCs w:val="21"/>
                      <w:lang w:bidi="ar"/>
                    </w:rPr>
                    <w:t>污水</w:t>
                  </w:r>
                </w:p>
                <w:p>
                  <w:pPr>
                    <w:widowControl/>
                    <w:jc w:val="center"/>
                    <w:textAlignment w:val="center"/>
                    <w:rPr>
                      <w:rStyle w:val="55"/>
                      <w:rFonts w:hint="default" w:ascii="Times New Roman" w:hAnsi="Times New Roman" w:cs="Times New Roman"/>
                      <w:sz w:val="21"/>
                      <w:szCs w:val="21"/>
                      <w:lang w:bidi="ar"/>
                    </w:rPr>
                  </w:pPr>
                  <w:r>
                    <w:rPr>
                      <w:rStyle w:val="55"/>
                      <w:rFonts w:hint="default" w:ascii="Times New Roman" w:hAnsi="Times New Roman" w:cs="Times New Roman"/>
                      <w:sz w:val="21"/>
                      <w:szCs w:val="21"/>
                      <w:lang w:bidi="ar"/>
                    </w:rPr>
                    <w:t>总排口</w:t>
                  </w:r>
                </w:p>
              </w:tc>
              <w:tc>
                <w:tcPr>
                  <w:tcW w:w="17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流量</w:t>
                  </w:r>
                </w:p>
              </w:tc>
              <w:tc>
                <w:tcPr>
                  <w:tcW w:w="1051" w:type="dxa"/>
                  <w:tcBorders>
                    <w:top w:val="single" w:color="000000" w:sz="4" w:space="0"/>
                    <w:left w:val="single" w:color="000000" w:sz="4" w:space="0"/>
                    <w:bottom w:val="single" w:color="000000" w:sz="4" w:space="0"/>
                  </w:tcBorders>
                  <w:noWrap/>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continue"/>
                  <w:tcBorders>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926"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09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Style w:val="53"/>
                      <w:rFonts w:hint="default" w:ascii="Times New Roman" w:hAnsi="Times New Roman" w:cs="Times New Roman"/>
                      <w:lang w:bidi="ar"/>
                    </w:rPr>
                  </w:pPr>
                </w:p>
              </w:tc>
              <w:tc>
                <w:tcPr>
                  <w:tcW w:w="924"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6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050"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177"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Style w:val="53"/>
                      <w:rFonts w:hint="default" w:ascii="Times New Roman" w:hAnsi="Times New Roman" w:cs="Times New Roman"/>
                      <w:lang w:bidi="ar"/>
                    </w:rPr>
                  </w:pPr>
                </w:p>
              </w:tc>
              <w:tc>
                <w:tcPr>
                  <w:tcW w:w="1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pH</w:t>
                  </w:r>
                </w:p>
              </w:tc>
              <w:tc>
                <w:tcPr>
                  <w:tcW w:w="11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6~9</w:t>
                  </w:r>
                </w:p>
              </w:tc>
              <w:tc>
                <w:tcPr>
                  <w:tcW w:w="919"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rPr>
                      <w:rStyle w:val="55"/>
                      <w:rFonts w:hint="default" w:ascii="Times New Roman" w:hAnsi="Times New Roman" w:cs="Times New Roman"/>
                      <w:sz w:val="21"/>
                      <w:szCs w:val="21"/>
                      <w:lang w:bidi="ar"/>
                    </w:rPr>
                  </w:pPr>
                </w:p>
              </w:tc>
              <w:tc>
                <w:tcPr>
                  <w:tcW w:w="17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pH</w:t>
                  </w:r>
                </w:p>
              </w:tc>
              <w:tc>
                <w:tcPr>
                  <w:tcW w:w="1051" w:type="dxa"/>
                  <w:tcBorders>
                    <w:top w:val="single" w:color="000000" w:sz="4" w:space="0"/>
                    <w:left w:val="single" w:color="000000" w:sz="4" w:space="0"/>
                    <w:bottom w:val="single" w:color="000000" w:sz="4" w:space="0"/>
                  </w:tcBorders>
                  <w:noWrap/>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1次/年</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continue"/>
                  <w:tcBorders>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926"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09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Style w:val="53"/>
                      <w:rFonts w:hint="default" w:ascii="Times New Roman" w:hAnsi="Times New Roman" w:cs="Times New Roman"/>
                      <w:lang w:bidi="ar"/>
                    </w:rPr>
                  </w:pPr>
                </w:p>
              </w:tc>
              <w:tc>
                <w:tcPr>
                  <w:tcW w:w="924"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6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050"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177"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Style w:val="53"/>
                      <w:rFonts w:hint="default" w:ascii="Times New Roman" w:hAnsi="Times New Roman" w:cs="Times New Roman"/>
                      <w:lang w:bidi="ar"/>
                    </w:rPr>
                  </w:pPr>
                </w:p>
              </w:tc>
              <w:tc>
                <w:tcPr>
                  <w:tcW w:w="1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rStyle w:val="53"/>
                      <w:rFonts w:hint="default" w:ascii="Times New Roman" w:hAnsi="Times New Roman" w:cs="Times New Roman"/>
                      <w:lang w:bidi="ar"/>
                    </w:rPr>
                    <w:t>化学需氧量（COD）</w:t>
                  </w:r>
                </w:p>
              </w:tc>
              <w:tc>
                <w:tcPr>
                  <w:tcW w:w="11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350mg/L</w:t>
                  </w:r>
                </w:p>
              </w:tc>
              <w:tc>
                <w:tcPr>
                  <w:tcW w:w="919"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rPr>
                      <w:rStyle w:val="55"/>
                      <w:rFonts w:hint="default" w:ascii="Times New Roman" w:hAnsi="Times New Roman" w:cs="Times New Roman"/>
                      <w:sz w:val="21"/>
                      <w:szCs w:val="21"/>
                      <w:lang w:bidi="ar"/>
                    </w:rPr>
                  </w:pPr>
                </w:p>
              </w:tc>
              <w:tc>
                <w:tcPr>
                  <w:tcW w:w="17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rStyle w:val="53"/>
                      <w:rFonts w:hint="default" w:ascii="Times New Roman" w:hAnsi="Times New Roman" w:cs="Times New Roman"/>
                      <w:lang w:bidi="ar"/>
                    </w:rPr>
                    <w:t>化学需氧量（COD）</w:t>
                  </w:r>
                </w:p>
              </w:tc>
              <w:tc>
                <w:tcPr>
                  <w:tcW w:w="1051" w:type="dxa"/>
                  <w:tcBorders>
                    <w:top w:val="single" w:color="000000" w:sz="4" w:space="0"/>
                    <w:left w:val="single" w:color="000000" w:sz="4" w:space="0"/>
                    <w:bottom w:val="single" w:color="000000" w:sz="4" w:space="0"/>
                  </w:tcBorders>
                  <w:noWrap/>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1次/年</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continue"/>
                  <w:tcBorders>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926"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09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Style w:val="53"/>
                      <w:rFonts w:hint="default" w:ascii="Times New Roman" w:hAnsi="Times New Roman" w:cs="Times New Roman"/>
                      <w:lang w:bidi="ar"/>
                    </w:rPr>
                  </w:pPr>
                </w:p>
              </w:tc>
              <w:tc>
                <w:tcPr>
                  <w:tcW w:w="924"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6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050"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177"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Style w:val="53"/>
                      <w:rFonts w:hint="default" w:ascii="Times New Roman" w:hAnsi="Times New Roman" w:cs="Times New Roman"/>
                      <w:lang w:bidi="ar"/>
                    </w:rPr>
                  </w:pPr>
                </w:p>
              </w:tc>
              <w:tc>
                <w:tcPr>
                  <w:tcW w:w="1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53"/>
                      <w:rFonts w:hint="default" w:ascii="Times New Roman" w:hAnsi="Times New Roman" w:cs="Times New Roman"/>
                      <w:lang w:bidi="ar"/>
                    </w:rPr>
                  </w:pPr>
                  <w:r>
                    <w:rPr>
                      <w:rStyle w:val="53"/>
                      <w:rFonts w:hint="default" w:ascii="Times New Roman" w:hAnsi="Times New Roman" w:cs="Times New Roman"/>
                      <w:lang w:bidi="ar"/>
                    </w:rPr>
                    <w:t>五日生化需氧量（BOD</w:t>
                  </w:r>
                  <w:r>
                    <w:rPr>
                      <w:rStyle w:val="53"/>
                      <w:rFonts w:hint="default" w:ascii="Times New Roman" w:hAnsi="Times New Roman" w:cs="Times New Roman"/>
                      <w:vertAlign w:val="subscript"/>
                      <w:lang w:bidi="ar"/>
                    </w:rPr>
                    <w:t>5</w:t>
                  </w:r>
                  <w:r>
                    <w:rPr>
                      <w:rStyle w:val="53"/>
                      <w:rFonts w:hint="default" w:ascii="Times New Roman" w:hAnsi="Times New Roman" w:cs="Times New Roman"/>
                      <w:lang w:bidi="ar"/>
                    </w:rPr>
                    <w:t>）</w:t>
                  </w:r>
                </w:p>
              </w:tc>
              <w:tc>
                <w:tcPr>
                  <w:tcW w:w="11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180mg/L</w:t>
                  </w:r>
                </w:p>
              </w:tc>
              <w:tc>
                <w:tcPr>
                  <w:tcW w:w="919"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rPr>
                      <w:rStyle w:val="55"/>
                      <w:rFonts w:hint="default" w:ascii="Times New Roman" w:hAnsi="Times New Roman" w:cs="Times New Roman"/>
                      <w:sz w:val="21"/>
                      <w:szCs w:val="21"/>
                      <w:lang w:bidi="ar"/>
                    </w:rPr>
                  </w:pPr>
                </w:p>
              </w:tc>
              <w:tc>
                <w:tcPr>
                  <w:tcW w:w="17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53"/>
                      <w:rFonts w:hint="default" w:ascii="Times New Roman" w:hAnsi="Times New Roman" w:cs="Times New Roman"/>
                      <w:highlight w:val="yellow"/>
                      <w:lang w:bidi="ar"/>
                    </w:rPr>
                  </w:pPr>
                  <w:r>
                    <w:rPr>
                      <w:rStyle w:val="53"/>
                      <w:rFonts w:hint="default" w:ascii="Times New Roman" w:hAnsi="Times New Roman" w:cs="Times New Roman"/>
                      <w:lang w:bidi="ar"/>
                    </w:rPr>
                    <w:t>五日生化需氧量（BOD</w:t>
                  </w:r>
                  <w:r>
                    <w:rPr>
                      <w:rStyle w:val="53"/>
                      <w:rFonts w:hint="default" w:ascii="Times New Roman" w:hAnsi="Times New Roman" w:cs="Times New Roman"/>
                      <w:vertAlign w:val="subscript"/>
                      <w:lang w:bidi="ar"/>
                    </w:rPr>
                    <w:t>5</w:t>
                  </w:r>
                  <w:r>
                    <w:rPr>
                      <w:rStyle w:val="53"/>
                      <w:rFonts w:hint="default" w:ascii="Times New Roman" w:hAnsi="Times New Roman" w:cs="Times New Roman"/>
                      <w:lang w:bidi="ar"/>
                    </w:rPr>
                    <w:t>）</w:t>
                  </w:r>
                </w:p>
              </w:tc>
              <w:tc>
                <w:tcPr>
                  <w:tcW w:w="1051" w:type="dxa"/>
                  <w:tcBorders>
                    <w:top w:val="single" w:color="000000" w:sz="4" w:space="0"/>
                    <w:left w:val="single" w:color="000000" w:sz="4" w:space="0"/>
                    <w:bottom w:val="single" w:color="000000" w:sz="4" w:space="0"/>
                  </w:tcBorders>
                  <w:noWrap/>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1次/年</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continue"/>
                  <w:tcBorders>
                    <w:right w:val="single" w:color="000000" w:sz="4" w:space="0"/>
                  </w:tcBorders>
                  <w:tcMar>
                    <w:top w:w="12" w:type="dxa"/>
                    <w:left w:w="12" w:type="dxa"/>
                    <w:right w:w="12" w:type="dxa"/>
                  </w:tcMar>
                  <w:vAlign w:val="center"/>
                </w:tcPr>
                <w:p>
                  <w:pPr>
                    <w:jc w:val="center"/>
                    <w:rPr>
                      <w:color w:val="000000"/>
                      <w:szCs w:val="21"/>
                    </w:rPr>
                  </w:pPr>
                </w:p>
              </w:tc>
              <w:tc>
                <w:tcPr>
                  <w:tcW w:w="926"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91"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924"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65"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50"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177"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Style w:val="53"/>
                      <w:rFonts w:hint="default" w:ascii="Times New Roman" w:hAnsi="Times New Roman" w:cs="Times New Roman"/>
                      <w:lang w:bidi="ar"/>
                    </w:rPr>
                    <w:t>悬浮物（SS）</w:t>
                  </w:r>
                </w:p>
              </w:tc>
              <w:tc>
                <w:tcPr>
                  <w:tcW w:w="11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250mg/L</w:t>
                  </w:r>
                </w:p>
              </w:tc>
              <w:tc>
                <w:tcPr>
                  <w:tcW w:w="919" w:type="dxa"/>
                  <w:vMerge w:val="continue"/>
                  <w:tcBorders>
                    <w:left w:val="single" w:color="000000" w:sz="4" w:space="0"/>
                    <w:right w:val="single" w:color="000000" w:sz="4" w:space="0"/>
                  </w:tcBorders>
                  <w:noWrap/>
                  <w:tcMar>
                    <w:top w:w="12" w:type="dxa"/>
                    <w:left w:w="12" w:type="dxa"/>
                    <w:right w:w="12" w:type="dxa"/>
                  </w:tcMar>
                  <w:vAlign w:val="center"/>
                </w:tcPr>
                <w:p>
                  <w:pPr>
                    <w:jc w:val="center"/>
                    <w:rPr>
                      <w:color w:val="000000"/>
                      <w:szCs w:val="21"/>
                    </w:rPr>
                  </w:pPr>
                </w:p>
              </w:tc>
              <w:tc>
                <w:tcPr>
                  <w:tcW w:w="17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highlight w:val="yellow"/>
                    </w:rPr>
                  </w:pPr>
                  <w:r>
                    <w:rPr>
                      <w:rStyle w:val="53"/>
                      <w:rFonts w:hint="default" w:ascii="Times New Roman" w:hAnsi="Times New Roman" w:cs="Times New Roman"/>
                      <w:lang w:bidi="ar"/>
                    </w:rPr>
                    <w:t>悬浮物（SS）</w:t>
                  </w:r>
                </w:p>
              </w:tc>
              <w:tc>
                <w:tcPr>
                  <w:tcW w:w="1051" w:type="dxa"/>
                  <w:tcBorders>
                    <w:top w:val="single" w:color="000000" w:sz="4" w:space="0"/>
                    <w:left w:val="single" w:color="000000" w:sz="4" w:space="0"/>
                    <w:bottom w:val="single" w:color="000000" w:sz="4" w:space="0"/>
                  </w:tcBorders>
                  <w:noWrap/>
                  <w:tcMar>
                    <w:top w:w="12" w:type="dxa"/>
                    <w:left w:w="12" w:type="dxa"/>
                    <w:right w:w="12" w:type="dxa"/>
                  </w:tcMar>
                  <w:vAlign w:val="center"/>
                </w:tcPr>
                <w:p>
                  <w:pPr>
                    <w:jc w:val="center"/>
                    <w:rPr>
                      <w:color w:val="000000"/>
                      <w:szCs w:val="21"/>
                    </w:rPr>
                  </w:pPr>
                  <w:r>
                    <w:rPr>
                      <w:color w:val="000000"/>
                      <w:kern w:val="0"/>
                      <w:szCs w:val="21"/>
                      <w:lang w:bidi="ar"/>
                    </w:rPr>
                    <w:t>1次/年</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continue"/>
                  <w:tcBorders>
                    <w:right w:val="single" w:color="000000" w:sz="4" w:space="0"/>
                  </w:tcBorders>
                  <w:tcMar>
                    <w:top w:w="12" w:type="dxa"/>
                    <w:left w:w="12" w:type="dxa"/>
                    <w:right w:w="12" w:type="dxa"/>
                  </w:tcMar>
                  <w:vAlign w:val="center"/>
                </w:tcPr>
                <w:p>
                  <w:pPr>
                    <w:jc w:val="center"/>
                    <w:rPr>
                      <w:color w:val="000000"/>
                      <w:szCs w:val="21"/>
                    </w:rPr>
                  </w:pPr>
                </w:p>
              </w:tc>
              <w:tc>
                <w:tcPr>
                  <w:tcW w:w="926"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91"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924"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65"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50"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177"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氨氮（NH</w:t>
                  </w:r>
                  <w:r>
                    <w:rPr>
                      <w:color w:val="000000"/>
                      <w:szCs w:val="21"/>
                      <w:vertAlign w:val="subscript"/>
                    </w:rPr>
                    <w:t>3</w:t>
                  </w:r>
                  <w:r>
                    <w:rPr>
                      <w:color w:val="000000"/>
                      <w:szCs w:val="21"/>
                    </w:rPr>
                    <w:t>-N）</w:t>
                  </w:r>
                </w:p>
              </w:tc>
              <w:tc>
                <w:tcPr>
                  <w:tcW w:w="11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35mg/L</w:t>
                  </w:r>
                </w:p>
              </w:tc>
              <w:tc>
                <w:tcPr>
                  <w:tcW w:w="919" w:type="dxa"/>
                  <w:vMerge w:val="continue"/>
                  <w:tcBorders>
                    <w:left w:val="single" w:color="000000" w:sz="4" w:space="0"/>
                    <w:right w:val="single" w:color="000000" w:sz="4" w:space="0"/>
                  </w:tcBorders>
                  <w:noWrap/>
                  <w:tcMar>
                    <w:top w:w="12" w:type="dxa"/>
                    <w:left w:w="12" w:type="dxa"/>
                    <w:right w:w="12" w:type="dxa"/>
                  </w:tcMar>
                  <w:vAlign w:val="center"/>
                </w:tcPr>
                <w:p>
                  <w:pPr>
                    <w:jc w:val="center"/>
                    <w:rPr>
                      <w:color w:val="000000"/>
                      <w:szCs w:val="21"/>
                    </w:rPr>
                  </w:pPr>
                </w:p>
              </w:tc>
              <w:tc>
                <w:tcPr>
                  <w:tcW w:w="17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氨氮（NH</w:t>
                  </w:r>
                  <w:r>
                    <w:rPr>
                      <w:color w:val="000000"/>
                      <w:szCs w:val="21"/>
                      <w:vertAlign w:val="subscript"/>
                    </w:rPr>
                    <w:t>3</w:t>
                  </w:r>
                  <w:r>
                    <w:rPr>
                      <w:color w:val="000000"/>
                      <w:szCs w:val="21"/>
                    </w:rPr>
                    <w:t>-N）</w:t>
                  </w:r>
                </w:p>
              </w:tc>
              <w:tc>
                <w:tcPr>
                  <w:tcW w:w="1051" w:type="dxa"/>
                  <w:tcBorders>
                    <w:top w:val="single" w:color="000000" w:sz="4" w:space="0"/>
                    <w:left w:val="single" w:color="000000" w:sz="4" w:space="0"/>
                    <w:bottom w:val="single" w:color="000000" w:sz="4" w:space="0"/>
                  </w:tcBorders>
                  <w:noWrap/>
                  <w:tcMar>
                    <w:top w:w="12" w:type="dxa"/>
                    <w:left w:w="12" w:type="dxa"/>
                    <w:right w:w="12" w:type="dxa"/>
                  </w:tcMar>
                  <w:vAlign w:val="center"/>
                </w:tcPr>
                <w:p>
                  <w:pPr>
                    <w:jc w:val="center"/>
                    <w:rPr>
                      <w:color w:val="000000"/>
                      <w:szCs w:val="21"/>
                    </w:rPr>
                  </w:pPr>
                  <w:r>
                    <w:rPr>
                      <w:color w:val="000000"/>
                      <w:kern w:val="0"/>
                      <w:szCs w:val="21"/>
                      <w:lang w:bidi="ar"/>
                    </w:rPr>
                    <w:t>1次/年</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continue"/>
                  <w:tcBorders>
                    <w:right w:val="single" w:color="000000" w:sz="4" w:space="0"/>
                  </w:tcBorders>
                  <w:tcMar>
                    <w:top w:w="12" w:type="dxa"/>
                    <w:left w:w="12" w:type="dxa"/>
                    <w:right w:w="12" w:type="dxa"/>
                  </w:tcMar>
                  <w:vAlign w:val="center"/>
                </w:tcPr>
                <w:p>
                  <w:pPr>
                    <w:jc w:val="center"/>
                    <w:rPr>
                      <w:color w:val="000000"/>
                      <w:szCs w:val="21"/>
                    </w:rPr>
                  </w:pPr>
                </w:p>
              </w:tc>
              <w:tc>
                <w:tcPr>
                  <w:tcW w:w="926"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91"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924"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65"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50"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177"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总磷（TP）</w:t>
                  </w:r>
                </w:p>
              </w:tc>
              <w:tc>
                <w:tcPr>
                  <w:tcW w:w="11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6mg/L</w:t>
                  </w:r>
                </w:p>
              </w:tc>
              <w:tc>
                <w:tcPr>
                  <w:tcW w:w="919" w:type="dxa"/>
                  <w:vMerge w:val="continue"/>
                  <w:tcBorders>
                    <w:left w:val="single" w:color="000000" w:sz="4" w:space="0"/>
                    <w:right w:val="single" w:color="000000" w:sz="4" w:space="0"/>
                  </w:tcBorders>
                  <w:noWrap/>
                  <w:tcMar>
                    <w:top w:w="12" w:type="dxa"/>
                    <w:left w:w="12" w:type="dxa"/>
                    <w:right w:w="12" w:type="dxa"/>
                  </w:tcMar>
                  <w:vAlign w:val="center"/>
                </w:tcPr>
                <w:p>
                  <w:pPr>
                    <w:jc w:val="center"/>
                    <w:rPr>
                      <w:color w:val="000000"/>
                      <w:szCs w:val="21"/>
                    </w:rPr>
                  </w:pPr>
                </w:p>
              </w:tc>
              <w:tc>
                <w:tcPr>
                  <w:tcW w:w="17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总磷（TP）</w:t>
                  </w:r>
                </w:p>
              </w:tc>
              <w:tc>
                <w:tcPr>
                  <w:tcW w:w="1051" w:type="dxa"/>
                  <w:tcBorders>
                    <w:top w:val="single" w:color="000000" w:sz="4" w:space="0"/>
                    <w:left w:val="single" w:color="000000" w:sz="4" w:space="0"/>
                    <w:bottom w:val="single" w:color="000000" w:sz="4" w:space="0"/>
                  </w:tcBorders>
                  <w:noWrap/>
                  <w:tcMar>
                    <w:top w:w="12" w:type="dxa"/>
                    <w:left w:w="12" w:type="dxa"/>
                    <w:right w:w="12" w:type="dxa"/>
                  </w:tcMar>
                  <w:vAlign w:val="center"/>
                </w:tcPr>
                <w:p>
                  <w:pPr>
                    <w:jc w:val="center"/>
                    <w:rPr>
                      <w:color w:val="000000"/>
                      <w:szCs w:val="21"/>
                    </w:rPr>
                  </w:pPr>
                  <w:r>
                    <w:rPr>
                      <w:color w:val="000000"/>
                      <w:kern w:val="0"/>
                      <w:szCs w:val="21"/>
                      <w:lang w:bidi="ar"/>
                    </w:rPr>
                    <w:t>1次/年</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jc w:val="center"/>
              </w:trPr>
              <w:tc>
                <w:tcPr>
                  <w:tcW w:w="488" w:type="dxa"/>
                  <w:vMerge w:val="continue"/>
                  <w:tcBorders>
                    <w:right w:val="single" w:color="000000" w:sz="4" w:space="0"/>
                  </w:tcBorders>
                  <w:tcMar>
                    <w:top w:w="12" w:type="dxa"/>
                    <w:left w:w="12" w:type="dxa"/>
                    <w:right w:w="12" w:type="dxa"/>
                  </w:tcMar>
                  <w:vAlign w:val="center"/>
                </w:tcPr>
                <w:p>
                  <w:pPr>
                    <w:jc w:val="center"/>
                    <w:rPr>
                      <w:color w:val="000000"/>
                      <w:szCs w:val="21"/>
                    </w:rPr>
                  </w:pPr>
                </w:p>
              </w:tc>
              <w:tc>
                <w:tcPr>
                  <w:tcW w:w="926"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91"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924"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65"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050"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177" w:type="dxa"/>
                  <w:vMerge w:val="continue"/>
                  <w:tcBorders>
                    <w:left w:val="single" w:color="000000" w:sz="4" w:space="0"/>
                    <w:right w:val="single" w:color="000000" w:sz="4" w:space="0"/>
                  </w:tcBorders>
                  <w:tcMar>
                    <w:top w:w="12" w:type="dxa"/>
                    <w:left w:w="12" w:type="dxa"/>
                    <w:right w:w="12" w:type="dxa"/>
                  </w:tcMar>
                  <w:vAlign w:val="center"/>
                </w:tcPr>
                <w:p>
                  <w:pPr>
                    <w:jc w:val="center"/>
                    <w:rPr>
                      <w:color w:val="000000"/>
                      <w:szCs w:val="21"/>
                    </w:rPr>
                  </w:pPr>
                </w:p>
              </w:tc>
              <w:tc>
                <w:tcPr>
                  <w:tcW w:w="1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总氮（TN）</w:t>
                  </w:r>
                </w:p>
              </w:tc>
              <w:tc>
                <w:tcPr>
                  <w:tcW w:w="11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50mg/L</w:t>
                  </w:r>
                </w:p>
              </w:tc>
              <w:tc>
                <w:tcPr>
                  <w:tcW w:w="919" w:type="dxa"/>
                  <w:vMerge w:val="continue"/>
                  <w:tcBorders>
                    <w:left w:val="single" w:color="000000" w:sz="4" w:space="0"/>
                    <w:right w:val="single" w:color="000000" w:sz="4" w:space="0"/>
                  </w:tcBorders>
                  <w:noWrap/>
                  <w:tcMar>
                    <w:top w:w="12" w:type="dxa"/>
                    <w:left w:w="12" w:type="dxa"/>
                    <w:right w:w="12" w:type="dxa"/>
                  </w:tcMar>
                  <w:vAlign w:val="center"/>
                </w:tcPr>
                <w:p>
                  <w:pPr>
                    <w:jc w:val="center"/>
                    <w:rPr>
                      <w:color w:val="000000"/>
                      <w:szCs w:val="21"/>
                    </w:rPr>
                  </w:pPr>
                </w:p>
              </w:tc>
              <w:tc>
                <w:tcPr>
                  <w:tcW w:w="17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总氮（TN）</w:t>
                  </w:r>
                </w:p>
              </w:tc>
              <w:tc>
                <w:tcPr>
                  <w:tcW w:w="1051" w:type="dxa"/>
                  <w:tcBorders>
                    <w:top w:val="single" w:color="000000" w:sz="4" w:space="0"/>
                    <w:left w:val="single" w:color="000000" w:sz="4" w:space="0"/>
                    <w:bottom w:val="single" w:color="000000" w:sz="4" w:space="0"/>
                  </w:tcBorders>
                  <w:noWrap/>
                  <w:tcMar>
                    <w:top w:w="12" w:type="dxa"/>
                    <w:left w:w="12" w:type="dxa"/>
                    <w:right w:w="12" w:type="dxa"/>
                  </w:tcMar>
                  <w:vAlign w:val="center"/>
                </w:tcPr>
                <w:p>
                  <w:pPr>
                    <w:jc w:val="center"/>
                    <w:rPr>
                      <w:color w:val="000000"/>
                      <w:kern w:val="0"/>
                      <w:szCs w:val="21"/>
                      <w:lang w:bidi="ar"/>
                    </w:rPr>
                  </w:pPr>
                  <w:r>
                    <w:rPr>
                      <w:color w:val="000000"/>
                      <w:kern w:val="0"/>
                      <w:szCs w:val="21"/>
                      <w:lang w:bidi="ar"/>
                    </w:rPr>
                    <w:t>1次/年</w:t>
                  </w:r>
                </w:p>
              </w:tc>
            </w:tr>
          </w:tbl>
          <w:p>
            <w:pPr>
              <w:pStyle w:val="20"/>
              <w:jc w:val="center"/>
              <w:outlineLvl w:val="0"/>
              <w:rPr>
                <w:rFonts w:ascii="Times New Roman" w:hAnsi="Times New Roman" w:eastAsia="黑体"/>
                <w:snapToGrid w:val="0"/>
                <w:color w:val="000000"/>
                <w:sz w:val="30"/>
                <w:szCs w:val="30"/>
              </w:rPr>
            </w:pPr>
          </w:p>
        </w:tc>
      </w:tr>
    </w:tbl>
    <w:p>
      <w:pPr>
        <w:pStyle w:val="20"/>
        <w:jc w:val="center"/>
        <w:outlineLvl w:val="0"/>
        <w:rPr>
          <w:rFonts w:ascii="Times New Roman" w:hAnsi="Times New Roman" w:eastAsia="黑体"/>
          <w:snapToGrid w:val="0"/>
          <w:color w:val="000000"/>
          <w:sz w:val="30"/>
          <w:szCs w:val="30"/>
        </w:rPr>
        <w:sectPr>
          <w:pgSz w:w="16838" w:h="11906" w:orient="landscape"/>
          <w:pgMar w:top="1418" w:right="1418" w:bottom="1418" w:left="1418" w:header="851" w:footer="851" w:gutter="0"/>
          <w:cols w:space="720" w:num="1"/>
          <w:docGrid w:linePitch="312" w:charSpace="0"/>
        </w:sectPr>
      </w:pP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6"/>
        <w:gridCol w:w="80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66" w:type="dxa"/>
            <w:vAlign w:val="center"/>
          </w:tcPr>
          <w:p>
            <w:pPr>
              <w:adjustRightInd w:val="0"/>
              <w:snapToGrid w:val="0"/>
              <w:jc w:val="center"/>
              <w:rPr>
                <w:b/>
                <w:bCs/>
                <w:color w:val="000000"/>
                <w:szCs w:val="21"/>
              </w:rPr>
            </w:pPr>
            <w:r>
              <w:rPr>
                <w:b/>
                <w:bCs/>
                <w:color w:val="000000"/>
                <w:szCs w:val="21"/>
              </w:rPr>
              <w:t>运营</w:t>
            </w:r>
          </w:p>
          <w:p>
            <w:pPr>
              <w:adjustRightInd w:val="0"/>
              <w:snapToGrid w:val="0"/>
              <w:jc w:val="center"/>
              <w:rPr>
                <w:b/>
                <w:bCs/>
                <w:color w:val="000000"/>
                <w:szCs w:val="21"/>
              </w:rPr>
            </w:pPr>
            <w:r>
              <w:rPr>
                <w:b/>
                <w:bCs/>
                <w:color w:val="000000"/>
                <w:szCs w:val="21"/>
              </w:rPr>
              <w:t>期环</w:t>
            </w:r>
          </w:p>
          <w:p>
            <w:pPr>
              <w:adjustRightInd w:val="0"/>
              <w:snapToGrid w:val="0"/>
              <w:jc w:val="center"/>
              <w:rPr>
                <w:b/>
                <w:bCs/>
                <w:color w:val="000000"/>
                <w:szCs w:val="21"/>
              </w:rPr>
            </w:pPr>
            <w:r>
              <w:rPr>
                <w:b/>
                <w:bCs/>
                <w:color w:val="000000"/>
                <w:szCs w:val="21"/>
              </w:rPr>
              <w:t>境影</w:t>
            </w:r>
          </w:p>
          <w:p>
            <w:pPr>
              <w:adjustRightInd w:val="0"/>
              <w:snapToGrid w:val="0"/>
              <w:jc w:val="center"/>
              <w:rPr>
                <w:b/>
                <w:bCs/>
                <w:color w:val="000000"/>
                <w:szCs w:val="21"/>
              </w:rPr>
            </w:pPr>
            <w:r>
              <w:rPr>
                <w:b/>
                <w:bCs/>
                <w:color w:val="000000"/>
                <w:szCs w:val="21"/>
              </w:rPr>
              <w:t>响和</w:t>
            </w:r>
          </w:p>
          <w:p>
            <w:pPr>
              <w:adjustRightInd w:val="0"/>
              <w:snapToGrid w:val="0"/>
              <w:jc w:val="center"/>
              <w:rPr>
                <w:b/>
                <w:bCs/>
                <w:color w:val="000000"/>
                <w:szCs w:val="21"/>
              </w:rPr>
            </w:pPr>
            <w:r>
              <w:rPr>
                <w:b/>
                <w:bCs/>
                <w:color w:val="000000"/>
                <w:szCs w:val="21"/>
              </w:rPr>
              <w:t>保护</w:t>
            </w:r>
          </w:p>
          <w:p>
            <w:pPr>
              <w:adjustRightInd w:val="0"/>
              <w:snapToGrid w:val="0"/>
              <w:jc w:val="center"/>
              <w:rPr>
                <w:color w:val="000000"/>
              </w:rPr>
            </w:pPr>
            <w:r>
              <w:rPr>
                <w:b/>
                <w:bCs/>
                <w:color w:val="000000"/>
                <w:szCs w:val="21"/>
              </w:rPr>
              <w:t>措施</w:t>
            </w:r>
          </w:p>
        </w:tc>
        <w:tc>
          <w:tcPr>
            <w:tcW w:w="8094" w:type="dxa"/>
            <w:vAlign w:val="center"/>
          </w:tcPr>
          <w:p>
            <w:pPr>
              <w:spacing w:line="360" w:lineRule="auto"/>
              <w:ind w:firstLine="482" w:firstLineChars="200"/>
              <w:rPr>
                <w:b/>
                <w:bCs/>
                <w:color w:val="000000"/>
                <w:sz w:val="24"/>
              </w:rPr>
            </w:pPr>
            <w:r>
              <w:rPr>
                <w:b/>
                <w:bCs/>
                <w:color w:val="000000"/>
                <w:sz w:val="24"/>
              </w:rPr>
              <w:t>2、地表水环境影响分析：</w:t>
            </w:r>
          </w:p>
          <w:p>
            <w:pPr>
              <w:spacing w:line="360" w:lineRule="auto"/>
              <w:ind w:firstLine="482" w:firstLineChars="200"/>
              <w:rPr>
                <w:b/>
                <w:bCs/>
                <w:color w:val="000000"/>
                <w:sz w:val="24"/>
              </w:rPr>
            </w:pPr>
            <w:r>
              <w:rPr>
                <w:b/>
                <w:bCs/>
                <w:color w:val="000000"/>
                <w:sz w:val="24"/>
              </w:rPr>
              <w:t>1）废水处理措施可行性分析</w:t>
            </w:r>
          </w:p>
          <w:p>
            <w:pPr>
              <w:spacing w:line="360" w:lineRule="auto"/>
              <w:ind w:firstLine="480" w:firstLineChars="200"/>
              <w:rPr>
                <w:color w:val="000000"/>
                <w:sz w:val="24"/>
              </w:rPr>
            </w:pPr>
            <w:r>
              <w:rPr>
                <w:color w:val="000000"/>
                <w:sz w:val="24"/>
              </w:rPr>
              <w:t>根据表2</w:t>
            </w:r>
            <w:r>
              <w:rPr>
                <w:rFonts w:hint="eastAsia"/>
                <w:color w:val="000000"/>
                <w:sz w:val="24"/>
              </w:rPr>
              <w:t>4</w:t>
            </w:r>
            <w:r>
              <w:rPr>
                <w:color w:val="000000"/>
                <w:sz w:val="24"/>
              </w:rPr>
              <w:t>废水污染物源强、治理措施、污染物去除效率及废水排放计算结果，本项目处理后废水污染物浓度能够满足</w:t>
            </w:r>
            <w:r>
              <w:rPr>
                <w:rFonts w:hint="eastAsia"/>
                <w:color w:val="C00000"/>
                <w:sz w:val="24"/>
              </w:rPr>
              <w:t>《电子工业水污染物排放标准》（GB39731-2020）和</w:t>
            </w:r>
            <w:r>
              <w:rPr>
                <w:color w:val="000000"/>
                <w:sz w:val="24"/>
              </w:rPr>
              <w:t>西部组团污水处理厂接管限值要求，因此本项目废水处理措施可行。</w:t>
            </w:r>
          </w:p>
          <w:p>
            <w:pPr>
              <w:pStyle w:val="2"/>
              <w:spacing w:before="0" w:after="0" w:line="360" w:lineRule="auto"/>
              <w:ind w:left="480"/>
              <w:rPr>
                <w:rFonts w:ascii="Times New Roman" w:hAnsi="Times New Roman"/>
                <w:color w:val="000000"/>
                <w:sz w:val="24"/>
                <w:szCs w:val="24"/>
              </w:rPr>
            </w:pPr>
            <w:r>
              <w:rPr>
                <w:rFonts w:ascii="Times New Roman" w:hAnsi="Times New Roman"/>
                <w:color w:val="000000"/>
                <w:sz w:val="24"/>
                <w:szCs w:val="24"/>
              </w:rPr>
              <w:t>2）接管可行性分析</w:t>
            </w:r>
          </w:p>
          <w:p>
            <w:pPr>
              <w:spacing w:line="360" w:lineRule="auto"/>
              <w:ind w:firstLine="480" w:firstLineChars="200"/>
              <w:rPr>
                <w:color w:val="000000"/>
                <w:sz w:val="24"/>
              </w:rPr>
            </w:pPr>
            <w:r>
              <w:rPr>
                <w:color w:val="000000"/>
                <w:sz w:val="24"/>
              </w:rPr>
              <w:t>西部组团污水处理厂位于合肥市经济开发区内，规划总规模40万吨/日，收水范围包括经济开发区、肥西县上派镇、桃花工业园、长安工业园、高新区科学城、柏堰工业园等区域，服务面积约191平方公里。该厂一、二、三期已投产工程设计处理总规模为30万吨/日，采用AAO氧化沟工艺，出水水质达《巢湖流域城镇污水处理厂和工业行业主要水污染物排放限值》（DB 34/2710-2016）标准后排入派河。西部组团污水处理厂污水处理工艺流程如下：</w:t>
            </w:r>
          </w:p>
          <w:p>
            <w:pPr>
              <w:spacing w:line="360" w:lineRule="auto"/>
              <w:jc w:val="center"/>
              <w:rPr>
                <w:color w:val="000000"/>
              </w:rPr>
            </w:pPr>
            <w:r>
              <w:rPr>
                <w:color w:val="000000"/>
              </w:rPr>
              <w:drawing>
                <wp:inline distT="0" distB="0" distL="114300" distR="114300">
                  <wp:extent cx="4624705" cy="2038350"/>
                  <wp:effectExtent l="0" t="0" r="4445" b="0"/>
                  <wp:docPr id="1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1"/>
                          <pic:cNvPicPr>
                            <a:picLocks noChangeAspect="1"/>
                          </pic:cNvPicPr>
                        </pic:nvPicPr>
                        <pic:blipFill>
                          <a:blip r:embed="rId16"/>
                          <a:stretch>
                            <a:fillRect/>
                          </a:stretch>
                        </pic:blipFill>
                        <pic:spPr>
                          <a:xfrm>
                            <a:off x="0" y="0"/>
                            <a:ext cx="4624705" cy="2038350"/>
                          </a:xfrm>
                          <a:prstGeom prst="rect">
                            <a:avLst/>
                          </a:prstGeom>
                          <a:noFill/>
                          <a:ln>
                            <a:noFill/>
                          </a:ln>
                        </pic:spPr>
                      </pic:pic>
                    </a:graphicData>
                  </a:graphic>
                </wp:inline>
              </w:drawing>
            </w:r>
          </w:p>
          <w:p>
            <w:pPr>
              <w:jc w:val="center"/>
              <w:rPr>
                <w:b/>
                <w:bCs/>
                <w:color w:val="000000"/>
              </w:rPr>
            </w:pPr>
            <w:r>
              <w:rPr>
                <w:b/>
                <w:bCs/>
                <w:color w:val="000000"/>
              </w:rPr>
              <w:t>图</w:t>
            </w:r>
            <w:r>
              <w:rPr>
                <w:rFonts w:hint="eastAsia"/>
                <w:b/>
                <w:bCs/>
                <w:color w:val="000000"/>
              </w:rPr>
              <w:t>9</w:t>
            </w:r>
            <w:r>
              <w:rPr>
                <w:b/>
                <w:bCs/>
                <w:color w:val="000000"/>
              </w:rPr>
              <w:t xml:space="preserve">  西部组团污水处理厂工艺流程图</w:t>
            </w:r>
          </w:p>
          <w:p>
            <w:pPr>
              <w:spacing w:line="360" w:lineRule="auto"/>
              <w:ind w:firstLine="480" w:firstLineChars="200"/>
              <w:rPr>
                <w:color w:val="000000"/>
                <w:sz w:val="24"/>
              </w:rPr>
            </w:pPr>
            <w:r>
              <w:rPr>
                <w:color w:val="000000"/>
                <w:sz w:val="24"/>
              </w:rPr>
              <w:t>本项目</w:t>
            </w:r>
            <w:r>
              <w:rPr>
                <w:color w:val="000000"/>
                <w:sz w:val="24"/>
                <w:lang w:val="zh-CN"/>
              </w:rPr>
              <w:t>所在地属于西部组团污水处理厂收水范围，废水经预处理后</w:t>
            </w:r>
            <w:r>
              <w:rPr>
                <w:color w:val="000000"/>
                <w:sz w:val="24"/>
              </w:rPr>
              <w:t>满足</w:t>
            </w:r>
            <w:r>
              <w:rPr>
                <w:color w:val="000000"/>
                <w:sz w:val="24"/>
                <w:lang w:val="zh-CN"/>
              </w:rPr>
              <w:t>西部组团污水处理厂</w:t>
            </w:r>
            <w:r>
              <w:rPr>
                <w:color w:val="000000"/>
                <w:sz w:val="24"/>
              </w:rPr>
              <w:t>接管标准要求，废水量为</w:t>
            </w:r>
            <w:r>
              <w:rPr>
                <w:rFonts w:hint="eastAsia"/>
                <w:color w:val="000000"/>
                <w:sz w:val="24"/>
              </w:rPr>
              <w:t>2.45</w:t>
            </w:r>
            <w:r>
              <w:rPr>
                <w:color w:val="000000"/>
                <w:sz w:val="24"/>
              </w:rPr>
              <w:t>t/d，进入</w:t>
            </w:r>
            <w:r>
              <w:rPr>
                <w:color w:val="000000"/>
                <w:sz w:val="24"/>
                <w:lang w:val="zh-CN"/>
              </w:rPr>
              <w:t>西部组团污水处理厂</w:t>
            </w:r>
            <w:r>
              <w:rPr>
                <w:color w:val="000000"/>
                <w:sz w:val="24"/>
              </w:rPr>
              <w:t>处理可行。</w:t>
            </w:r>
            <w:r>
              <w:rPr>
                <w:color w:val="000000"/>
                <w:sz w:val="24"/>
                <w:lang w:val="zh-CN"/>
              </w:rPr>
              <w:t>西部组团污水处理厂</w:t>
            </w:r>
            <w:r>
              <w:rPr>
                <w:color w:val="000000"/>
                <w:sz w:val="24"/>
              </w:rPr>
              <w:t>出水水质执行《巢湖流域城镇污水处理厂和工业行业主要水污染物排放限值》（DB 34/2710-2016）中城镇污水处理厂标准后排入派河。</w:t>
            </w:r>
          </w:p>
          <w:p>
            <w:pPr>
              <w:spacing w:line="360" w:lineRule="auto"/>
              <w:ind w:firstLine="480" w:firstLineChars="200"/>
              <w:rPr>
                <w:color w:val="000000"/>
                <w:sz w:val="24"/>
              </w:rPr>
            </w:pPr>
            <w:r>
              <w:rPr>
                <w:color w:val="000000"/>
                <w:sz w:val="24"/>
              </w:rPr>
              <w:t>本项目排放的污水满足</w:t>
            </w:r>
            <w:r>
              <w:rPr>
                <w:color w:val="000000"/>
                <w:sz w:val="24"/>
                <w:lang w:val="zh-CN"/>
              </w:rPr>
              <w:t>西部组团污水处理厂</w:t>
            </w:r>
            <w:r>
              <w:rPr>
                <w:color w:val="000000"/>
                <w:sz w:val="24"/>
              </w:rPr>
              <w:t>的进水水质及水量的要求，不会对</w:t>
            </w:r>
            <w:r>
              <w:rPr>
                <w:color w:val="000000"/>
                <w:sz w:val="24"/>
                <w:lang w:val="zh-CN"/>
              </w:rPr>
              <w:t>西部组团污水处理厂</w:t>
            </w:r>
            <w:r>
              <w:rPr>
                <w:color w:val="000000"/>
                <w:sz w:val="24"/>
              </w:rPr>
              <w:t>造成冲击影响，</w:t>
            </w:r>
            <w:r>
              <w:rPr>
                <w:color w:val="000000"/>
                <w:sz w:val="24"/>
                <w:lang w:val="en-GB"/>
              </w:rPr>
              <w:t>因此本项目排水方式可行。项目污水经采取合理措施后对地表水环境影响很小，不会降低项目所在区域水环境现有功能。</w:t>
            </w:r>
          </w:p>
          <w:p>
            <w:pPr>
              <w:spacing w:line="360" w:lineRule="auto"/>
              <w:ind w:firstLine="482" w:firstLineChars="200"/>
              <w:rPr>
                <w:b/>
                <w:bCs/>
                <w:color w:val="000000"/>
                <w:sz w:val="24"/>
              </w:rPr>
            </w:pPr>
            <w:r>
              <w:rPr>
                <w:b/>
                <w:bCs/>
                <w:color w:val="000000"/>
                <w:sz w:val="24"/>
              </w:rPr>
              <w:t>（三）噪声</w:t>
            </w:r>
          </w:p>
          <w:p>
            <w:pPr>
              <w:spacing w:line="360" w:lineRule="auto"/>
              <w:ind w:firstLine="480" w:firstLineChars="200"/>
              <w:rPr>
                <w:color w:val="000000"/>
                <w:sz w:val="24"/>
              </w:rPr>
            </w:pPr>
            <w:r>
              <w:rPr>
                <w:color w:val="000000"/>
                <w:sz w:val="24"/>
              </w:rPr>
              <w:t>本项目噪声设备源强及采取治理措施见下表。</w:t>
            </w:r>
          </w:p>
          <w:p>
            <w:pPr>
              <w:widowControl/>
              <w:numPr>
                <w:ilvl w:val="0"/>
                <w:numId w:val="1"/>
              </w:numPr>
              <w:jc w:val="center"/>
              <w:rPr>
                <w:b/>
                <w:bCs/>
                <w:color w:val="000000"/>
              </w:rPr>
            </w:pPr>
            <w:r>
              <w:rPr>
                <w:b/>
                <w:bCs/>
                <w:color w:val="000000"/>
              </w:rPr>
              <w:t xml:space="preserve">  本项目主要噪声源及降噪措施</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8"/>
              <w:gridCol w:w="1517"/>
              <w:gridCol w:w="987"/>
              <w:gridCol w:w="840"/>
              <w:gridCol w:w="2008"/>
              <w:gridCol w:w="969"/>
              <w:gridCol w:w="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tblHeader/>
                <w:jc w:val="center"/>
              </w:trPr>
              <w:tc>
                <w:tcPr>
                  <w:tcW w:w="568" w:type="dxa"/>
                  <w:vAlign w:val="center"/>
                </w:tcPr>
                <w:p>
                  <w:pPr>
                    <w:jc w:val="center"/>
                    <w:rPr>
                      <w:b/>
                      <w:bCs/>
                      <w:color w:val="000000"/>
                    </w:rPr>
                  </w:pPr>
                  <w:r>
                    <w:rPr>
                      <w:b/>
                      <w:bCs/>
                      <w:color w:val="000000"/>
                    </w:rPr>
                    <w:t>序号</w:t>
                  </w:r>
                </w:p>
              </w:tc>
              <w:tc>
                <w:tcPr>
                  <w:tcW w:w="1517" w:type="dxa"/>
                  <w:vAlign w:val="center"/>
                </w:tcPr>
                <w:p>
                  <w:pPr>
                    <w:jc w:val="center"/>
                    <w:rPr>
                      <w:b/>
                      <w:bCs/>
                      <w:color w:val="000000"/>
                    </w:rPr>
                  </w:pPr>
                  <w:r>
                    <w:rPr>
                      <w:b/>
                      <w:bCs/>
                      <w:color w:val="000000"/>
                    </w:rPr>
                    <w:t>设备名称</w:t>
                  </w:r>
                </w:p>
              </w:tc>
              <w:tc>
                <w:tcPr>
                  <w:tcW w:w="987" w:type="dxa"/>
                  <w:vAlign w:val="center"/>
                </w:tcPr>
                <w:p>
                  <w:pPr>
                    <w:jc w:val="center"/>
                    <w:rPr>
                      <w:b/>
                      <w:bCs/>
                      <w:color w:val="000000"/>
                    </w:rPr>
                  </w:pPr>
                  <w:r>
                    <w:rPr>
                      <w:b/>
                      <w:bCs/>
                      <w:color w:val="000000"/>
                    </w:rPr>
                    <w:t>数量（台/套）</w:t>
                  </w:r>
                </w:p>
              </w:tc>
              <w:tc>
                <w:tcPr>
                  <w:tcW w:w="840" w:type="dxa"/>
                  <w:vAlign w:val="center"/>
                </w:tcPr>
                <w:p>
                  <w:pPr>
                    <w:jc w:val="center"/>
                    <w:rPr>
                      <w:b/>
                      <w:bCs/>
                      <w:color w:val="000000"/>
                    </w:rPr>
                  </w:pPr>
                  <w:r>
                    <w:rPr>
                      <w:b/>
                      <w:bCs/>
                      <w:color w:val="000000"/>
                    </w:rPr>
                    <w:t>声压级dB(A)①</w:t>
                  </w:r>
                </w:p>
              </w:tc>
              <w:tc>
                <w:tcPr>
                  <w:tcW w:w="2008" w:type="dxa"/>
                  <w:vAlign w:val="center"/>
                </w:tcPr>
                <w:p>
                  <w:pPr>
                    <w:jc w:val="center"/>
                    <w:rPr>
                      <w:b/>
                      <w:bCs/>
                      <w:color w:val="000000"/>
                    </w:rPr>
                  </w:pPr>
                  <w:r>
                    <w:rPr>
                      <w:b/>
                      <w:bCs/>
                      <w:color w:val="000000"/>
                    </w:rPr>
                    <w:t>降噪措施</w:t>
                  </w:r>
                </w:p>
              </w:tc>
              <w:tc>
                <w:tcPr>
                  <w:tcW w:w="969" w:type="dxa"/>
                  <w:vAlign w:val="center"/>
                </w:tcPr>
                <w:p>
                  <w:pPr>
                    <w:jc w:val="center"/>
                    <w:rPr>
                      <w:b/>
                      <w:bCs/>
                      <w:color w:val="000000"/>
                    </w:rPr>
                  </w:pPr>
                  <w:r>
                    <w:rPr>
                      <w:b/>
                      <w:bCs/>
                      <w:color w:val="000000"/>
                    </w:rPr>
                    <w:t>排放强度dB（A）</w:t>
                  </w:r>
                </w:p>
              </w:tc>
              <w:tc>
                <w:tcPr>
                  <w:tcW w:w="974" w:type="dxa"/>
                  <w:vAlign w:val="center"/>
                </w:tcPr>
                <w:p>
                  <w:pPr>
                    <w:jc w:val="center"/>
                    <w:rPr>
                      <w:b/>
                      <w:bCs/>
                      <w:color w:val="000000"/>
                    </w:rPr>
                  </w:pPr>
                  <w:r>
                    <w:rPr>
                      <w:b/>
                      <w:bCs/>
                      <w:color w:val="000000"/>
                    </w:rPr>
                    <w:t>持续时间（h/d）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rPr>
                  </w:pPr>
                  <w:r>
                    <w:rPr>
                      <w:color w:val="000000"/>
                      <w:kern w:val="0"/>
                      <w:sz w:val="22"/>
                      <w:szCs w:val="22"/>
                      <w:lang w:bidi="ar"/>
                    </w:rPr>
                    <w:t>1</w:t>
                  </w:r>
                </w:p>
              </w:tc>
              <w:tc>
                <w:tcPr>
                  <w:tcW w:w="1517" w:type="dxa"/>
                  <w:vAlign w:val="center"/>
                </w:tcPr>
                <w:p>
                  <w:pPr>
                    <w:jc w:val="center"/>
                    <w:rPr>
                      <w:szCs w:val="21"/>
                    </w:rPr>
                  </w:pPr>
                  <w:r>
                    <w:rPr>
                      <w:rFonts w:hint="eastAsia"/>
                      <w:szCs w:val="21"/>
                    </w:rPr>
                    <w:t>喷涂机</w:t>
                  </w:r>
                </w:p>
              </w:tc>
              <w:tc>
                <w:tcPr>
                  <w:tcW w:w="987" w:type="dxa"/>
                  <w:vAlign w:val="center"/>
                </w:tcPr>
                <w:p>
                  <w:pPr>
                    <w:widowControl/>
                    <w:jc w:val="center"/>
                    <w:textAlignment w:val="bottom"/>
                    <w:rPr>
                      <w:color w:val="000000"/>
                    </w:rPr>
                  </w:pPr>
                  <w:r>
                    <w:rPr>
                      <w:rFonts w:hint="eastAsia"/>
                      <w:color w:val="000000"/>
                    </w:rPr>
                    <w:t>3</w:t>
                  </w:r>
                </w:p>
              </w:tc>
              <w:tc>
                <w:tcPr>
                  <w:tcW w:w="840" w:type="dxa"/>
                  <w:vAlign w:val="center"/>
                </w:tcPr>
                <w:p>
                  <w:pPr>
                    <w:jc w:val="center"/>
                    <w:rPr>
                      <w:color w:val="000000"/>
                    </w:rPr>
                  </w:pPr>
                  <w:r>
                    <w:rPr>
                      <w:color w:val="000000"/>
                    </w:rPr>
                    <w:t>7</w:t>
                  </w:r>
                  <w:r>
                    <w:rPr>
                      <w:rFonts w:hint="eastAsia"/>
                      <w:color w:val="000000"/>
                    </w:rPr>
                    <w:t>0</w:t>
                  </w:r>
                  <w:r>
                    <w:rPr>
                      <w:color w:val="000000"/>
                    </w:rPr>
                    <w:t>~8</w:t>
                  </w:r>
                  <w:r>
                    <w:rPr>
                      <w:rFonts w:hint="eastAsia"/>
                      <w:color w:val="000000"/>
                    </w:rPr>
                    <w:t>0</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0</w:t>
                  </w:r>
                  <w:r>
                    <w:rPr>
                      <w:color w:val="000000"/>
                    </w:rPr>
                    <w:t>~6</w:t>
                  </w:r>
                  <w:r>
                    <w:rPr>
                      <w:rFonts w:hint="eastAsia"/>
                      <w:color w:val="000000"/>
                    </w:rPr>
                    <w:t>0</w:t>
                  </w:r>
                </w:p>
              </w:tc>
              <w:tc>
                <w:tcPr>
                  <w:tcW w:w="974" w:type="dxa"/>
                  <w:vAlign w:val="center"/>
                </w:tcPr>
                <w:p>
                  <w:pPr>
                    <w:widowControl/>
                    <w:jc w:val="center"/>
                    <w:textAlignment w:val="bottom"/>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color w:val="000000"/>
                      <w:kern w:val="0"/>
                      <w:sz w:val="22"/>
                      <w:szCs w:val="22"/>
                      <w:lang w:bidi="ar"/>
                    </w:rPr>
                    <w:t>2</w:t>
                  </w:r>
                </w:p>
              </w:tc>
              <w:tc>
                <w:tcPr>
                  <w:tcW w:w="1517" w:type="dxa"/>
                  <w:vAlign w:val="center"/>
                </w:tcPr>
                <w:p>
                  <w:pPr>
                    <w:jc w:val="center"/>
                    <w:rPr>
                      <w:szCs w:val="21"/>
                    </w:rPr>
                  </w:pPr>
                  <w:r>
                    <w:rPr>
                      <w:rFonts w:hint="eastAsia"/>
                      <w:szCs w:val="21"/>
                    </w:rPr>
                    <w:t>激光切割机</w:t>
                  </w:r>
                </w:p>
              </w:tc>
              <w:tc>
                <w:tcPr>
                  <w:tcW w:w="987" w:type="dxa"/>
                  <w:vAlign w:val="center"/>
                </w:tcPr>
                <w:p>
                  <w:pPr>
                    <w:widowControl/>
                    <w:jc w:val="center"/>
                    <w:textAlignment w:val="bottom"/>
                    <w:rPr>
                      <w:color w:val="000000"/>
                    </w:rPr>
                  </w:pPr>
                  <w:r>
                    <w:rPr>
                      <w:rFonts w:hint="eastAsia"/>
                      <w:color w:val="000000"/>
                    </w:rPr>
                    <w:t>4</w:t>
                  </w:r>
                </w:p>
              </w:tc>
              <w:tc>
                <w:tcPr>
                  <w:tcW w:w="840" w:type="dxa"/>
                  <w:vAlign w:val="center"/>
                </w:tcPr>
                <w:p>
                  <w:pPr>
                    <w:jc w:val="center"/>
                    <w:rPr>
                      <w:color w:val="000000"/>
                    </w:rPr>
                  </w:pPr>
                  <w:r>
                    <w:rPr>
                      <w:color w:val="000000"/>
                    </w:rPr>
                    <w:t>75~85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55~65</w:t>
                  </w:r>
                </w:p>
              </w:tc>
              <w:tc>
                <w:tcPr>
                  <w:tcW w:w="974" w:type="dxa"/>
                  <w:vAlign w:val="center"/>
                </w:tcPr>
                <w:p>
                  <w:pPr>
                    <w:widowControl/>
                    <w:jc w:val="center"/>
                    <w:textAlignment w:val="bottom"/>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3</w:t>
                  </w:r>
                </w:p>
              </w:tc>
              <w:tc>
                <w:tcPr>
                  <w:tcW w:w="1517" w:type="dxa"/>
                  <w:vAlign w:val="center"/>
                </w:tcPr>
                <w:p>
                  <w:pPr>
                    <w:jc w:val="center"/>
                    <w:rPr>
                      <w:szCs w:val="21"/>
                    </w:rPr>
                  </w:pPr>
                  <w:r>
                    <w:rPr>
                      <w:rFonts w:hint="eastAsia"/>
                      <w:szCs w:val="21"/>
                    </w:rPr>
                    <w:t>低温防腐烤箱</w:t>
                  </w:r>
                </w:p>
              </w:tc>
              <w:tc>
                <w:tcPr>
                  <w:tcW w:w="987" w:type="dxa"/>
                  <w:vAlign w:val="center"/>
                </w:tcPr>
                <w:p>
                  <w:pPr>
                    <w:widowControl/>
                    <w:jc w:val="center"/>
                    <w:textAlignment w:val="bottom"/>
                    <w:rPr>
                      <w:color w:val="000000"/>
                    </w:rPr>
                  </w:pPr>
                  <w:r>
                    <w:rPr>
                      <w:color w:val="000000"/>
                    </w:rPr>
                    <w:t>1</w:t>
                  </w:r>
                </w:p>
              </w:tc>
              <w:tc>
                <w:tcPr>
                  <w:tcW w:w="840" w:type="dxa"/>
                  <w:vAlign w:val="center"/>
                </w:tcPr>
                <w:p>
                  <w:pPr>
                    <w:jc w:val="center"/>
                    <w:rPr>
                      <w:color w:val="000000"/>
                    </w:rPr>
                  </w:pPr>
                  <w:r>
                    <w:rPr>
                      <w:color w:val="000000"/>
                    </w:rPr>
                    <w:t>75~85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50~65</w:t>
                  </w:r>
                </w:p>
              </w:tc>
              <w:tc>
                <w:tcPr>
                  <w:tcW w:w="974" w:type="dxa"/>
                  <w:vAlign w:val="center"/>
                </w:tcPr>
                <w:p>
                  <w:pPr>
                    <w:widowControl/>
                    <w:jc w:val="center"/>
                    <w:textAlignment w:val="bottom"/>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p>
              </w:tc>
              <w:tc>
                <w:tcPr>
                  <w:tcW w:w="1517" w:type="dxa"/>
                  <w:vAlign w:val="center"/>
                </w:tcPr>
                <w:p>
                  <w:pPr>
                    <w:jc w:val="center"/>
                    <w:rPr>
                      <w:szCs w:val="21"/>
                    </w:rPr>
                  </w:pPr>
                  <w:r>
                    <w:rPr>
                      <w:rFonts w:hint="eastAsia"/>
                      <w:szCs w:val="21"/>
                    </w:rPr>
                    <w:t>辊压机</w:t>
                  </w:r>
                </w:p>
              </w:tc>
              <w:tc>
                <w:tcPr>
                  <w:tcW w:w="987" w:type="dxa"/>
                  <w:vAlign w:val="center"/>
                </w:tcPr>
                <w:p>
                  <w:pPr>
                    <w:widowControl/>
                    <w:jc w:val="center"/>
                    <w:textAlignment w:val="bottom"/>
                    <w:rPr>
                      <w:color w:val="000000"/>
                    </w:rPr>
                  </w:pPr>
                  <w:r>
                    <w:rPr>
                      <w:color w:val="000000"/>
                    </w:rPr>
                    <w:t>2</w:t>
                  </w:r>
                </w:p>
              </w:tc>
              <w:tc>
                <w:tcPr>
                  <w:tcW w:w="840" w:type="dxa"/>
                  <w:vAlign w:val="center"/>
                </w:tcPr>
                <w:p>
                  <w:pPr>
                    <w:jc w:val="center"/>
                    <w:rPr>
                      <w:color w:val="000000"/>
                    </w:rPr>
                  </w:pPr>
                  <w:r>
                    <w:rPr>
                      <w:color w:val="000000"/>
                    </w:rPr>
                    <w:t>70-80</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55~</w:t>
                  </w:r>
                  <w:r>
                    <w:rPr>
                      <w:rFonts w:hint="eastAsia"/>
                      <w:color w:val="000000"/>
                    </w:rPr>
                    <w:t>70</w:t>
                  </w:r>
                </w:p>
              </w:tc>
              <w:tc>
                <w:tcPr>
                  <w:tcW w:w="974" w:type="dxa"/>
                  <w:vAlign w:val="center"/>
                </w:tcPr>
                <w:p>
                  <w:pPr>
                    <w:widowControl/>
                    <w:jc w:val="center"/>
                    <w:textAlignment w:val="bottom"/>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5</w:t>
                  </w:r>
                </w:p>
              </w:tc>
              <w:tc>
                <w:tcPr>
                  <w:tcW w:w="1517" w:type="dxa"/>
                  <w:vAlign w:val="center"/>
                </w:tcPr>
                <w:p>
                  <w:pPr>
                    <w:tabs>
                      <w:tab w:val="right" w:pos="2204"/>
                    </w:tabs>
                    <w:jc w:val="center"/>
                    <w:rPr>
                      <w:szCs w:val="21"/>
                    </w:rPr>
                  </w:pPr>
                  <w:r>
                    <w:rPr>
                      <w:rFonts w:hint="eastAsia"/>
                      <w:szCs w:val="21"/>
                    </w:rPr>
                    <w:t>攻丝机</w:t>
                  </w:r>
                </w:p>
              </w:tc>
              <w:tc>
                <w:tcPr>
                  <w:tcW w:w="987" w:type="dxa"/>
                  <w:vAlign w:val="center"/>
                </w:tcPr>
                <w:p>
                  <w:pPr>
                    <w:widowControl/>
                    <w:jc w:val="center"/>
                    <w:textAlignment w:val="bottom"/>
                    <w:rPr>
                      <w:color w:val="000000"/>
                    </w:rPr>
                  </w:pPr>
                  <w:r>
                    <w:rPr>
                      <w:rFonts w:hint="eastAsia"/>
                      <w:color w:val="000000"/>
                    </w:rPr>
                    <w:t>3</w:t>
                  </w:r>
                </w:p>
              </w:tc>
              <w:tc>
                <w:tcPr>
                  <w:tcW w:w="840" w:type="dxa"/>
                  <w:vAlign w:val="center"/>
                </w:tcPr>
                <w:p>
                  <w:pPr>
                    <w:jc w:val="center"/>
                    <w:rPr>
                      <w:color w:val="000000"/>
                    </w:rPr>
                  </w:pPr>
                  <w:r>
                    <w:rPr>
                      <w:color w:val="000000"/>
                    </w:rPr>
                    <w:t>7</w:t>
                  </w:r>
                  <w:r>
                    <w:rPr>
                      <w:rFonts w:hint="eastAsia"/>
                      <w:color w:val="000000"/>
                    </w:rPr>
                    <w:t>0</w:t>
                  </w:r>
                  <w:r>
                    <w:rPr>
                      <w:color w:val="000000"/>
                    </w:rPr>
                    <w:t>~85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0</w:t>
                  </w:r>
                  <w:r>
                    <w:rPr>
                      <w:color w:val="000000"/>
                    </w:rPr>
                    <w:t>~65</w:t>
                  </w:r>
                </w:p>
              </w:tc>
              <w:tc>
                <w:tcPr>
                  <w:tcW w:w="974" w:type="dxa"/>
                  <w:vAlign w:val="center"/>
                </w:tcPr>
                <w:p>
                  <w:pPr>
                    <w:widowControl/>
                    <w:jc w:val="center"/>
                    <w:textAlignment w:val="bottom"/>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rPr>
                  </w:pPr>
                  <w:r>
                    <w:rPr>
                      <w:rFonts w:hint="eastAsia"/>
                      <w:color w:val="000000"/>
                    </w:rPr>
                    <w:t>6</w:t>
                  </w:r>
                </w:p>
              </w:tc>
              <w:tc>
                <w:tcPr>
                  <w:tcW w:w="1517" w:type="dxa"/>
                  <w:vAlign w:val="center"/>
                </w:tcPr>
                <w:p>
                  <w:pPr>
                    <w:tabs>
                      <w:tab w:val="right" w:pos="2204"/>
                    </w:tabs>
                    <w:jc w:val="center"/>
                    <w:rPr>
                      <w:szCs w:val="21"/>
                    </w:rPr>
                  </w:pPr>
                  <w:r>
                    <w:rPr>
                      <w:rFonts w:hint="eastAsia"/>
                      <w:szCs w:val="21"/>
                    </w:rPr>
                    <w:t>小型台钻</w:t>
                  </w:r>
                </w:p>
              </w:tc>
              <w:tc>
                <w:tcPr>
                  <w:tcW w:w="987" w:type="dxa"/>
                  <w:vAlign w:val="center"/>
                </w:tcPr>
                <w:p>
                  <w:pPr>
                    <w:widowControl/>
                    <w:jc w:val="center"/>
                    <w:textAlignment w:val="center"/>
                    <w:rPr>
                      <w:color w:val="000000"/>
                    </w:rPr>
                  </w:pPr>
                  <w:r>
                    <w:rPr>
                      <w:rFonts w:hint="eastAsia"/>
                      <w:color w:val="000000"/>
                    </w:rPr>
                    <w:t>5</w:t>
                  </w:r>
                </w:p>
              </w:tc>
              <w:tc>
                <w:tcPr>
                  <w:tcW w:w="840" w:type="dxa"/>
                  <w:vAlign w:val="center"/>
                </w:tcPr>
                <w:p>
                  <w:pPr>
                    <w:jc w:val="center"/>
                    <w:rPr>
                      <w:color w:val="000000"/>
                    </w:rPr>
                  </w:pPr>
                  <w:r>
                    <w:rPr>
                      <w:color w:val="000000"/>
                    </w:rPr>
                    <w:t>7</w:t>
                  </w:r>
                  <w:r>
                    <w:rPr>
                      <w:rFonts w:hint="eastAsia"/>
                      <w:color w:val="000000"/>
                    </w:rPr>
                    <w:t>0</w:t>
                  </w:r>
                  <w:r>
                    <w:rPr>
                      <w:color w:val="000000"/>
                    </w:rPr>
                    <w:t>~85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0</w:t>
                  </w:r>
                  <w:r>
                    <w:rPr>
                      <w:color w:val="000000"/>
                    </w:rPr>
                    <w:t>~65</w:t>
                  </w:r>
                </w:p>
              </w:tc>
              <w:tc>
                <w:tcPr>
                  <w:tcW w:w="974" w:type="dxa"/>
                  <w:vAlign w:val="center"/>
                </w:tcPr>
                <w:p>
                  <w:pPr>
                    <w:widowControl/>
                    <w:jc w:val="center"/>
                    <w:textAlignment w:val="center"/>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7</w:t>
                  </w:r>
                </w:p>
              </w:tc>
              <w:tc>
                <w:tcPr>
                  <w:tcW w:w="1517" w:type="dxa"/>
                  <w:vAlign w:val="center"/>
                </w:tcPr>
                <w:p>
                  <w:pPr>
                    <w:tabs>
                      <w:tab w:val="right" w:pos="2204"/>
                    </w:tabs>
                    <w:jc w:val="center"/>
                    <w:rPr>
                      <w:szCs w:val="21"/>
                    </w:rPr>
                  </w:pPr>
                  <w:r>
                    <w:rPr>
                      <w:rFonts w:hint="eastAsia"/>
                      <w:szCs w:val="21"/>
                    </w:rPr>
                    <w:t>离心机</w:t>
                  </w:r>
                </w:p>
              </w:tc>
              <w:tc>
                <w:tcPr>
                  <w:tcW w:w="987" w:type="dxa"/>
                  <w:vAlign w:val="center"/>
                </w:tcPr>
                <w:p>
                  <w:pPr>
                    <w:widowControl/>
                    <w:jc w:val="center"/>
                    <w:textAlignment w:val="bottom"/>
                    <w:rPr>
                      <w:color w:val="000000"/>
                    </w:rPr>
                  </w:pPr>
                  <w:r>
                    <w:rPr>
                      <w:rFonts w:hint="eastAsia"/>
                      <w:color w:val="000000"/>
                    </w:rPr>
                    <w:t>3</w:t>
                  </w:r>
                </w:p>
              </w:tc>
              <w:tc>
                <w:tcPr>
                  <w:tcW w:w="840" w:type="dxa"/>
                  <w:vAlign w:val="center"/>
                </w:tcPr>
                <w:p>
                  <w:pPr>
                    <w:jc w:val="center"/>
                    <w:rPr>
                      <w:color w:val="000000"/>
                    </w:rPr>
                  </w:pPr>
                  <w:r>
                    <w:rPr>
                      <w:color w:val="000000"/>
                    </w:rPr>
                    <w:t>7</w:t>
                  </w:r>
                  <w:r>
                    <w:rPr>
                      <w:rFonts w:hint="eastAsia"/>
                      <w:color w:val="000000"/>
                    </w:rPr>
                    <w:t>0</w:t>
                  </w:r>
                  <w:r>
                    <w:rPr>
                      <w:color w:val="000000"/>
                    </w:rPr>
                    <w:t>~85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0</w:t>
                  </w:r>
                  <w:r>
                    <w:rPr>
                      <w:color w:val="000000"/>
                    </w:rPr>
                    <w:t>~65</w:t>
                  </w:r>
                </w:p>
              </w:tc>
              <w:tc>
                <w:tcPr>
                  <w:tcW w:w="974" w:type="dxa"/>
                  <w:vAlign w:val="center"/>
                </w:tcPr>
                <w:p>
                  <w:pPr>
                    <w:widowControl/>
                    <w:jc w:val="center"/>
                    <w:textAlignment w:val="bottom"/>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8</w:t>
                  </w:r>
                </w:p>
              </w:tc>
              <w:tc>
                <w:tcPr>
                  <w:tcW w:w="1517" w:type="dxa"/>
                  <w:vAlign w:val="center"/>
                </w:tcPr>
                <w:p>
                  <w:pPr>
                    <w:tabs>
                      <w:tab w:val="right" w:pos="2204"/>
                    </w:tabs>
                    <w:jc w:val="center"/>
                    <w:rPr>
                      <w:szCs w:val="21"/>
                    </w:rPr>
                  </w:pPr>
                  <w:r>
                    <w:rPr>
                      <w:rFonts w:hint="eastAsia"/>
                      <w:szCs w:val="21"/>
                    </w:rPr>
                    <w:t>捆扎机</w:t>
                  </w:r>
                </w:p>
              </w:tc>
              <w:tc>
                <w:tcPr>
                  <w:tcW w:w="987" w:type="dxa"/>
                  <w:vAlign w:val="center"/>
                </w:tcPr>
                <w:p>
                  <w:pPr>
                    <w:widowControl/>
                    <w:jc w:val="center"/>
                    <w:textAlignment w:val="bottom"/>
                    <w:rPr>
                      <w:color w:val="000000"/>
                    </w:rPr>
                  </w:pPr>
                  <w:r>
                    <w:rPr>
                      <w:color w:val="000000"/>
                    </w:rPr>
                    <w:t>1</w:t>
                  </w:r>
                </w:p>
              </w:tc>
              <w:tc>
                <w:tcPr>
                  <w:tcW w:w="840" w:type="dxa"/>
                  <w:vAlign w:val="center"/>
                </w:tcPr>
                <w:p>
                  <w:pPr>
                    <w:jc w:val="center"/>
                    <w:rPr>
                      <w:color w:val="000000"/>
                    </w:rPr>
                  </w:pPr>
                  <w:r>
                    <w:rPr>
                      <w:color w:val="000000"/>
                    </w:rPr>
                    <w:t>70</w:t>
                  </w:r>
                  <w:r>
                    <w:rPr>
                      <w:rFonts w:hint="eastAsia"/>
                      <w:color w:val="000000"/>
                    </w:rPr>
                    <w:t>~8</w:t>
                  </w:r>
                  <w:r>
                    <w:rPr>
                      <w:color w:val="000000"/>
                    </w:rPr>
                    <w:t>0</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rFonts w:hint="eastAsia"/>
                      <w:color w:val="000000"/>
                    </w:rPr>
                    <w:t>60~65</w:t>
                  </w:r>
                </w:p>
              </w:tc>
              <w:tc>
                <w:tcPr>
                  <w:tcW w:w="974" w:type="dxa"/>
                  <w:vAlign w:val="center"/>
                </w:tcPr>
                <w:p>
                  <w:pPr>
                    <w:widowControl/>
                    <w:jc w:val="center"/>
                    <w:textAlignment w:val="bottom"/>
                    <w:rPr>
                      <w:color w:val="000000"/>
                    </w:rPr>
                  </w:pPr>
                  <w:r>
                    <w:rPr>
                      <w:rFonts w:hint="eastAsia"/>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9</w:t>
                  </w:r>
                </w:p>
              </w:tc>
              <w:tc>
                <w:tcPr>
                  <w:tcW w:w="1517" w:type="dxa"/>
                  <w:vAlign w:val="center"/>
                </w:tcPr>
                <w:p>
                  <w:pPr>
                    <w:tabs>
                      <w:tab w:val="right" w:pos="2204"/>
                    </w:tabs>
                    <w:jc w:val="center"/>
                    <w:rPr>
                      <w:szCs w:val="21"/>
                    </w:rPr>
                  </w:pPr>
                  <w:r>
                    <w:rPr>
                      <w:rFonts w:hint="eastAsia"/>
                      <w:szCs w:val="21"/>
                    </w:rPr>
                    <w:t>喷砂机</w:t>
                  </w:r>
                </w:p>
              </w:tc>
              <w:tc>
                <w:tcPr>
                  <w:tcW w:w="987" w:type="dxa"/>
                  <w:vAlign w:val="center"/>
                </w:tcPr>
                <w:p>
                  <w:pPr>
                    <w:widowControl/>
                    <w:jc w:val="center"/>
                    <w:textAlignment w:val="bottom"/>
                    <w:rPr>
                      <w:color w:val="000000"/>
                    </w:rPr>
                  </w:pPr>
                  <w:r>
                    <w:rPr>
                      <w:rFonts w:hint="eastAsia"/>
                      <w:color w:val="000000"/>
                    </w:rPr>
                    <w:t>2</w:t>
                  </w:r>
                </w:p>
              </w:tc>
              <w:tc>
                <w:tcPr>
                  <w:tcW w:w="840" w:type="dxa"/>
                  <w:vAlign w:val="center"/>
                </w:tcPr>
                <w:p>
                  <w:pPr>
                    <w:jc w:val="center"/>
                    <w:rPr>
                      <w:color w:val="000000"/>
                    </w:rPr>
                  </w:pPr>
                  <w:r>
                    <w:rPr>
                      <w:color w:val="000000"/>
                    </w:rPr>
                    <w:t>7</w:t>
                  </w:r>
                  <w:r>
                    <w:rPr>
                      <w:rFonts w:hint="eastAsia"/>
                      <w:color w:val="000000"/>
                    </w:rPr>
                    <w:t>5</w:t>
                  </w:r>
                  <w:r>
                    <w:rPr>
                      <w:color w:val="000000"/>
                    </w:rPr>
                    <w:t>~85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5</w:t>
                  </w:r>
                  <w:r>
                    <w:rPr>
                      <w:color w:val="000000"/>
                    </w:rPr>
                    <w:t>~65</w:t>
                  </w:r>
                </w:p>
              </w:tc>
              <w:tc>
                <w:tcPr>
                  <w:tcW w:w="974" w:type="dxa"/>
                  <w:vAlign w:val="center"/>
                </w:tcPr>
                <w:p>
                  <w:pPr>
                    <w:widowControl/>
                    <w:jc w:val="center"/>
                    <w:textAlignment w:val="center"/>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1</w:t>
                  </w:r>
                  <w:r>
                    <w:rPr>
                      <w:color w:val="000000"/>
                      <w:kern w:val="0"/>
                      <w:sz w:val="22"/>
                      <w:szCs w:val="22"/>
                      <w:lang w:bidi="ar"/>
                    </w:rPr>
                    <w:t>0</w:t>
                  </w:r>
                </w:p>
              </w:tc>
              <w:tc>
                <w:tcPr>
                  <w:tcW w:w="1517" w:type="dxa"/>
                  <w:vAlign w:val="center"/>
                </w:tcPr>
                <w:p>
                  <w:pPr>
                    <w:tabs>
                      <w:tab w:val="right" w:pos="2204"/>
                    </w:tabs>
                    <w:jc w:val="center"/>
                    <w:rPr>
                      <w:szCs w:val="21"/>
                    </w:rPr>
                  </w:pPr>
                  <w:r>
                    <w:rPr>
                      <w:rFonts w:hint="eastAsia"/>
                      <w:szCs w:val="21"/>
                    </w:rPr>
                    <w:t>滤芯高温试验烤箱</w:t>
                  </w:r>
                </w:p>
              </w:tc>
              <w:tc>
                <w:tcPr>
                  <w:tcW w:w="987" w:type="dxa"/>
                  <w:vAlign w:val="center"/>
                </w:tcPr>
                <w:p>
                  <w:pPr>
                    <w:widowControl/>
                    <w:jc w:val="center"/>
                    <w:textAlignment w:val="bottom"/>
                    <w:rPr>
                      <w:color w:val="000000"/>
                    </w:rPr>
                  </w:pPr>
                  <w:r>
                    <w:rPr>
                      <w:rFonts w:hint="eastAsia"/>
                      <w:color w:val="000000"/>
                    </w:rPr>
                    <w:t>1</w:t>
                  </w:r>
                </w:p>
              </w:tc>
              <w:tc>
                <w:tcPr>
                  <w:tcW w:w="840" w:type="dxa"/>
                  <w:vAlign w:val="center"/>
                </w:tcPr>
                <w:p>
                  <w:pPr>
                    <w:jc w:val="center"/>
                    <w:rPr>
                      <w:color w:val="000000"/>
                    </w:rPr>
                  </w:pPr>
                  <w:r>
                    <w:rPr>
                      <w:rFonts w:hint="eastAsia"/>
                      <w:color w:val="000000"/>
                    </w:rPr>
                    <w:t>7</w:t>
                  </w:r>
                  <w:r>
                    <w:rPr>
                      <w:color w:val="000000"/>
                    </w:rPr>
                    <w:t>5-85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5</w:t>
                  </w:r>
                  <w:r>
                    <w:rPr>
                      <w:color w:val="000000"/>
                    </w:rPr>
                    <w:t>~65</w:t>
                  </w:r>
                </w:p>
              </w:tc>
              <w:tc>
                <w:tcPr>
                  <w:tcW w:w="974" w:type="dxa"/>
                  <w:vAlign w:val="center"/>
                </w:tcPr>
                <w:p>
                  <w:pPr>
                    <w:widowControl/>
                    <w:jc w:val="center"/>
                    <w:textAlignment w:val="center"/>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1</w:t>
                  </w:r>
                  <w:r>
                    <w:rPr>
                      <w:color w:val="000000"/>
                      <w:kern w:val="0"/>
                      <w:sz w:val="22"/>
                      <w:szCs w:val="22"/>
                      <w:lang w:bidi="ar"/>
                    </w:rPr>
                    <w:t>1</w:t>
                  </w:r>
                </w:p>
              </w:tc>
              <w:tc>
                <w:tcPr>
                  <w:tcW w:w="1517" w:type="dxa"/>
                  <w:vAlign w:val="center"/>
                </w:tcPr>
                <w:p>
                  <w:pPr>
                    <w:tabs>
                      <w:tab w:val="right" w:pos="2204"/>
                    </w:tabs>
                    <w:jc w:val="center"/>
                    <w:rPr>
                      <w:szCs w:val="21"/>
                    </w:rPr>
                  </w:pPr>
                  <w:r>
                    <w:rPr>
                      <w:rFonts w:hint="eastAsia"/>
                      <w:szCs w:val="21"/>
                    </w:rPr>
                    <w:t>热风循环烘箱</w:t>
                  </w:r>
                </w:p>
              </w:tc>
              <w:tc>
                <w:tcPr>
                  <w:tcW w:w="987" w:type="dxa"/>
                  <w:vAlign w:val="center"/>
                </w:tcPr>
                <w:p>
                  <w:pPr>
                    <w:widowControl/>
                    <w:jc w:val="center"/>
                    <w:textAlignment w:val="bottom"/>
                    <w:rPr>
                      <w:color w:val="000000"/>
                    </w:rPr>
                  </w:pPr>
                  <w:r>
                    <w:rPr>
                      <w:rFonts w:hint="eastAsia"/>
                      <w:color w:val="000000"/>
                    </w:rPr>
                    <w:t>1</w:t>
                  </w:r>
                </w:p>
              </w:tc>
              <w:tc>
                <w:tcPr>
                  <w:tcW w:w="840" w:type="dxa"/>
                  <w:vAlign w:val="center"/>
                </w:tcPr>
                <w:p>
                  <w:pPr>
                    <w:jc w:val="center"/>
                    <w:rPr>
                      <w:color w:val="000000"/>
                    </w:rPr>
                  </w:pPr>
                  <w:r>
                    <w:rPr>
                      <w:rFonts w:hint="eastAsia"/>
                      <w:color w:val="000000"/>
                    </w:rPr>
                    <w:t>7</w:t>
                  </w:r>
                  <w:r>
                    <w:rPr>
                      <w:color w:val="000000"/>
                    </w:rPr>
                    <w:t>5-85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5</w:t>
                  </w:r>
                  <w:r>
                    <w:rPr>
                      <w:color w:val="000000"/>
                    </w:rPr>
                    <w:t>~65</w:t>
                  </w:r>
                </w:p>
              </w:tc>
              <w:tc>
                <w:tcPr>
                  <w:tcW w:w="974" w:type="dxa"/>
                  <w:vAlign w:val="center"/>
                </w:tcPr>
                <w:p>
                  <w:pPr>
                    <w:widowControl/>
                    <w:jc w:val="center"/>
                    <w:textAlignment w:val="center"/>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1</w:t>
                  </w:r>
                  <w:r>
                    <w:rPr>
                      <w:color w:val="000000"/>
                      <w:kern w:val="0"/>
                      <w:sz w:val="22"/>
                      <w:szCs w:val="22"/>
                      <w:lang w:bidi="ar"/>
                    </w:rPr>
                    <w:t>2</w:t>
                  </w:r>
                </w:p>
              </w:tc>
              <w:tc>
                <w:tcPr>
                  <w:tcW w:w="1517" w:type="dxa"/>
                  <w:vAlign w:val="center"/>
                </w:tcPr>
                <w:p>
                  <w:pPr>
                    <w:tabs>
                      <w:tab w:val="right" w:pos="2204"/>
                    </w:tabs>
                    <w:jc w:val="center"/>
                    <w:rPr>
                      <w:szCs w:val="21"/>
                    </w:rPr>
                  </w:pPr>
                  <w:r>
                    <w:rPr>
                      <w:rFonts w:hint="eastAsia"/>
                      <w:szCs w:val="21"/>
                    </w:rPr>
                    <w:t>旋转蒸发器</w:t>
                  </w:r>
                </w:p>
              </w:tc>
              <w:tc>
                <w:tcPr>
                  <w:tcW w:w="987" w:type="dxa"/>
                  <w:vAlign w:val="center"/>
                </w:tcPr>
                <w:p>
                  <w:pPr>
                    <w:widowControl/>
                    <w:jc w:val="center"/>
                    <w:textAlignment w:val="bottom"/>
                    <w:rPr>
                      <w:color w:val="000000"/>
                    </w:rPr>
                  </w:pPr>
                  <w:r>
                    <w:rPr>
                      <w:rFonts w:hint="eastAsia"/>
                      <w:color w:val="000000"/>
                    </w:rPr>
                    <w:t>1</w:t>
                  </w:r>
                </w:p>
              </w:tc>
              <w:tc>
                <w:tcPr>
                  <w:tcW w:w="840" w:type="dxa"/>
                  <w:vAlign w:val="center"/>
                </w:tcPr>
                <w:p>
                  <w:pPr>
                    <w:jc w:val="center"/>
                    <w:rPr>
                      <w:color w:val="000000"/>
                    </w:rPr>
                  </w:pPr>
                  <w:r>
                    <w:rPr>
                      <w:rFonts w:hint="eastAsia"/>
                      <w:color w:val="000000"/>
                    </w:rPr>
                    <w:t>7</w:t>
                  </w:r>
                  <w:r>
                    <w:rPr>
                      <w:color w:val="000000"/>
                    </w:rPr>
                    <w:t>0-85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5</w:t>
                  </w:r>
                  <w:r>
                    <w:rPr>
                      <w:color w:val="000000"/>
                    </w:rPr>
                    <w:t>~65</w:t>
                  </w:r>
                </w:p>
              </w:tc>
              <w:tc>
                <w:tcPr>
                  <w:tcW w:w="974" w:type="dxa"/>
                  <w:vAlign w:val="center"/>
                </w:tcPr>
                <w:p>
                  <w:pPr>
                    <w:widowControl/>
                    <w:jc w:val="center"/>
                    <w:textAlignment w:val="center"/>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1</w:t>
                  </w:r>
                  <w:r>
                    <w:rPr>
                      <w:color w:val="000000"/>
                      <w:kern w:val="0"/>
                      <w:sz w:val="22"/>
                      <w:szCs w:val="22"/>
                      <w:lang w:bidi="ar"/>
                    </w:rPr>
                    <w:t>3</w:t>
                  </w:r>
                </w:p>
              </w:tc>
              <w:tc>
                <w:tcPr>
                  <w:tcW w:w="1517" w:type="dxa"/>
                  <w:vAlign w:val="center"/>
                </w:tcPr>
                <w:p>
                  <w:pPr>
                    <w:tabs>
                      <w:tab w:val="right" w:pos="2204"/>
                    </w:tabs>
                    <w:jc w:val="center"/>
                    <w:rPr>
                      <w:szCs w:val="21"/>
                    </w:rPr>
                  </w:pPr>
                  <w:r>
                    <w:rPr>
                      <w:rFonts w:hint="eastAsia"/>
                      <w:szCs w:val="21"/>
                    </w:rPr>
                    <w:t>永磁变频螺杆式空压机</w:t>
                  </w:r>
                </w:p>
              </w:tc>
              <w:tc>
                <w:tcPr>
                  <w:tcW w:w="987" w:type="dxa"/>
                  <w:vAlign w:val="center"/>
                </w:tcPr>
                <w:p>
                  <w:pPr>
                    <w:widowControl/>
                    <w:jc w:val="center"/>
                    <w:textAlignment w:val="bottom"/>
                    <w:rPr>
                      <w:color w:val="000000"/>
                    </w:rPr>
                  </w:pPr>
                  <w:r>
                    <w:rPr>
                      <w:color w:val="000000"/>
                    </w:rPr>
                    <w:t>1</w:t>
                  </w:r>
                </w:p>
              </w:tc>
              <w:tc>
                <w:tcPr>
                  <w:tcW w:w="840" w:type="dxa"/>
                  <w:vAlign w:val="center"/>
                </w:tcPr>
                <w:p>
                  <w:pPr>
                    <w:jc w:val="center"/>
                    <w:rPr>
                      <w:color w:val="000000"/>
                    </w:rPr>
                  </w:pPr>
                  <w:r>
                    <w:rPr>
                      <w:rFonts w:hint="eastAsia"/>
                      <w:color w:val="000000"/>
                    </w:rPr>
                    <w:t>7</w:t>
                  </w:r>
                  <w:r>
                    <w:rPr>
                      <w:color w:val="000000"/>
                    </w:rPr>
                    <w:t>5-85</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5</w:t>
                  </w:r>
                  <w:r>
                    <w:rPr>
                      <w:color w:val="000000"/>
                    </w:rPr>
                    <w:t>~65</w:t>
                  </w:r>
                </w:p>
              </w:tc>
              <w:tc>
                <w:tcPr>
                  <w:tcW w:w="974" w:type="dxa"/>
                  <w:vAlign w:val="center"/>
                </w:tcPr>
                <w:p>
                  <w:pPr>
                    <w:widowControl/>
                    <w:jc w:val="center"/>
                    <w:textAlignment w:val="center"/>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1</w:t>
                  </w:r>
                  <w:r>
                    <w:rPr>
                      <w:color w:val="000000"/>
                      <w:kern w:val="0"/>
                      <w:sz w:val="22"/>
                      <w:szCs w:val="22"/>
                      <w:lang w:bidi="ar"/>
                    </w:rPr>
                    <w:t>4</w:t>
                  </w:r>
                </w:p>
              </w:tc>
              <w:tc>
                <w:tcPr>
                  <w:tcW w:w="1517" w:type="dxa"/>
                  <w:vAlign w:val="center"/>
                </w:tcPr>
                <w:p>
                  <w:pPr>
                    <w:tabs>
                      <w:tab w:val="right" w:pos="2204"/>
                    </w:tabs>
                    <w:jc w:val="center"/>
                    <w:rPr>
                      <w:szCs w:val="21"/>
                    </w:rPr>
                  </w:pPr>
                  <w:r>
                    <w:rPr>
                      <w:rFonts w:hint="eastAsia"/>
                      <w:szCs w:val="21"/>
                    </w:rPr>
                    <w:t>行星球磨机</w:t>
                  </w:r>
                </w:p>
              </w:tc>
              <w:tc>
                <w:tcPr>
                  <w:tcW w:w="987" w:type="dxa"/>
                  <w:vAlign w:val="center"/>
                </w:tcPr>
                <w:p>
                  <w:pPr>
                    <w:widowControl/>
                    <w:jc w:val="center"/>
                    <w:textAlignment w:val="bottom"/>
                    <w:rPr>
                      <w:color w:val="000000"/>
                    </w:rPr>
                  </w:pPr>
                  <w:r>
                    <w:rPr>
                      <w:rFonts w:hint="eastAsia"/>
                      <w:color w:val="000000"/>
                    </w:rPr>
                    <w:t>1</w:t>
                  </w:r>
                </w:p>
              </w:tc>
              <w:tc>
                <w:tcPr>
                  <w:tcW w:w="840" w:type="dxa"/>
                  <w:vAlign w:val="center"/>
                </w:tcPr>
                <w:p>
                  <w:pPr>
                    <w:jc w:val="center"/>
                    <w:rPr>
                      <w:color w:val="000000"/>
                    </w:rPr>
                  </w:pPr>
                  <w:r>
                    <w:rPr>
                      <w:rFonts w:hint="eastAsia"/>
                      <w:color w:val="000000"/>
                    </w:rPr>
                    <w:t>7</w:t>
                  </w:r>
                  <w:r>
                    <w:rPr>
                      <w:color w:val="000000"/>
                    </w:rPr>
                    <w:t>0-80</w:t>
                  </w:r>
                </w:p>
              </w:tc>
              <w:tc>
                <w:tcPr>
                  <w:tcW w:w="2008" w:type="dxa"/>
                  <w:vAlign w:val="center"/>
                </w:tcPr>
                <w:p>
                  <w:pPr>
                    <w:jc w:val="center"/>
                    <w:rPr>
                      <w:color w:val="000000"/>
                    </w:rPr>
                  </w:pPr>
                  <w:r>
                    <w:rPr>
                      <w:color w:val="000000"/>
                    </w:rPr>
                    <w:t>设备减振、厂房隔声</w:t>
                  </w:r>
                </w:p>
              </w:tc>
              <w:tc>
                <w:tcPr>
                  <w:tcW w:w="969" w:type="dxa"/>
                  <w:vAlign w:val="center"/>
                </w:tcPr>
                <w:p>
                  <w:pPr>
                    <w:jc w:val="center"/>
                    <w:rPr>
                      <w:color w:val="000000"/>
                    </w:rPr>
                  </w:pPr>
                  <w:r>
                    <w:rPr>
                      <w:color w:val="000000"/>
                    </w:rPr>
                    <w:t>5</w:t>
                  </w:r>
                  <w:r>
                    <w:rPr>
                      <w:rFonts w:hint="eastAsia"/>
                      <w:color w:val="000000"/>
                    </w:rPr>
                    <w:t>5</w:t>
                  </w:r>
                  <w:r>
                    <w:rPr>
                      <w:color w:val="000000"/>
                    </w:rPr>
                    <w:t>~65</w:t>
                  </w:r>
                </w:p>
              </w:tc>
              <w:tc>
                <w:tcPr>
                  <w:tcW w:w="974" w:type="dxa"/>
                  <w:vAlign w:val="center"/>
                </w:tcPr>
                <w:p>
                  <w:pPr>
                    <w:widowControl/>
                    <w:jc w:val="center"/>
                    <w:textAlignment w:val="center"/>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8" w:type="dxa"/>
                  <w:vAlign w:val="center"/>
                </w:tcPr>
                <w:p>
                  <w:pPr>
                    <w:widowControl/>
                    <w:jc w:val="center"/>
                    <w:textAlignment w:val="bottom"/>
                    <w:rPr>
                      <w:color w:val="000000"/>
                      <w:kern w:val="0"/>
                      <w:sz w:val="22"/>
                      <w:szCs w:val="22"/>
                      <w:lang w:bidi="ar"/>
                    </w:rPr>
                  </w:pPr>
                  <w:r>
                    <w:rPr>
                      <w:rFonts w:hint="eastAsia"/>
                      <w:color w:val="000000"/>
                      <w:kern w:val="0"/>
                      <w:sz w:val="22"/>
                      <w:szCs w:val="22"/>
                      <w:lang w:bidi="ar"/>
                    </w:rPr>
                    <w:t>1</w:t>
                  </w:r>
                  <w:r>
                    <w:rPr>
                      <w:color w:val="000000"/>
                      <w:kern w:val="0"/>
                      <w:sz w:val="22"/>
                      <w:szCs w:val="22"/>
                      <w:lang w:bidi="ar"/>
                    </w:rPr>
                    <w:t>5</w:t>
                  </w:r>
                </w:p>
              </w:tc>
              <w:tc>
                <w:tcPr>
                  <w:tcW w:w="1517" w:type="dxa"/>
                  <w:vAlign w:val="center"/>
                </w:tcPr>
                <w:p>
                  <w:pPr>
                    <w:tabs>
                      <w:tab w:val="right" w:pos="2204"/>
                    </w:tabs>
                    <w:jc w:val="center"/>
                    <w:rPr>
                      <w:szCs w:val="21"/>
                    </w:rPr>
                  </w:pPr>
                  <w:r>
                    <w:rPr>
                      <w:rFonts w:hint="eastAsia"/>
                      <w:szCs w:val="21"/>
                    </w:rPr>
                    <w:t>龙门架</w:t>
                  </w:r>
                </w:p>
              </w:tc>
              <w:tc>
                <w:tcPr>
                  <w:tcW w:w="987" w:type="dxa"/>
                  <w:vAlign w:val="center"/>
                </w:tcPr>
                <w:p>
                  <w:pPr>
                    <w:widowControl/>
                    <w:jc w:val="center"/>
                    <w:textAlignment w:val="bottom"/>
                    <w:rPr>
                      <w:color w:val="000000"/>
                    </w:rPr>
                  </w:pPr>
                  <w:r>
                    <w:rPr>
                      <w:rFonts w:hint="eastAsia"/>
                      <w:color w:val="000000"/>
                    </w:rPr>
                    <w:t>1</w:t>
                  </w:r>
                </w:p>
              </w:tc>
              <w:tc>
                <w:tcPr>
                  <w:tcW w:w="840" w:type="dxa"/>
                  <w:vAlign w:val="center"/>
                </w:tcPr>
                <w:p>
                  <w:pPr>
                    <w:jc w:val="center"/>
                    <w:rPr>
                      <w:color w:val="000000"/>
                    </w:rPr>
                  </w:pPr>
                  <w:r>
                    <w:rPr>
                      <w:color w:val="000000"/>
                    </w:rPr>
                    <w:t>75-85</w:t>
                  </w:r>
                </w:p>
              </w:tc>
              <w:tc>
                <w:tcPr>
                  <w:tcW w:w="2008" w:type="dxa"/>
                  <w:vAlign w:val="center"/>
                </w:tcPr>
                <w:p>
                  <w:pPr>
                    <w:jc w:val="center"/>
                    <w:rPr>
                      <w:b/>
                      <w:bCs/>
                      <w:color w:val="000000"/>
                    </w:rPr>
                  </w:pPr>
                  <w:r>
                    <w:rPr>
                      <w:color w:val="000000"/>
                    </w:rPr>
                    <w:t>设备减振、厂房隔声</w:t>
                  </w:r>
                </w:p>
              </w:tc>
              <w:tc>
                <w:tcPr>
                  <w:tcW w:w="969" w:type="dxa"/>
                  <w:vAlign w:val="center"/>
                </w:tcPr>
                <w:p>
                  <w:pPr>
                    <w:jc w:val="center"/>
                    <w:rPr>
                      <w:b/>
                      <w:bCs/>
                      <w:color w:val="000000"/>
                    </w:rPr>
                  </w:pPr>
                  <w:r>
                    <w:rPr>
                      <w:color w:val="000000"/>
                    </w:rPr>
                    <w:t>5</w:t>
                  </w:r>
                  <w:r>
                    <w:rPr>
                      <w:rFonts w:hint="eastAsia"/>
                      <w:color w:val="000000"/>
                    </w:rPr>
                    <w:t>5</w:t>
                  </w:r>
                  <w:r>
                    <w:rPr>
                      <w:color w:val="000000"/>
                    </w:rPr>
                    <w:t>~65</w:t>
                  </w:r>
                </w:p>
              </w:tc>
              <w:tc>
                <w:tcPr>
                  <w:tcW w:w="974" w:type="dxa"/>
                  <w:vAlign w:val="center"/>
                </w:tcPr>
                <w:p>
                  <w:pPr>
                    <w:widowControl/>
                    <w:jc w:val="center"/>
                    <w:textAlignment w:val="center"/>
                    <w:rPr>
                      <w:b/>
                      <w:bCs/>
                      <w:color w:val="000000"/>
                    </w:rPr>
                  </w:pPr>
                  <w:r>
                    <w:rPr>
                      <w:color w:val="000000"/>
                    </w:rPr>
                    <w:t>8</w:t>
                  </w:r>
                </w:p>
              </w:tc>
            </w:tr>
          </w:tbl>
          <w:p>
            <w:pPr>
              <w:spacing w:line="360" w:lineRule="auto"/>
              <w:ind w:firstLine="420" w:firstLineChars="200"/>
              <w:rPr>
                <w:color w:val="000000"/>
                <w:szCs w:val="21"/>
              </w:rPr>
            </w:pPr>
            <w:r>
              <w:rPr>
                <w:color w:val="000000"/>
                <w:szCs w:val="21"/>
              </w:rPr>
              <w:t>备注：①距离设备1m处的声压级；</w:t>
            </w:r>
          </w:p>
          <w:p>
            <w:pPr>
              <w:spacing w:line="360" w:lineRule="auto"/>
              <w:ind w:firstLine="480" w:firstLineChars="200"/>
              <w:rPr>
                <w:color w:val="000000"/>
                <w:sz w:val="24"/>
              </w:rPr>
            </w:pPr>
            <w:r>
              <w:rPr>
                <w:color w:val="000000"/>
                <w:sz w:val="24"/>
              </w:rPr>
              <w:t>本项目生产设备均布置在生产厂房内，通过选用低噪设备、安装减振基座，并经厂区建筑物的隔声、距离的衰减，厂界噪声排放预测模式选用《环境影响评价技术导则——声环境》（HJ2.4-20</w:t>
            </w:r>
            <w:r>
              <w:rPr>
                <w:rFonts w:hint="eastAsia"/>
                <w:color w:val="000000"/>
                <w:sz w:val="24"/>
              </w:rPr>
              <w:t>21</w:t>
            </w:r>
            <w:r>
              <w:rPr>
                <w:color w:val="000000"/>
                <w:sz w:val="24"/>
              </w:rPr>
              <w:t>）推荐的模式，其数学表达式如下：</w:t>
            </w:r>
          </w:p>
          <w:p>
            <w:pPr>
              <w:pStyle w:val="68"/>
              <w:rPr>
                <w:color w:val="000000"/>
              </w:rPr>
            </w:pPr>
            <w:r>
              <w:rPr>
                <w:color w:val="000000"/>
              </w:rPr>
              <w:t>①计算某个室内声源在靠近围护结构处的倍频带声压级：</w:t>
            </w:r>
          </w:p>
          <w:p>
            <w:pPr>
              <w:pStyle w:val="68"/>
              <w:jc w:val="center"/>
              <w:rPr>
                <w:color w:val="000000"/>
              </w:rPr>
            </w:pPr>
            <w:r>
              <w:rPr>
                <w:color w:val="000000"/>
              </w:rPr>
              <w:object>
                <v:shape id="_x0000_i1025" o:spt="75" alt="" type="#_x0000_t75" style="height:38.5pt;width:150.7pt;" o:ole="t" filled="f" o:preferrelative="t" stroked="f" coordsize="21600,21600">
                  <v:path/>
                  <v:fill on="f" focussize="0,0"/>
                  <v:stroke on="f"/>
                  <v:imagedata r:id="rId18" o:title=""/>
                  <o:lock v:ext="edit" aspectratio="t"/>
                  <w10:wrap type="none"/>
                  <w10:anchorlock/>
                </v:shape>
                <o:OLEObject Type="Embed" ProgID="Equation.3" ShapeID="_x0000_i1025" DrawAspect="Content" ObjectID="_1468075725" r:id="rId17">
                  <o:LockedField>false</o:LockedField>
                </o:OLEObject>
              </w:object>
            </w:r>
          </w:p>
          <w:p>
            <w:pPr>
              <w:pStyle w:val="68"/>
              <w:rPr>
                <w:color w:val="000000"/>
              </w:rPr>
            </w:pPr>
            <w:r>
              <w:rPr>
                <w:color w:val="000000"/>
              </w:rPr>
              <w:t>式中：L</w:t>
            </w:r>
            <w:r>
              <w:rPr>
                <w:color w:val="000000"/>
                <w:vertAlign w:val="subscript"/>
              </w:rPr>
              <w:t>oct,1</w:t>
            </w:r>
            <w:r>
              <w:rPr>
                <w:color w:val="000000"/>
              </w:rPr>
              <w:sym w:font="Symbol" w:char="F0BE"/>
            </w:r>
            <w:r>
              <w:rPr>
                <w:color w:val="000000"/>
              </w:rPr>
              <w:t>某个室内声源在靠近围护结构处产生的倍频带声压级，dB；</w:t>
            </w:r>
          </w:p>
          <w:p>
            <w:pPr>
              <w:pStyle w:val="68"/>
              <w:ind w:firstLine="1200" w:firstLineChars="500"/>
              <w:rPr>
                <w:color w:val="000000"/>
              </w:rPr>
            </w:pPr>
            <w:r>
              <w:rPr>
                <w:color w:val="000000"/>
              </w:rPr>
              <w:t>L</w:t>
            </w:r>
            <w:r>
              <w:rPr>
                <w:color w:val="000000"/>
                <w:vertAlign w:val="subscript"/>
              </w:rPr>
              <w:t>woct</w:t>
            </w:r>
            <w:r>
              <w:rPr>
                <w:color w:val="000000"/>
              </w:rPr>
              <w:sym w:font="Symbol" w:char="F0BE"/>
            </w:r>
            <w:r>
              <w:rPr>
                <w:color w:val="000000"/>
              </w:rPr>
              <w:t>某个声源的倍频带声功率级，dB（A）；</w:t>
            </w:r>
          </w:p>
          <w:p>
            <w:pPr>
              <w:pStyle w:val="68"/>
              <w:ind w:firstLine="1200" w:firstLineChars="500"/>
              <w:rPr>
                <w:color w:val="000000"/>
              </w:rPr>
            </w:pPr>
            <w:r>
              <w:rPr>
                <w:color w:val="000000"/>
              </w:rPr>
              <w:t>r</w:t>
            </w:r>
            <w:r>
              <w:rPr>
                <w:color w:val="000000"/>
                <w:vertAlign w:val="subscript"/>
              </w:rPr>
              <w:t>1</w:t>
            </w:r>
            <w:r>
              <w:rPr>
                <w:color w:val="000000"/>
              </w:rPr>
              <w:sym w:font="Symbol" w:char="F0BE"/>
            </w:r>
            <w:r>
              <w:rPr>
                <w:color w:val="000000"/>
              </w:rPr>
              <w:t>室内某个声源与靠近围护结构处的距离，m；</w:t>
            </w:r>
          </w:p>
          <w:p>
            <w:pPr>
              <w:pStyle w:val="68"/>
              <w:ind w:firstLine="1200" w:firstLineChars="500"/>
              <w:rPr>
                <w:color w:val="000000"/>
              </w:rPr>
            </w:pPr>
            <w:r>
              <w:rPr>
                <w:color w:val="000000"/>
              </w:rPr>
              <w:t>R</w:t>
            </w:r>
            <w:r>
              <w:rPr>
                <w:color w:val="000000"/>
              </w:rPr>
              <w:sym w:font="Symbol" w:char="F0BE"/>
            </w:r>
            <w:r>
              <w:rPr>
                <w:color w:val="000000"/>
              </w:rPr>
              <w:t>房间常数，m</w:t>
            </w:r>
            <w:r>
              <w:rPr>
                <w:color w:val="000000"/>
                <w:vertAlign w:val="superscript"/>
              </w:rPr>
              <w:t>2</w:t>
            </w:r>
            <w:r>
              <w:rPr>
                <w:color w:val="000000"/>
              </w:rPr>
              <w:t>；</w:t>
            </w:r>
          </w:p>
          <w:p>
            <w:pPr>
              <w:pStyle w:val="68"/>
              <w:ind w:firstLine="1200" w:firstLineChars="500"/>
              <w:rPr>
                <w:color w:val="000000"/>
              </w:rPr>
            </w:pPr>
            <w:r>
              <w:rPr>
                <w:color w:val="000000"/>
              </w:rPr>
              <w:t>Q</w:t>
            </w:r>
            <w:r>
              <w:rPr>
                <w:color w:val="000000"/>
              </w:rPr>
              <w:sym w:font="Symbol" w:char="F0BE"/>
            </w:r>
            <w:r>
              <w:rPr>
                <w:color w:val="000000"/>
              </w:rPr>
              <w:t>方向性因子，无量纲值。</w:t>
            </w:r>
          </w:p>
          <w:p>
            <w:pPr>
              <w:pStyle w:val="68"/>
              <w:rPr>
                <w:color w:val="000000"/>
              </w:rPr>
            </w:pPr>
            <w:r>
              <w:rPr>
                <w:color w:val="000000"/>
              </w:rPr>
              <w:t>②计算所有室内声源在靠近围护结构处产生的总倍频带声压级：</w:t>
            </w:r>
          </w:p>
          <w:p>
            <w:pPr>
              <w:pStyle w:val="68"/>
              <w:ind w:firstLine="0" w:firstLineChars="0"/>
              <w:jc w:val="center"/>
              <w:rPr>
                <w:color w:val="000000"/>
              </w:rPr>
            </w:pPr>
            <w:r>
              <w:rPr>
                <w:color w:val="000000"/>
              </w:rPr>
              <w:object>
                <v:shape id="_x0000_i1026" o:spt="75" alt="" type="#_x0000_t75" style="height:36pt;width:140.65pt;" o:ole="t" filled="f" o:preferrelative="t" stroked="f" coordsize="21600,21600">
                  <v:path/>
                  <v:fill on="f" focussize="0,0"/>
                  <v:stroke on="f"/>
                  <v:imagedata r:id="rId20" o:title=""/>
                  <o:lock v:ext="edit" aspectratio="t"/>
                  <w10:wrap type="none"/>
                  <w10:anchorlock/>
                </v:shape>
                <o:OLEObject Type="Embed" ProgID="Equation.3" ShapeID="_x0000_i1026" DrawAspect="Content" ObjectID="_1468075726" r:id="rId19">
                  <o:LockedField>false</o:LockedField>
                </o:OLEObject>
              </w:object>
            </w:r>
          </w:p>
          <w:p>
            <w:pPr>
              <w:pStyle w:val="68"/>
              <w:rPr>
                <w:color w:val="000000"/>
              </w:rPr>
            </w:pPr>
            <w:r>
              <w:rPr>
                <w:color w:val="000000"/>
              </w:rPr>
              <w:t>③计算室外靠近围护结构处的声压级：</w:t>
            </w:r>
          </w:p>
          <w:p>
            <w:pPr>
              <w:pStyle w:val="68"/>
              <w:ind w:firstLine="0" w:firstLineChars="0"/>
              <w:jc w:val="center"/>
              <w:rPr>
                <w:color w:val="000000"/>
              </w:rPr>
            </w:pPr>
            <w:r>
              <w:rPr>
                <w:color w:val="000000"/>
              </w:rPr>
              <w:object>
                <v:shape id="_x0000_i1027" o:spt="75" alt="" type="#_x0000_t75" style="height:18.4pt;width:147.35pt;" o:ole="t" filled="f" o:preferrelative="t" stroked="f" coordsize="21600,21600">
                  <v:path/>
                  <v:fill on="f" focussize="0,0"/>
                  <v:stroke on="f"/>
                  <v:imagedata r:id="rId22" o:title=""/>
                  <o:lock v:ext="edit" aspectratio="t"/>
                  <w10:wrap type="none"/>
                  <w10:anchorlock/>
                </v:shape>
                <o:OLEObject Type="Embed" ProgID="Equation.3" ShapeID="_x0000_i1027" DrawAspect="Content" ObjectID="_1468075727" r:id="rId21">
                  <o:LockedField>false</o:LockedField>
                </o:OLEObject>
              </w:object>
            </w:r>
          </w:p>
          <w:p>
            <w:pPr>
              <w:pStyle w:val="68"/>
              <w:rPr>
                <w:color w:val="000000"/>
              </w:rPr>
            </w:pPr>
            <w:r>
              <w:rPr>
                <w:color w:val="000000"/>
              </w:rPr>
              <w:t>④将室外声级L</w:t>
            </w:r>
            <w:r>
              <w:rPr>
                <w:color w:val="000000"/>
                <w:vertAlign w:val="subscript"/>
              </w:rPr>
              <w:t>oct,2</w:t>
            </w:r>
            <w:r>
              <w:rPr>
                <w:color w:val="000000"/>
              </w:rPr>
              <w:t>(T)和透声面积换算成等效的室外声源，计算等效声源第i个倍频带的声功率级L</w:t>
            </w:r>
            <w:r>
              <w:rPr>
                <w:color w:val="000000"/>
                <w:vertAlign w:val="subscript"/>
              </w:rPr>
              <w:t>woct</w:t>
            </w:r>
            <w:r>
              <w:rPr>
                <w:color w:val="000000"/>
              </w:rPr>
              <w:t>：</w:t>
            </w:r>
          </w:p>
          <w:p>
            <w:pPr>
              <w:pStyle w:val="68"/>
              <w:ind w:firstLine="0" w:firstLineChars="0"/>
              <w:jc w:val="center"/>
              <w:rPr>
                <w:color w:val="000000"/>
              </w:rPr>
            </w:pPr>
            <w:r>
              <w:rPr>
                <w:color w:val="000000"/>
                <w:position w:val="-14"/>
              </w:rPr>
              <w:object>
                <v:shape id="_x0000_i1028" o:spt="75" alt="" type="#_x0000_t75" style="height:18.4pt;width:118.9pt;" o:ole="t" filled="f" o:preferrelative="t" stroked="f" coordsize="21600,21600">
                  <v:path/>
                  <v:fill on="f" focussize="0,0"/>
                  <v:stroke on="f"/>
                  <v:imagedata r:id="rId24" o:title=""/>
                  <o:lock v:ext="edit" aspectratio="t"/>
                  <w10:wrap type="none"/>
                  <w10:anchorlock/>
                </v:shape>
                <o:OLEObject Type="Embed" ProgID="Equation.3" ShapeID="_x0000_i1028" DrawAspect="Content" ObjectID="_1468075728" r:id="rId23">
                  <o:LockedField>false</o:LockedField>
                </o:OLEObject>
              </w:object>
            </w:r>
          </w:p>
          <w:p>
            <w:pPr>
              <w:pStyle w:val="68"/>
              <w:rPr>
                <w:color w:val="000000"/>
              </w:rPr>
            </w:pPr>
            <w:r>
              <w:rPr>
                <w:color w:val="000000"/>
              </w:rPr>
              <w:t>式中：S—透声面积，m</w:t>
            </w:r>
            <w:r>
              <w:rPr>
                <w:color w:val="000000"/>
                <w:vertAlign w:val="superscript"/>
              </w:rPr>
              <w:t>2</w:t>
            </w:r>
            <w:r>
              <w:rPr>
                <w:color w:val="000000"/>
              </w:rPr>
              <w:t>。</w:t>
            </w:r>
          </w:p>
          <w:p>
            <w:pPr>
              <w:pStyle w:val="68"/>
              <w:rPr>
                <w:color w:val="000000"/>
              </w:rPr>
            </w:pPr>
            <w:r>
              <w:rPr>
                <w:color w:val="000000"/>
              </w:rPr>
              <w:t>⑤等效室外声源的位置为围护结构的位置，其倍频带声功率级为L</w:t>
            </w:r>
            <w:r>
              <w:rPr>
                <w:color w:val="000000"/>
                <w:vertAlign w:val="subscript"/>
              </w:rPr>
              <w:t>woct</w:t>
            </w:r>
            <w:r>
              <w:rPr>
                <w:color w:val="000000"/>
              </w:rPr>
              <w:t>，由此按室外声源方法计算等效室外声源在预测点产生的声级。</w:t>
            </w:r>
          </w:p>
          <w:p>
            <w:pPr>
              <w:pStyle w:val="68"/>
              <w:rPr>
                <w:color w:val="000000"/>
              </w:rPr>
            </w:pPr>
            <w:r>
              <w:rPr>
                <w:color w:val="000000"/>
              </w:rPr>
              <w:t>⑥计算某个室外声源在预测点产生的倍频带声压级：</w:t>
            </w:r>
          </w:p>
          <w:p>
            <w:pPr>
              <w:pStyle w:val="68"/>
              <w:ind w:firstLine="0" w:firstLineChars="0"/>
              <w:jc w:val="center"/>
              <w:rPr>
                <w:color w:val="000000"/>
              </w:rPr>
            </w:pPr>
            <w:r>
              <w:rPr>
                <w:color w:val="000000"/>
              </w:rPr>
              <w:object>
                <v:shape id="_x0000_i1029" o:spt="75" alt="" type="#_x0000_t75" style="height:18.4pt;width:170.8pt;" o:ole="t" filled="f" o:preferrelative="t" stroked="f" coordsize="21600,21600">
                  <v:path/>
                  <v:fill on="f" focussize="0,0"/>
                  <v:stroke on="f"/>
                  <v:imagedata r:id="rId26" o:title=""/>
                  <o:lock v:ext="edit" aspectratio="t"/>
                  <w10:wrap type="none"/>
                  <w10:anchorlock/>
                </v:shape>
                <o:OLEObject Type="Embed" ProgID="Equation.3" ShapeID="_x0000_i1029" DrawAspect="Content" ObjectID="_1468075729" r:id="rId25">
                  <o:LockedField>false</o:LockedField>
                </o:OLEObject>
              </w:object>
            </w:r>
          </w:p>
          <w:p>
            <w:pPr>
              <w:pStyle w:val="68"/>
              <w:rPr>
                <w:color w:val="000000"/>
              </w:rPr>
            </w:pPr>
            <w:r>
              <w:rPr>
                <w:color w:val="000000"/>
              </w:rPr>
              <w:t>式中：L</w:t>
            </w:r>
            <w:r>
              <w:rPr>
                <w:color w:val="000000"/>
                <w:vertAlign w:val="subscript"/>
              </w:rPr>
              <w:t>oct</w:t>
            </w:r>
            <w:r>
              <w:rPr>
                <w:color w:val="000000"/>
              </w:rPr>
              <w:t>(r)</w:t>
            </w:r>
            <w:r>
              <w:rPr>
                <w:color w:val="000000"/>
              </w:rPr>
              <w:sym w:font="Symbol" w:char="F0BE"/>
            </w:r>
            <w:r>
              <w:rPr>
                <w:color w:val="000000"/>
              </w:rPr>
              <w:t>点声源在预测点产生的倍频带声压级，dB；</w:t>
            </w:r>
          </w:p>
          <w:p>
            <w:pPr>
              <w:pStyle w:val="68"/>
              <w:ind w:firstLine="1200" w:firstLineChars="500"/>
              <w:rPr>
                <w:color w:val="000000"/>
              </w:rPr>
            </w:pPr>
            <w:r>
              <w:rPr>
                <w:color w:val="000000"/>
              </w:rPr>
              <w:t>L</w:t>
            </w:r>
            <w:r>
              <w:rPr>
                <w:color w:val="000000"/>
                <w:vertAlign w:val="subscript"/>
              </w:rPr>
              <w:t>oct</w:t>
            </w:r>
            <w:r>
              <w:rPr>
                <w:color w:val="000000"/>
              </w:rPr>
              <w:t>(r</w:t>
            </w:r>
            <w:r>
              <w:rPr>
                <w:color w:val="000000"/>
                <w:vertAlign w:val="subscript"/>
              </w:rPr>
              <w:t>0</w:t>
            </w:r>
            <w:r>
              <w:rPr>
                <w:color w:val="000000"/>
              </w:rPr>
              <w:t>)</w:t>
            </w:r>
            <w:r>
              <w:rPr>
                <w:color w:val="000000"/>
              </w:rPr>
              <w:sym w:font="Symbol" w:char="F0BE"/>
            </w:r>
            <w:r>
              <w:rPr>
                <w:color w:val="000000"/>
              </w:rPr>
              <w:t>参考位置r</w:t>
            </w:r>
            <w:r>
              <w:rPr>
                <w:color w:val="000000"/>
                <w:vertAlign w:val="subscript"/>
              </w:rPr>
              <w:t>0</w:t>
            </w:r>
            <w:r>
              <w:rPr>
                <w:color w:val="000000"/>
              </w:rPr>
              <w:t>处的倍频带声压级，dB；</w:t>
            </w:r>
          </w:p>
          <w:p>
            <w:pPr>
              <w:pStyle w:val="68"/>
              <w:ind w:firstLine="1200" w:firstLineChars="500"/>
              <w:rPr>
                <w:color w:val="000000"/>
              </w:rPr>
            </w:pPr>
            <w:r>
              <w:rPr>
                <w:color w:val="000000"/>
              </w:rPr>
              <w:t>r</w:t>
            </w:r>
            <w:r>
              <w:rPr>
                <w:color w:val="000000"/>
              </w:rPr>
              <w:sym w:font="Symbol" w:char="F0BE"/>
            </w:r>
            <w:r>
              <w:rPr>
                <w:color w:val="000000"/>
              </w:rPr>
              <w:t>预测点距声源的距离，m；</w:t>
            </w:r>
          </w:p>
          <w:p>
            <w:pPr>
              <w:pStyle w:val="68"/>
              <w:ind w:firstLine="1200" w:firstLineChars="500"/>
              <w:rPr>
                <w:color w:val="000000"/>
              </w:rPr>
            </w:pPr>
            <w:r>
              <w:rPr>
                <w:color w:val="000000"/>
              </w:rPr>
              <w:t>r</w:t>
            </w:r>
            <w:r>
              <w:rPr>
                <w:color w:val="000000"/>
                <w:vertAlign w:val="subscript"/>
              </w:rPr>
              <w:t>0</w:t>
            </w:r>
            <w:r>
              <w:rPr>
                <w:color w:val="000000"/>
              </w:rPr>
              <w:sym w:font="Symbol" w:char="F0BE"/>
            </w:r>
            <w:r>
              <w:rPr>
                <w:color w:val="000000"/>
              </w:rPr>
              <w:t>参考位置距声源的距离，m；</w:t>
            </w:r>
          </w:p>
          <w:p>
            <w:pPr>
              <w:pStyle w:val="68"/>
              <w:ind w:firstLine="1200" w:firstLineChars="500"/>
              <w:rPr>
                <w:color w:val="000000"/>
              </w:rPr>
            </w:pPr>
            <w:r>
              <w:rPr>
                <w:color w:val="000000"/>
              </w:rPr>
              <w:sym w:font="Symbol" w:char="F044"/>
            </w:r>
            <w:r>
              <w:rPr>
                <w:color w:val="000000"/>
              </w:rPr>
              <w:t>L</w:t>
            </w:r>
            <w:r>
              <w:rPr>
                <w:color w:val="000000"/>
                <w:vertAlign w:val="subscript"/>
              </w:rPr>
              <w:t>oct</w:t>
            </w:r>
            <w:r>
              <w:rPr>
                <w:color w:val="000000"/>
              </w:rPr>
              <w:sym w:font="Symbol" w:char="F0BE"/>
            </w:r>
            <w:r>
              <w:rPr>
                <w:color w:val="000000"/>
              </w:rPr>
              <w:t>各种因素引起的衰减量(包括声屏障、遮挡物、空气吸收、地面效应引起的衰减量，计算方法详见导则)。</w:t>
            </w:r>
          </w:p>
          <w:p>
            <w:pPr>
              <w:pStyle w:val="68"/>
              <w:rPr>
                <w:color w:val="000000"/>
              </w:rPr>
            </w:pPr>
            <w:r>
              <w:rPr>
                <w:color w:val="000000"/>
              </w:rPr>
              <w:t>如果已知声源的倍频带声功率级L</w:t>
            </w:r>
            <w:r>
              <w:rPr>
                <w:color w:val="000000"/>
                <w:vertAlign w:val="subscript"/>
              </w:rPr>
              <w:t>woct</w:t>
            </w:r>
            <w:r>
              <w:rPr>
                <w:color w:val="000000"/>
              </w:rPr>
              <w:t>，且声源可看作是位于地面上的，则</w:t>
            </w:r>
          </w:p>
          <w:p>
            <w:pPr>
              <w:pStyle w:val="68"/>
              <w:ind w:firstLine="0" w:firstLineChars="0"/>
              <w:jc w:val="center"/>
              <w:rPr>
                <w:color w:val="000000"/>
              </w:rPr>
            </w:pPr>
            <w:r>
              <w:rPr>
                <w:color w:val="000000"/>
              </w:rPr>
              <w:object>
                <v:shape id="_x0000_i1030" o:spt="75" alt="" type="#_x0000_t75" style="height:18.4pt;width:131.45pt;" o:ole="t" filled="f" o:preferrelative="t" stroked="f" coordsize="21600,21600">
                  <v:path/>
                  <v:fill on="f" focussize="0,0"/>
                  <v:stroke on="f"/>
                  <v:imagedata r:id="rId28" o:title=""/>
                  <o:lock v:ext="edit" aspectratio="t"/>
                  <w10:wrap type="none"/>
                  <w10:anchorlock/>
                </v:shape>
                <o:OLEObject Type="Embed" ProgID="Equation.3" ShapeID="_x0000_i1030" DrawAspect="Content" ObjectID="_1468075730" r:id="rId27">
                  <o:LockedField>false</o:LockedField>
                </o:OLEObject>
              </w:object>
            </w:r>
          </w:p>
          <w:p>
            <w:pPr>
              <w:pStyle w:val="68"/>
              <w:rPr>
                <w:color w:val="000000"/>
              </w:rPr>
            </w:pPr>
            <w:r>
              <w:rPr>
                <w:color w:val="000000"/>
              </w:rPr>
              <w:t>⑦由各倍频带声压级合成计算该声源产生的A声级Leq(A)。</w:t>
            </w:r>
          </w:p>
          <w:p>
            <w:pPr>
              <w:pStyle w:val="68"/>
              <w:rPr>
                <w:color w:val="000000"/>
              </w:rPr>
            </w:pPr>
            <w:r>
              <w:rPr>
                <w:color w:val="000000"/>
              </w:rPr>
              <w:t>⑧计算总声压级</w:t>
            </w:r>
          </w:p>
          <w:p>
            <w:pPr>
              <w:pStyle w:val="68"/>
              <w:rPr>
                <w:color w:val="000000"/>
              </w:rPr>
            </w:pPr>
            <w:r>
              <w:rPr>
                <w:color w:val="000000"/>
              </w:rPr>
              <w:t>设第i个室外声源在预测点产生的A声级为L</w:t>
            </w:r>
            <w:r>
              <w:rPr>
                <w:color w:val="000000"/>
                <w:vertAlign w:val="subscript"/>
              </w:rPr>
              <w:t>Ain,i</w:t>
            </w:r>
            <w:r>
              <w:rPr>
                <w:color w:val="000000"/>
              </w:rPr>
              <w:t>，在T时间内该声源工作时间为tin,i；第j个等效室外声源在预测点产生的A声级为L</w:t>
            </w:r>
            <w:r>
              <w:rPr>
                <w:color w:val="000000"/>
                <w:vertAlign w:val="subscript"/>
              </w:rPr>
              <w:t>Aout,j</w:t>
            </w:r>
            <w:r>
              <w:rPr>
                <w:color w:val="000000"/>
              </w:rPr>
              <w:t>，在T时间内该声源工作时间为tout,j，则预测点的总等效声级为：</w:t>
            </w:r>
          </w:p>
          <w:p>
            <w:pPr>
              <w:pStyle w:val="68"/>
              <w:jc w:val="center"/>
              <w:rPr>
                <w:color w:val="000000"/>
              </w:rPr>
            </w:pPr>
            <w:r>
              <w:rPr>
                <w:color w:val="000000"/>
              </w:rPr>
              <w:object>
                <v:shape id="_x0000_i1031" o:spt="75" alt="" type="#_x0000_t75" style="height:38.5pt;width:249.5pt;" o:ole="t" filled="f" o:preferrelative="t" stroked="f" coordsize="21600,21600">
                  <v:path/>
                  <v:fill on="f" focussize="0,0"/>
                  <v:stroke on="f"/>
                  <v:imagedata r:id="rId30" o:title=""/>
                  <o:lock v:ext="edit" aspectratio="t"/>
                  <w10:wrap type="none"/>
                  <w10:anchorlock/>
                </v:shape>
                <o:OLEObject Type="Embed" ProgID="Equation.3" ShapeID="_x0000_i1031" DrawAspect="Content" ObjectID="_1468075731" r:id="rId29">
                  <o:LockedField>false</o:LockedField>
                </o:OLEObject>
              </w:object>
            </w:r>
          </w:p>
          <w:p>
            <w:pPr>
              <w:pStyle w:val="68"/>
              <w:rPr>
                <w:color w:val="000000"/>
              </w:rPr>
            </w:pPr>
            <w:r>
              <w:rPr>
                <w:color w:val="000000"/>
              </w:rPr>
              <w:t>式中：T—计算等效声级的时间，h；</w:t>
            </w:r>
          </w:p>
          <w:p>
            <w:pPr>
              <w:pStyle w:val="68"/>
              <w:ind w:firstLine="1200" w:firstLineChars="500"/>
              <w:rPr>
                <w:color w:val="000000"/>
              </w:rPr>
            </w:pPr>
            <w:r>
              <w:rPr>
                <w:color w:val="000000"/>
              </w:rPr>
              <w:t>N—室外声源个数，M为等效室外声源个数。</w:t>
            </w:r>
          </w:p>
          <w:p>
            <w:pPr>
              <w:pStyle w:val="68"/>
              <w:rPr>
                <w:color w:val="000000"/>
              </w:rPr>
            </w:pPr>
            <w:r>
              <w:rPr>
                <w:color w:val="000000"/>
              </w:rPr>
              <w:t>利用上述的预测数字模型，将参数代入公式计算，预测拟建工程噪声源对各向厂界的影响如下。</w:t>
            </w:r>
          </w:p>
          <w:p>
            <w:pPr>
              <w:widowControl/>
              <w:numPr>
                <w:ilvl w:val="0"/>
                <w:numId w:val="1"/>
              </w:numPr>
              <w:jc w:val="center"/>
              <w:rPr>
                <w:b/>
                <w:bCs/>
                <w:color w:val="000000"/>
              </w:rPr>
            </w:pPr>
            <w:r>
              <w:rPr>
                <w:b/>
                <w:bCs/>
                <w:color w:val="000000"/>
              </w:rPr>
              <w:t xml:space="preserve">  项目厂界噪声预测结果   单位：dB(A)</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109"/>
              <w:gridCol w:w="3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41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b/>
                      <w:bCs/>
                      <w:color w:val="000000"/>
                      <w:szCs w:val="21"/>
                    </w:rPr>
                    <w:t>预测点</w:t>
                  </w:r>
                </w:p>
              </w:tc>
              <w:tc>
                <w:tcPr>
                  <w:tcW w:w="3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eastAsia="宋体"/>
                      <w:color w:val="000000"/>
                      <w:szCs w:val="21"/>
                      <w:lang w:eastAsia="zh-CN"/>
                    </w:rPr>
                  </w:pPr>
                  <w:r>
                    <w:rPr>
                      <w:rFonts w:hint="eastAsia"/>
                      <w:b/>
                      <w:bCs/>
                      <w:color w:val="000000"/>
                      <w:szCs w:val="21"/>
                    </w:rPr>
                    <w:t>贡献值</w:t>
                  </w:r>
                  <w:r>
                    <w:rPr>
                      <w:rStyle w:val="31"/>
                      <w:rFonts w:hint="eastAsia"/>
                      <w:b/>
                      <w:bCs/>
                      <w:kern w:val="0"/>
                      <w:sz w:val="21"/>
                      <w:szCs w:val="21"/>
                      <w:lang w:eastAsia="zh-CN"/>
                    </w:rPr>
                    <w:t>（昼间）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41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color w:val="000000"/>
                      <w:szCs w:val="21"/>
                    </w:rPr>
                    <w:t>东厂界</w:t>
                  </w:r>
                </w:p>
              </w:tc>
              <w:tc>
                <w:tcPr>
                  <w:tcW w:w="3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rFonts w:hint="eastAsia"/>
                      <w:color w:val="000000"/>
                      <w:szCs w:val="21"/>
                    </w:rPr>
                    <w:t>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41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color w:val="000000"/>
                      <w:szCs w:val="21"/>
                    </w:rPr>
                    <w:t>南厂界</w:t>
                  </w:r>
                </w:p>
              </w:tc>
              <w:tc>
                <w:tcPr>
                  <w:tcW w:w="3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rFonts w:hint="eastAsia"/>
                      <w:color w:val="000000"/>
                      <w:szCs w:val="21"/>
                    </w:rPr>
                    <w:t>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41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color w:val="000000"/>
                      <w:szCs w:val="21"/>
                    </w:rPr>
                    <w:t>西厂界</w:t>
                  </w:r>
                </w:p>
              </w:tc>
              <w:tc>
                <w:tcPr>
                  <w:tcW w:w="3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rFonts w:hint="eastAsia"/>
                      <w:color w:val="000000"/>
                      <w:szCs w:val="21"/>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41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color w:val="000000"/>
                      <w:szCs w:val="21"/>
                    </w:rPr>
                    <w:t>北厂界</w:t>
                  </w:r>
                </w:p>
              </w:tc>
              <w:tc>
                <w:tcPr>
                  <w:tcW w:w="3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rFonts w:hint="eastAsia"/>
                      <w:color w:val="000000"/>
                    </w:rPr>
                    <w:t>49.5</w:t>
                  </w:r>
                </w:p>
              </w:tc>
            </w:tr>
          </w:tbl>
          <w:p>
            <w:pPr>
              <w:spacing w:line="360" w:lineRule="auto"/>
              <w:ind w:firstLine="480" w:firstLineChars="200"/>
              <w:rPr>
                <w:color w:val="000000"/>
                <w:sz w:val="24"/>
              </w:rPr>
            </w:pPr>
            <w:r>
              <w:rPr>
                <w:color w:val="000000"/>
                <w:sz w:val="24"/>
              </w:rPr>
              <w:t>经预测厂界噪声</w:t>
            </w:r>
            <w:r>
              <w:rPr>
                <w:rFonts w:hint="eastAsia"/>
                <w:color w:val="000000"/>
                <w:sz w:val="24"/>
                <w:lang w:eastAsia="zh-CN"/>
              </w:rPr>
              <w:t>昼间</w:t>
            </w:r>
            <w:r>
              <w:rPr>
                <w:rFonts w:hint="eastAsia"/>
                <w:color w:val="000000"/>
                <w:sz w:val="24"/>
              </w:rPr>
              <w:t>贡献值</w:t>
            </w:r>
            <w:r>
              <w:rPr>
                <w:color w:val="000000"/>
                <w:sz w:val="24"/>
              </w:rPr>
              <w:t>能够满足《工业企业厂界环境噪声排放标准》（GB12348-2008）中3类标准，</w:t>
            </w:r>
            <w:r>
              <w:rPr>
                <w:rFonts w:hint="eastAsia"/>
                <w:color w:val="000000"/>
                <w:sz w:val="24"/>
                <w:lang w:eastAsia="zh-CN"/>
              </w:rPr>
              <w:t>夜间不进行生产活动，</w:t>
            </w:r>
            <w:r>
              <w:rPr>
                <w:color w:val="000000"/>
                <w:sz w:val="24"/>
              </w:rPr>
              <w:t>项目周边50m范围内无声环境保护目标，因此本项目建设对区域声环境造成的不利影响较小。</w:t>
            </w:r>
          </w:p>
          <w:p>
            <w:pPr>
              <w:pStyle w:val="11"/>
              <w:ind w:left="0" w:leftChars="0" w:firstLine="480"/>
              <w:rPr>
                <w:color w:val="000000"/>
                <w:sz w:val="24"/>
              </w:rPr>
            </w:pPr>
            <w:r>
              <w:rPr>
                <w:color w:val="000000"/>
                <w:sz w:val="24"/>
              </w:rPr>
              <w:t>本项目厂界噪声监测要求如下：</w:t>
            </w:r>
          </w:p>
          <w:p>
            <w:pPr>
              <w:widowControl/>
              <w:numPr>
                <w:ilvl w:val="0"/>
                <w:numId w:val="1"/>
              </w:numPr>
              <w:jc w:val="center"/>
              <w:rPr>
                <w:b/>
                <w:bCs/>
                <w:color w:val="000000"/>
              </w:rPr>
            </w:pPr>
            <w:r>
              <w:rPr>
                <w:b/>
                <w:bCs/>
                <w:color w:val="000000"/>
              </w:rPr>
              <w:t xml:space="preserve">  本项目厂界噪声检测要求</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417"/>
              <w:gridCol w:w="2026"/>
              <w:gridCol w:w="1596"/>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00" w:type="dxa"/>
                  <w:vAlign w:val="center"/>
                </w:tcPr>
                <w:p>
                  <w:pPr>
                    <w:jc w:val="center"/>
                    <w:rPr>
                      <w:b/>
                      <w:bCs/>
                      <w:color w:val="000000"/>
                    </w:rPr>
                  </w:pPr>
                  <w:r>
                    <w:rPr>
                      <w:b/>
                      <w:bCs/>
                      <w:color w:val="000000"/>
                    </w:rPr>
                    <w:t>测点编号</w:t>
                  </w:r>
                </w:p>
              </w:tc>
              <w:tc>
                <w:tcPr>
                  <w:tcW w:w="1417" w:type="dxa"/>
                  <w:vAlign w:val="center"/>
                </w:tcPr>
                <w:p>
                  <w:pPr>
                    <w:jc w:val="center"/>
                    <w:rPr>
                      <w:b/>
                      <w:bCs/>
                      <w:color w:val="000000"/>
                    </w:rPr>
                  </w:pPr>
                  <w:r>
                    <w:rPr>
                      <w:b/>
                      <w:bCs/>
                      <w:color w:val="000000"/>
                    </w:rPr>
                    <w:t>监测点位</w:t>
                  </w:r>
                </w:p>
              </w:tc>
              <w:tc>
                <w:tcPr>
                  <w:tcW w:w="2026" w:type="dxa"/>
                  <w:vAlign w:val="center"/>
                </w:tcPr>
                <w:p>
                  <w:pPr>
                    <w:jc w:val="center"/>
                    <w:rPr>
                      <w:b/>
                      <w:bCs/>
                      <w:color w:val="000000"/>
                    </w:rPr>
                  </w:pPr>
                  <w:r>
                    <w:rPr>
                      <w:b/>
                      <w:bCs/>
                      <w:color w:val="000000"/>
                    </w:rPr>
                    <w:t>测点位置</w:t>
                  </w:r>
                </w:p>
              </w:tc>
              <w:tc>
                <w:tcPr>
                  <w:tcW w:w="1596" w:type="dxa"/>
                  <w:vAlign w:val="center"/>
                </w:tcPr>
                <w:p>
                  <w:pPr>
                    <w:jc w:val="center"/>
                    <w:rPr>
                      <w:b/>
                      <w:bCs/>
                      <w:color w:val="000000"/>
                    </w:rPr>
                  </w:pPr>
                  <w:r>
                    <w:rPr>
                      <w:b/>
                      <w:bCs/>
                      <w:color w:val="000000"/>
                    </w:rPr>
                    <w:t>监测因子</w:t>
                  </w:r>
                </w:p>
              </w:tc>
              <w:tc>
                <w:tcPr>
                  <w:tcW w:w="1626" w:type="dxa"/>
                  <w:vAlign w:val="center"/>
                </w:tcPr>
                <w:p>
                  <w:pPr>
                    <w:jc w:val="center"/>
                    <w:rPr>
                      <w:b/>
                      <w:bCs/>
                      <w:color w:val="000000"/>
                    </w:rPr>
                  </w:pPr>
                  <w:r>
                    <w:rPr>
                      <w:b/>
                      <w:bCs/>
                      <w:color w:val="000000"/>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00" w:type="dxa"/>
                  <w:vAlign w:val="center"/>
                </w:tcPr>
                <w:p>
                  <w:pPr>
                    <w:jc w:val="center"/>
                    <w:rPr>
                      <w:color w:val="000000"/>
                    </w:rPr>
                  </w:pPr>
                  <w:r>
                    <w:rPr>
                      <w:color w:val="000000"/>
                    </w:rPr>
                    <w:t>N1</w:t>
                  </w:r>
                </w:p>
              </w:tc>
              <w:tc>
                <w:tcPr>
                  <w:tcW w:w="1417" w:type="dxa"/>
                  <w:vAlign w:val="center"/>
                </w:tcPr>
                <w:p>
                  <w:pPr>
                    <w:jc w:val="center"/>
                    <w:rPr>
                      <w:color w:val="000000"/>
                    </w:rPr>
                  </w:pPr>
                  <w:r>
                    <w:rPr>
                      <w:color w:val="000000"/>
                    </w:rPr>
                    <w:t>厂界东</w:t>
                  </w:r>
                </w:p>
              </w:tc>
              <w:tc>
                <w:tcPr>
                  <w:tcW w:w="2026" w:type="dxa"/>
                  <w:vAlign w:val="center"/>
                </w:tcPr>
                <w:p>
                  <w:pPr>
                    <w:jc w:val="center"/>
                    <w:rPr>
                      <w:color w:val="000000"/>
                    </w:rPr>
                  </w:pPr>
                  <w:r>
                    <w:rPr>
                      <w:color w:val="000000"/>
                    </w:rPr>
                    <w:t>东厂界外1m</w:t>
                  </w:r>
                </w:p>
              </w:tc>
              <w:tc>
                <w:tcPr>
                  <w:tcW w:w="1596" w:type="dxa"/>
                  <w:vMerge w:val="restart"/>
                  <w:vAlign w:val="center"/>
                </w:tcPr>
                <w:p>
                  <w:pPr>
                    <w:jc w:val="center"/>
                    <w:rPr>
                      <w:color w:val="000000"/>
                    </w:rPr>
                  </w:pPr>
                  <w:r>
                    <w:rPr>
                      <w:color w:val="000000"/>
                    </w:rPr>
                    <w:t>连续等效A声级Leq</w:t>
                  </w:r>
                </w:p>
              </w:tc>
              <w:tc>
                <w:tcPr>
                  <w:tcW w:w="1626" w:type="dxa"/>
                  <w:vMerge w:val="restart"/>
                  <w:vAlign w:val="center"/>
                </w:tcPr>
                <w:p>
                  <w:pPr>
                    <w:jc w:val="center"/>
                    <w:rPr>
                      <w:color w:val="000000"/>
                    </w:rPr>
                  </w:pPr>
                  <w:r>
                    <w:rPr>
                      <w:color w:val="000000"/>
                    </w:rPr>
                    <w:t>1次/季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00" w:type="dxa"/>
                  <w:vAlign w:val="center"/>
                </w:tcPr>
                <w:p>
                  <w:pPr>
                    <w:jc w:val="center"/>
                    <w:rPr>
                      <w:color w:val="000000"/>
                    </w:rPr>
                  </w:pPr>
                  <w:r>
                    <w:rPr>
                      <w:color w:val="000000"/>
                    </w:rPr>
                    <w:t>N2</w:t>
                  </w:r>
                </w:p>
              </w:tc>
              <w:tc>
                <w:tcPr>
                  <w:tcW w:w="1417" w:type="dxa"/>
                  <w:vAlign w:val="center"/>
                </w:tcPr>
                <w:p>
                  <w:pPr>
                    <w:jc w:val="center"/>
                    <w:rPr>
                      <w:color w:val="000000"/>
                    </w:rPr>
                  </w:pPr>
                  <w:r>
                    <w:rPr>
                      <w:color w:val="000000"/>
                    </w:rPr>
                    <w:t>厂界南</w:t>
                  </w:r>
                </w:p>
              </w:tc>
              <w:tc>
                <w:tcPr>
                  <w:tcW w:w="2026" w:type="dxa"/>
                  <w:vAlign w:val="center"/>
                </w:tcPr>
                <w:p>
                  <w:pPr>
                    <w:jc w:val="center"/>
                    <w:rPr>
                      <w:color w:val="000000"/>
                    </w:rPr>
                  </w:pPr>
                  <w:r>
                    <w:rPr>
                      <w:color w:val="000000"/>
                    </w:rPr>
                    <w:t>南厂界外1m</w:t>
                  </w:r>
                </w:p>
              </w:tc>
              <w:tc>
                <w:tcPr>
                  <w:tcW w:w="1596" w:type="dxa"/>
                  <w:vMerge w:val="continue"/>
                  <w:vAlign w:val="center"/>
                </w:tcPr>
                <w:p>
                  <w:pPr>
                    <w:jc w:val="center"/>
                    <w:rPr>
                      <w:color w:val="000000"/>
                    </w:rPr>
                  </w:pPr>
                </w:p>
              </w:tc>
              <w:tc>
                <w:tcPr>
                  <w:tcW w:w="1626" w:type="dxa"/>
                  <w:vMerge w:val="continue"/>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00" w:type="dxa"/>
                  <w:vAlign w:val="center"/>
                </w:tcPr>
                <w:p>
                  <w:pPr>
                    <w:jc w:val="center"/>
                    <w:rPr>
                      <w:color w:val="000000"/>
                    </w:rPr>
                  </w:pPr>
                  <w:r>
                    <w:rPr>
                      <w:color w:val="000000"/>
                    </w:rPr>
                    <w:t>N3</w:t>
                  </w:r>
                </w:p>
              </w:tc>
              <w:tc>
                <w:tcPr>
                  <w:tcW w:w="1417" w:type="dxa"/>
                  <w:vAlign w:val="center"/>
                </w:tcPr>
                <w:p>
                  <w:pPr>
                    <w:jc w:val="center"/>
                    <w:rPr>
                      <w:color w:val="000000"/>
                    </w:rPr>
                  </w:pPr>
                  <w:r>
                    <w:rPr>
                      <w:color w:val="000000"/>
                    </w:rPr>
                    <w:t>厂界西</w:t>
                  </w:r>
                </w:p>
              </w:tc>
              <w:tc>
                <w:tcPr>
                  <w:tcW w:w="2026" w:type="dxa"/>
                  <w:vAlign w:val="center"/>
                </w:tcPr>
                <w:p>
                  <w:pPr>
                    <w:jc w:val="center"/>
                    <w:rPr>
                      <w:color w:val="000000"/>
                    </w:rPr>
                  </w:pPr>
                  <w:r>
                    <w:rPr>
                      <w:color w:val="000000"/>
                    </w:rPr>
                    <w:t>西厂界外1m</w:t>
                  </w:r>
                </w:p>
              </w:tc>
              <w:tc>
                <w:tcPr>
                  <w:tcW w:w="1596" w:type="dxa"/>
                  <w:vMerge w:val="continue"/>
                  <w:vAlign w:val="center"/>
                </w:tcPr>
                <w:p>
                  <w:pPr>
                    <w:jc w:val="center"/>
                    <w:rPr>
                      <w:color w:val="000000"/>
                    </w:rPr>
                  </w:pPr>
                </w:p>
              </w:tc>
              <w:tc>
                <w:tcPr>
                  <w:tcW w:w="1626" w:type="dxa"/>
                  <w:vMerge w:val="continue"/>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200" w:type="dxa"/>
                  <w:vAlign w:val="center"/>
                </w:tcPr>
                <w:p>
                  <w:pPr>
                    <w:jc w:val="center"/>
                    <w:rPr>
                      <w:color w:val="000000"/>
                    </w:rPr>
                  </w:pPr>
                  <w:r>
                    <w:rPr>
                      <w:color w:val="000000"/>
                    </w:rPr>
                    <w:t>N4</w:t>
                  </w:r>
                </w:p>
              </w:tc>
              <w:tc>
                <w:tcPr>
                  <w:tcW w:w="1417" w:type="dxa"/>
                  <w:vAlign w:val="center"/>
                </w:tcPr>
                <w:p>
                  <w:pPr>
                    <w:jc w:val="center"/>
                    <w:rPr>
                      <w:color w:val="000000"/>
                    </w:rPr>
                  </w:pPr>
                  <w:r>
                    <w:rPr>
                      <w:color w:val="000000"/>
                    </w:rPr>
                    <w:t>厂界北</w:t>
                  </w:r>
                </w:p>
              </w:tc>
              <w:tc>
                <w:tcPr>
                  <w:tcW w:w="2026" w:type="dxa"/>
                  <w:vAlign w:val="center"/>
                </w:tcPr>
                <w:p>
                  <w:pPr>
                    <w:jc w:val="center"/>
                    <w:rPr>
                      <w:color w:val="000000"/>
                    </w:rPr>
                  </w:pPr>
                  <w:r>
                    <w:rPr>
                      <w:color w:val="000000"/>
                    </w:rPr>
                    <w:t>北厂界外1m</w:t>
                  </w:r>
                </w:p>
              </w:tc>
              <w:tc>
                <w:tcPr>
                  <w:tcW w:w="1596" w:type="dxa"/>
                  <w:vMerge w:val="continue"/>
                  <w:vAlign w:val="center"/>
                </w:tcPr>
                <w:p>
                  <w:pPr>
                    <w:jc w:val="center"/>
                    <w:rPr>
                      <w:color w:val="000000"/>
                    </w:rPr>
                  </w:pPr>
                </w:p>
              </w:tc>
              <w:tc>
                <w:tcPr>
                  <w:tcW w:w="1626" w:type="dxa"/>
                  <w:vMerge w:val="continue"/>
                  <w:vAlign w:val="center"/>
                </w:tcPr>
                <w:p>
                  <w:pPr>
                    <w:jc w:val="center"/>
                    <w:rPr>
                      <w:color w:val="000000"/>
                    </w:rPr>
                  </w:pPr>
                </w:p>
              </w:tc>
            </w:tr>
          </w:tbl>
          <w:p>
            <w:pPr>
              <w:spacing w:line="360" w:lineRule="auto"/>
              <w:ind w:firstLine="482" w:firstLineChars="200"/>
              <w:rPr>
                <w:b/>
                <w:bCs/>
                <w:color w:val="000000"/>
                <w:sz w:val="24"/>
              </w:rPr>
            </w:pPr>
            <w:r>
              <w:rPr>
                <w:b/>
                <w:bCs/>
                <w:color w:val="000000"/>
                <w:sz w:val="24"/>
              </w:rPr>
              <w:t>（四）固体废物</w:t>
            </w:r>
          </w:p>
          <w:p>
            <w:pPr>
              <w:pStyle w:val="19"/>
              <w:widowControl/>
              <w:spacing w:after="0" w:line="360" w:lineRule="auto"/>
              <w:ind w:firstLine="480" w:firstLineChars="200"/>
              <w:rPr>
                <w:color w:val="000000"/>
              </w:rPr>
            </w:pPr>
            <w:r>
              <w:rPr>
                <w:bCs/>
                <w:color w:val="000000"/>
                <w:sz w:val="24"/>
              </w:rPr>
              <w:t>本项目产生的固体废物分为危险废物、一般固体废物</w:t>
            </w:r>
            <w:r>
              <w:rPr>
                <w:rFonts w:hint="eastAsia"/>
                <w:bCs/>
                <w:color w:val="000000"/>
                <w:sz w:val="24"/>
              </w:rPr>
              <w:t>和生活垃圾</w:t>
            </w:r>
            <w:r>
              <w:rPr>
                <w:bCs/>
                <w:color w:val="000000"/>
                <w:sz w:val="24"/>
              </w:rPr>
              <w:t>。根据《国家危险废物名录》（2021版），本项目产生的危险废物主要为：</w:t>
            </w:r>
            <w:r>
              <w:rPr>
                <w:rFonts w:hint="eastAsia"/>
                <w:bCs/>
                <w:color w:val="000000"/>
                <w:sz w:val="24"/>
                <w:lang w:eastAsia="zh-CN"/>
              </w:rPr>
              <w:t>废包装材料（直接沾染危险品）、过滤废液、测试废液、检测废液、清洗废液、喷淋塔废液、废草酸溶液、废除湿棉、废活性炭</w:t>
            </w:r>
            <w:r>
              <w:rPr>
                <w:color w:val="000000"/>
                <w:sz w:val="24"/>
              </w:rPr>
              <w:t>，分类收集在危废</w:t>
            </w:r>
            <w:r>
              <w:rPr>
                <w:rFonts w:hint="eastAsia"/>
                <w:color w:val="000000"/>
                <w:sz w:val="24"/>
              </w:rPr>
              <w:t>间</w:t>
            </w:r>
            <w:r>
              <w:rPr>
                <w:color w:val="000000"/>
                <w:sz w:val="24"/>
              </w:rPr>
              <w:t>暂存后定期委托有资质单位处置</w:t>
            </w:r>
            <w:r>
              <w:rPr>
                <w:bCs/>
                <w:color w:val="000000"/>
                <w:sz w:val="24"/>
              </w:rPr>
              <w:t>。一般工业固废主要为：废包装材料（未沾染危险品）、废</w:t>
            </w:r>
            <w:r>
              <w:rPr>
                <w:rFonts w:hint="eastAsia"/>
                <w:bCs/>
                <w:color w:val="000000"/>
                <w:sz w:val="24"/>
              </w:rPr>
              <w:t>金刚砂</w:t>
            </w:r>
            <w:r>
              <w:rPr>
                <w:rFonts w:hint="eastAsia"/>
                <w:color w:val="000000"/>
                <w:sz w:val="24"/>
              </w:rPr>
              <w:t>分类收集后</w:t>
            </w:r>
            <w:r>
              <w:rPr>
                <w:color w:val="000000"/>
                <w:sz w:val="24"/>
              </w:rPr>
              <w:t>由物资公司回收利用</w:t>
            </w:r>
            <w:r>
              <w:rPr>
                <w:rFonts w:hint="eastAsia"/>
                <w:color w:val="000000"/>
                <w:sz w:val="24"/>
              </w:rPr>
              <w:t>；不合格品收集后</w:t>
            </w:r>
            <w:r>
              <w:rPr>
                <w:rFonts w:hint="eastAsia"/>
                <w:color w:val="000000"/>
                <w:sz w:val="24"/>
                <w:lang w:eastAsia="zh-CN"/>
              </w:rPr>
              <w:t>委托有资质单位处置</w:t>
            </w:r>
            <w:r>
              <w:rPr>
                <w:color w:val="000000"/>
                <w:sz w:val="24"/>
              </w:rPr>
              <w:t>。</w:t>
            </w:r>
          </w:p>
          <w:p>
            <w:pPr>
              <w:spacing w:line="360" w:lineRule="auto"/>
              <w:ind w:firstLine="480"/>
              <w:rPr>
                <w:color w:val="000000"/>
                <w:kern w:val="0"/>
                <w:sz w:val="24"/>
              </w:rPr>
            </w:pPr>
            <w:r>
              <w:rPr>
                <w:bCs/>
                <w:color w:val="000000"/>
                <w:sz w:val="24"/>
              </w:rPr>
              <w:t>本项目固体废物产生及处置情况见下表。</w:t>
            </w:r>
          </w:p>
          <w:p>
            <w:pPr>
              <w:rPr>
                <w:color w:val="000000"/>
              </w:rPr>
            </w:pPr>
          </w:p>
        </w:tc>
      </w:tr>
    </w:tbl>
    <w:p>
      <w:pPr>
        <w:pStyle w:val="20"/>
        <w:jc w:val="center"/>
        <w:outlineLvl w:val="0"/>
        <w:rPr>
          <w:rFonts w:ascii="Times New Roman" w:hAnsi="Times New Roman" w:eastAsia="黑体"/>
          <w:snapToGrid w:val="0"/>
          <w:color w:val="000000"/>
          <w:sz w:val="30"/>
          <w:szCs w:val="30"/>
        </w:rPr>
        <w:sectPr>
          <w:pgSz w:w="11906" w:h="16838"/>
          <w:pgMar w:top="1418" w:right="1418" w:bottom="1418" w:left="1418" w:header="851" w:footer="851" w:gutter="0"/>
          <w:cols w:space="720" w:num="1"/>
          <w:docGrid w:linePitch="312" w:charSpace="0"/>
        </w:sectPr>
      </w:pP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5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3" w:hRule="atLeast"/>
          <w:jc w:val="center"/>
        </w:trPr>
        <w:tc>
          <w:tcPr>
            <w:tcW w:w="756" w:type="dxa"/>
            <w:vAlign w:val="center"/>
          </w:tcPr>
          <w:p>
            <w:pPr>
              <w:adjustRightInd w:val="0"/>
              <w:snapToGrid w:val="0"/>
              <w:jc w:val="center"/>
              <w:rPr>
                <w:b/>
                <w:bCs/>
                <w:color w:val="000000"/>
                <w:szCs w:val="21"/>
              </w:rPr>
            </w:pPr>
            <w:r>
              <w:rPr>
                <w:b/>
                <w:bCs/>
                <w:color w:val="000000"/>
                <w:szCs w:val="21"/>
              </w:rPr>
              <w:t>运营</w:t>
            </w:r>
          </w:p>
          <w:p>
            <w:pPr>
              <w:adjustRightInd w:val="0"/>
              <w:snapToGrid w:val="0"/>
              <w:jc w:val="center"/>
              <w:rPr>
                <w:b/>
                <w:bCs/>
                <w:color w:val="000000"/>
                <w:szCs w:val="21"/>
              </w:rPr>
            </w:pPr>
            <w:r>
              <w:rPr>
                <w:b/>
                <w:bCs/>
                <w:color w:val="000000"/>
                <w:szCs w:val="21"/>
              </w:rPr>
              <w:t>期环</w:t>
            </w:r>
          </w:p>
          <w:p>
            <w:pPr>
              <w:adjustRightInd w:val="0"/>
              <w:snapToGrid w:val="0"/>
              <w:jc w:val="center"/>
              <w:rPr>
                <w:b/>
                <w:bCs/>
                <w:color w:val="000000"/>
                <w:szCs w:val="21"/>
              </w:rPr>
            </w:pPr>
            <w:r>
              <w:rPr>
                <w:b/>
                <w:bCs/>
                <w:color w:val="000000"/>
                <w:szCs w:val="21"/>
              </w:rPr>
              <w:t>境影</w:t>
            </w:r>
          </w:p>
          <w:p>
            <w:pPr>
              <w:adjustRightInd w:val="0"/>
              <w:snapToGrid w:val="0"/>
              <w:jc w:val="center"/>
              <w:rPr>
                <w:b/>
                <w:bCs/>
                <w:color w:val="000000"/>
                <w:szCs w:val="21"/>
              </w:rPr>
            </w:pPr>
            <w:r>
              <w:rPr>
                <w:b/>
                <w:bCs/>
                <w:color w:val="000000"/>
                <w:szCs w:val="21"/>
              </w:rPr>
              <w:t>响和</w:t>
            </w:r>
          </w:p>
          <w:p>
            <w:pPr>
              <w:adjustRightInd w:val="0"/>
              <w:snapToGrid w:val="0"/>
              <w:jc w:val="center"/>
              <w:rPr>
                <w:rFonts w:eastAsia="黑体"/>
                <w:snapToGrid w:val="0"/>
                <w:color w:val="000000"/>
                <w:sz w:val="30"/>
                <w:szCs w:val="30"/>
              </w:rPr>
            </w:pPr>
            <w:r>
              <w:rPr>
                <w:b/>
                <w:bCs/>
                <w:color w:val="000000"/>
                <w:szCs w:val="21"/>
              </w:rPr>
              <w:t>保护措施</w:t>
            </w:r>
          </w:p>
        </w:tc>
        <w:tc>
          <w:tcPr>
            <w:tcW w:w="13557" w:type="dxa"/>
          </w:tcPr>
          <w:p>
            <w:pPr>
              <w:widowControl/>
              <w:numPr>
                <w:ilvl w:val="0"/>
                <w:numId w:val="1"/>
              </w:numPr>
              <w:jc w:val="center"/>
              <w:rPr>
                <w:b/>
                <w:color w:val="000000"/>
                <w:kern w:val="0"/>
                <w:szCs w:val="21"/>
              </w:rPr>
            </w:pPr>
            <w:r>
              <w:rPr>
                <w:b/>
                <w:color w:val="000000"/>
                <w:kern w:val="0"/>
                <w:szCs w:val="21"/>
              </w:rPr>
              <w:t xml:space="preserve">  本项目固体废物产生及排放情况一览表</w:t>
            </w:r>
          </w:p>
          <w:tbl>
            <w:tblPr>
              <w:tblStyle w:val="24"/>
              <w:tblW w:w="0" w:type="auto"/>
              <w:tblInd w:w="0" w:type="dxa"/>
              <w:tblLayout w:type="fixed"/>
              <w:tblCellMar>
                <w:top w:w="0" w:type="dxa"/>
                <w:left w:w="0" w:type="dxa"/>
                <w:bottom w:w="0" w:type="dxa"/>
                <w:right w:w="0" w:type="dxa"/>
              </w:tblCellMar>
            </w:tblPr>
            <w:tblGrid>
              <w:gridCol w:w="731"/>
              <w:gridCol w:w="1636"/>
              <w:gridCol w:w="1623"/>
              <w:gridCol w:w="1169"/>
              <w:gridCol w:w="1210"/>
              <w:gridCol w:w="1169"/>
              <w:gridCol w:w="665"/>
              <w:gridCol w:w="798"/>
              <w:gridCol w:w="916"/>
              <w:gridCol w:w="731"/>
              <w:gridCol w:w="1755"/>
              <w:gridCol w:w="812"/>
            </w:tblGrid>
            <w:tr>
              <w:tblPrEx>
                <w:tblCellMar>
                  <w:top w:w="0" w:type="dxa"/>
                  <w:left w:w="0" w:type="dxa"/>
                  <w:bottom w:w="0" w:type="dxa"/>
                  <w:right w:w="0" w:type="dxa"/>
                </w:tblCellMar>
              </w:tblPrEx>
              <w:trPr>
                <w:trHeight w:val="672" w:hRule="atLeast"/>
              </w:trPr>
              <w:tc>
                <w:tcPr>
                  <w:tcW w:w="7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b/>
                      <w:bCs/>
                      <w:color w:val="000000"/>
                      <w:kern w:val="0"/>
                      <w:szCs w:val="21"/>
                      <w:lang w:bidi="ar"/>
                    </w:rPr>
                    <w:t>序号</w:t>
                  </w:r>
                </w:p>
              </w:tc>
              <w:tc>
                <w:tcPr>
                  <w:tcW w:w="16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b/>
                      <w:bCs/>
                      <w:color w:val="000000"/>
                      <w:kern w:val="0"/>
                      <w:szCs w:val="21"/>
                      <w:lang w:bidi="ar"/>
                    </w:rPr>
                    <w:t>产生环节</w:t>
                  </w:r>
                </w:p>
              </w:tc>
              <w:tc>
                <w:tcPr>
                  <w:tcW w:w="162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固体废</w:t>
                  </w:r>
                </w:p>
                <w:p>
                  <w:pPr>
                    <w:widowControl/>
                    <w:jc w:val="center"/>
                    <w:textAlignment w:val="center"/>
                    <w:rPr>
                      <w:b/>
                      <w:bCs/>
                      <w:color w:val="000000"/>
                      <w:szCs w:val="21"/>
                    </w:rPr>
                  </w:pPr>
                  <w:r>
                    <w:rPr>
                      <w:b/>
                      <w:bCs/>
                      <w:color w:val="000000"/>
                      <w:kern w:val="0"/>
                      <w:szCs w:val="21"/>
                      <w:lang w:bidi="ar"/>
                    </w:rPr>
                    <w:t>物名称</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固体废</w:t>
                  </w:r>
                </w:p>
                <w:p>
                  <w:pPr>
                    <w:widowControl/>
                    <w:jc w:val="center"/>
                    <w:textAlignment w:val="center"/>
                    <w:rPr>
                      <w:b/>
                      <w:bCs/>
                      <w:color w:val="000000"/>
                      <w:szCs w:val="21"/>
                    </w:rPr>
                  </w:pPr>
                  <w:r>
                    <w:rPr>
                      <w:b/>
                      <w:bCs/>
                      <w:color w:val="000000"/>
                      <w:kern w:val="0"/>
                      <w:szCs w:val="21"/>
                      <w:lang w:bidi="ar"/>
                    </w:rPr>
                    <w:t>物属性</w:t>
                  </w:r>
                </w:p>
              </w:tc>
              <w:tc>
                <w:tcPr>
                  <w:tcW w:w="12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b/>
                      <w:bCs/>
                      <w:color w:val="000000"/>
                      <w:kern w:val="0"/>
                      <w:szCs w:val="21"/>
                      <w:lang w:bidi="ar"/>
                    </w:rPr>
                    <w:t>固废代码</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主要有毒</w:t>
                  </w:r>
                </w:p>
                <w:p>
                  <w:pPr>
                    <w:widowControl/>
                    <w:jc w:val="center"/>
                    <w:textAlignment w:val="center"/>
                    <w:rPr>
                      <w:b/>
                      <w:bCs/>
                      <w:color w:val="000000"/>
                      <w:szCs w:val="21"/>
                    </w:rPr>
                  </w:pPr>
                  <w:r>
                    <w:rPr>
                      <w:b/>
                      <w:bCs/>
                      <w:color w:val="000000"/>
                      <w:kern w:val="0"/>
                      <w:szCs w:val="21"/>
                      <w:lang w:bidi="ar"/>
                    </w:rPr>
                    <w:t>有害物质</w:t>
                  </w:r>
                </w:p>
              </w:tc>
              <w:tc>
                <w:tcPr>
                  <w:tcW w:w="6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物理</w:t>
                  </w:r>
                </w:p>
                <w:p>
                  <w:pPr>
                    <w:widowControl/>
                    <w:jc w:val="center"/>
                    <w:textAlignment w:val="center"/>
                    <w:rPr>
                      <w:b/>
                      <w:bCs/>
                      <w:color w:val="000000"/>
                      <w:szCs w:val="21"/>
                    </w:rPr>
                  </w:pPr>
                  <w:r>
                    <w:rPr>
                      <w:b/>
                      <w:bCs/>
                      <w:color w:val="000000"/>
                      <w:kern w:val="0"/>
                      <w:szCs w:val="21"/>
                      <w:lang w:bidi="ar"/>
                    </w:rPr>
                    <w:t>性状</w:t>
                  </w:r>
                </w:p>
              </w:tc>
              <w:tc>
                <w:tcPr>
                  <w:tcW w:w="7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环境</w:t>
                  </w:r>
                </w:p>
                <w:p>
                  <w:pPr>
                    <w:widowControl/>
                    <w:jc w:val="center"/>
                    <w:textAlignment w:val="center"/>
                    <w:rPr>
                      <w:b/>
                      <w:bCs/>
                      <w:color w:val="000000"/>
                      <w:szCs w:val="21"/>
                    </w:rPr>
                  </w:pPr>
                  <w:r>
                    <w:rPr>
                      <w:b/>
                      <w:bCs/>
                      <w:color w:val="000000"/>
                      <w:kern w:val="0"/>
                      <w:szCs w:val="21"/>
                      <w:lang w:bidi="ar"/>
                    </w:rPr>
                    <w:t>危险性</w:t>
                  </w:r>
                </w:p>
              </w:tc>
              <w:tc>
                <w:tcPr>
                  <w:tcW w:w="91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b/>
                      <w:bCs/>
                      <w:color w:val="000000"/>
                      <w:kern w:val="0"/>
                      <w:szCs w:val="21"/>
                      <w:lang w:bidi="ar"/>
                    </w:rPr>
                    <w:t>年度产生量（t/a）</w:t>
                  </w:r>
                </w:p>
              </w:tc>
              <w:tc>
                <w:tcPr>
                  <w:tcW w:w="7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贮存</w:t>
                  </w:r>
                </w:p>
                <w:p>
                  <w:pPr>
                    <w:widowControl/>
                    <w:jc w:val="center"/>
                    <w:textAlignment w:val="center"/>
                    <w:rPr>
                      <w:rFonts w:hint="eastAsia" w:eastAsia="宋体"/>
                      <w:b/>
                      <w:bCs/>
                      <w:color w:val="000000"/>
                      <w:szCs w:val="21"/>
                      <w:lang w:eastAsia="zh-CN"/>
                    </w:rPr>
                  </w:pPr>
                  <w:r>
                    <w:rPr>
                      <w:rFonts w:hint="eastAsia"/>
                      <w:b/>
                      <w:bCs/>
                      <w:color w:val="000000"/>
                      <w:kern w:val="0"/>
                      <w:szCs w:val="21"/>
                      <w:lang w:eastAsia="zh-CN" w:bidi="ar"/>
                    </w:rPr>
                    <w:t>位置</w:t>
                  </w:r>
                </w:p>
              </w:tc>
              <w:tc>
                <w:tcPr>
                  <w:tcW w:w="17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kern w:val="0"/>
                      <w:szCs w:val="21"/>
                      <w:lang w:bidi="ar"/>
                    </w:rPr>
                  </w:pPr>
                  <w:r>
                    <w:rPr>
                      <w:b/>
                      <w:bCs/>
                      <w:color w:val="000000"/>
                      <w:kern w:val="0"/>
                      <w:szCs w:val="21"/>
                      <w:lang w:bidi="ar"/>
                    </w:rPr>
                    <w:t>处置/利用</w:t>
                  </w:r>
                </w:p>
                <w:p>
                  <w:pPr>
                    <w:widowControl/>
                    <w:jc w:val="center"/>
                    <w:textAlignment w:val="center"/>
                    <w:rPr>
                      <w:b/>
                      <w:bCs/>
                      <w:color w:val="000000"/>
                      <w:szCs w:val="21"/>
                    </w:rPr>
                  </w:pPr>
                  <w:r>
                    <w:rPr>
                      <w:b/>
                      <w:bCs/>
                      <w:color w:val="000000"/>
                      <w:kern w:val="0"/>
                      <w:szCs w:val="21"/>
                      <w:lang w:bidi="ar"/>
                    </w:rPr>
                    <w:t>方式</w:t>
                  </w: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color w:val="000000"/>
                      <w:szCs w:val="21"/>
                    </w:rPr>
                  </w:pPr>
                  <w:r>
                    <w:rPr>
                      <w:b/>
                      <w:bCs/>
                      <w:color w:val="000000"/>
                      <w:kern w:val="0"/>
                      <w:szCs w:val="21"/>
                      <w:lang w:bidi="ar"/>
                    </w:rPr>
                    <w:t>利用/处置量（t/a）</w:t>
                  </w:r>
                </w:p>
              </w:tc>
            </w:tr>
            <w:tr>
              <w:tblPrEx>
                <w:tblCellMar>
                  <w:top w:w="0" w:type="dxa"/>
                  <w:left w:w="0" w:type="dxa"/>
                  <w:bottom w:w="0" w:type="dxa"/>
                  <w:right w:w="0" w:type="dxa"/>
                </w:tblCellMar>
              </w:tblPrEx>
              <w:trPr>
                <w:trHeight w:val="412" w:hRule="atLeast"/>
              </w:trPr>
              <w:tc>
                <w:tcPr>
                  <w:tcW w:w="7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1</w:t>
                  </w:r>
                </w:p>
              </w:tc>
              <w:tc>
                <w:tcPr>
                  <w:tcW w:w="16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原料拆卸</w:t>
                  </w:r>
                </w:p>
              </w:tc>
              <w:tc>
                <w:tcPr>
                  <w:tcW w:w="162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废包装材料（直接沾染危险品）</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危险废物</w:t>
                  </w:r>
                </w:p>
              </w:tc>
              <w:tc>
                <w:tcPr>
                  <w:tcW w:w="12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900-041-49</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有机物</w:t>
                  </w:r>
                </w:p>
              </w:tc>
              <w:tc>
                <w:tcPr>
                  <w:tcW w:w="6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固态</w:t>
                  </w:r>
                </w:p>
              </w:tc>
              <w:tc>
                <w:tcPr>
                  <w:tcW w:w="7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T/In</w:t>
                  </w:r>
                </w:p>
              </w:tc>
              <w:tc>
                <w:tcPr>
                  <w:tcW w:w="91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0.03</w:t>
                  </w:r>
                </w:p>
              </w:tc>
              <w:tc>
                <w:tcPr>
                  <w:tcW w:w="731"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贮存在危废</w:t>
                  </w:r>
                  <w:r>
                    <w:rPr>
                      <w:rFonts w:hint="eastAsia"/>
                      <w:color w:val="000000"/>
                      <w:kern w:val="0"/>
                      <w:szCs w:val="21"/>
                      <w:lang w:bidi="ar"/>
                    </w:rPr>
                    <w:t>间</w:t>
                  </w:r>
                </w:p>
              </w:tc>
              <w:tc>
                <w:tcPr>
                  <w:tcW w:w="1755"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委托资质单位处置</w:t>
                  </w: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0.03</w:t>
                  </w:r>
                </w:p>
              </w:tc>
            </w:tr>
            <w:tr>
              <w:tblPrEx>
                <w:tblCellMar>
                  <w:top w:w="0" w:type="dxa"/>
                  <w:left w:w="0" w:type="dxa"/>
                  <w:bottom w:w="0" w:type="dxa"/>
                  <w:right w:w="0" w:type="dxa"/>
                </w:tblCellMar>
              </w:tblPrEx>
              <w:trPr>
                <w:trHeight w:val="412" w:hRule="atLeast"/>
              </w:trPr>
              <w:tc>
                <w:tcPr>
                  <w:tcW w:w="7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2</w:t>
                  </w:r>
                </w:p>
              </w:tc>
              <w:tc>
                <w:tcPr>
                  <w:tcW w:w="16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研发过程</w:t>
                  </w:r>
                </w:p>
              </w:tc>
              <w:tc>
                <w:tcPr>
                  <w:tcW w:w="162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eastAsia="宋体"/>
                      <w:color w:val="000000"/>
                      <w:kern w:val="0"/>
                      <w:szCs w:val="21"/>
                      <w:lang w:eastAsia="zh-CN" w:bidi="ar"/>
                    </w:rPr>
                  </w:pPr>
                  <w:r>
                    <w:rPr>
                      <w:rFonts w:hint="eastAsia"/>
                      <w:color w:val="000000"/>
                      <w:kern w:val="0"/>
                      <w:szCs w:val="21"/>
                      <w:lang w:eastAsia="zh-CN" w:bidi="ar"/>
                    </w:rPr>
                    <w:t>过滤废液、</w:t>
                  </w:r>
                  <w:r>
                    <w:rPr>
                      <w:rFonts w:hint="eastAsia"/>
                      <w:color w:val="000000"/>
                      <w:kern w:val="0"/>
                      <w:szCs w:val="21"/>
                      <w:lang w:bidi="ar"/>
                    </w:rPr>
                    <w:t>测试废液、检测废液、清洗废液、喷淋塔废液、废草酸溶液、</w:t>
                  </w:r>
                  <w:r>
                    <w:rPr>
                      <w:rFonts w:hint="eastAsia"/>
                      <w:color w:val="000000"/>
                      <w:kern w:val="0"/>
                      <w:szCs w:val="21"/>
                      <w:lang w:eastAsia="zh-CN" w:bidi="ar"/>
                    </w:rPr>
                    <w:t>不合格品</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危险废物</w:t>
                  </w:r>
                </w:p>
              </w:tc>
              <w:tc>
                <w:tcPr>
                  <w:tcW w:w="12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900-047-49</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有机物</w:t>
                  </w:r>
                </w:p>
              </w:tc>
              <w:tc>
                <w:tcPr>
                  <w:tcW w:w="6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液态</w:t>
                  </w:r>
                </w:p>
              </w:tc>
              <w:tc>
                <w:tcPr>
                  <w:tcW w:w="7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T/C/I/R</w:t>
                  </w:r>
                </w:p>
              </w:tc>
              <w:tc>
                <w:tcPr>
                  <w:tcW w:w="91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eastAsia="宋体"/>
                      <w:color w:val="000000"/>
                      <w:szCs w:val="21"/>
                      <w:lang w:eastAsia="zh-CN"/>
                    </w:rPr>
                  </w:pPr>
                  <w:r>
                    <w:rPr>
                      <w:rFonts w:hint="eastAsia"/>
                      <w:color w:val="C00000"/>
                      <w:szCs w:val="21"/>
                    </w:rPr>
                    <w:t>6.</w:t>
                  </w:r>
                  <w:r>
                    <w:rPr>
                      <w:rFonts w:hint="eastAsia"/>
                      <w:color w:val="C00000"/>
                      <w:szCs w:val="21"/>
                      <w:lang w:val="en-US" w:eastAsia="zh-CN"/>
                    </w:rPr>
                    <w:t>6</w:t>
                  </w:r>
                </w:p>
              </w:tc>
              <w:tc>
                <w:tcPr>
                  <w:tcW w:w="73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175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eastAsia="宋体"/>
                      <w:color w:val="000000"/>
                      <w:szCs w:val="21"/>
                      <w:lang w:eastAsia="zh-CN"/>
                    </w:rPr>
                  </w:pPr>
                  <w:r>
                    <w:rPr>
                      <w:rFonts w:hint="eastAsia"/>
                      <w:color w:val="C00000"/>
                      <w:szCs w:val="21"/>
                    </w:rPr>
                    <w:t>6.</w:t>
                  </w:r>
                  <w:r>
                    <w:rPr>
                      <w:rFonts w:hint="eastAsia"/>
                      <w:color w:val="C00000"/>
                      <w:szCs w:val="21"/>
                      <w:lang w:val="en-US" w:eastAsia="zh-CN"/>
                    </w:rPr>
                    <w:t>6</w:t>
                  </w:r>
                </w:p>
              </w:tc>
            </w:tr>
            <w:tr>
              <w:tblPrEx>
                <w:tblCellMar>
                  <w:top w:w="0" w:type="dxa"/>
                  <w:left w:w="0" w:type="dxa"/>
                  <w:bottom w:w="0" w:type="dxa"/>
                  <w:right w:w="0" w:type="dxa"/>
                </w:tblCellMar>
              </w:tblPrEx>
              <w:trPr>
                <w:trHeight w:val="412" w:hRule="atLeast"/>
              </w:trPr>
              <w:tc>
                <w:tcPr>
                  <w:tcW w:w="7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kern w:val="0"/>
                      <w:szCs w:val="21"/>
                      <w:lang w:bidi="ar"/>
                    </w:rPr>
                    <w:t>3</w:t>
                  </w:r>
                </w:p>
              </w:tc>
              <w:tc>
                <w:tcPr>
                  <w:tcW w:w="16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r>
                    <w:rPr>
                      <w:color w:val="C00000"/>
                      <w:kern w:val="0"/>
                      <w:szCs w:val="21"/>
                      <w:lang w:bidi="ar"/>
                    </w:rPr>
                    <w:t>废气处理</w:t>
                  </w:r>
                </w:p>
              </w:tc>
              <w:tc>
                <w:tcPr>
                  <w:tcW w:w="162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eastAsia="宋体"/>
                      <w:color w:val="C00000"/>
                      <w:szCs w:val="21"/>
                      <w:lang w:eastAsia="zh-CN"/>
                    </w:rPr>
                  </w:pPr>
                  <w:r>
                    <w:rPr>
                      <w:rFonts w:hint="eastAsia"/>
                      <w:color w:val="C00000"/>
                      <w:szCs w:val="21"/>
                    </w:rPr>
                    <w:t>废</w:t>
                  </w:r>
                  <w:r>
                    <w:rPr>
                      <w:rFonts w:hint="eastAsia"/>
                      <w:color w:val="C00000"/>
                      <w:szCs w:val="21"/>
                      <w:lang w:eastAsia="zh-CN"/>
                    </w:rPr>
                    <w:t>除湿棉</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r>
                    <w:rPr>
                      <w:color w:val="C00000"/>
                      <w:kern w:val="0"/>
                      <w:szCs w:val="21"/>
                      <w:lang w:bidi="ar"/>
                    </w:rPr>
                    <w:t>危险废物</w:t>
                  </w:r>
                </w:p>
              </w:tc>
              <w:tc>
                <w:tcPr>
                  <w:tcW w:w="12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r>
                    <w:rPr>
                      <w:color w:val="C00000"/>
                      <w:kern w:val="0"/>
                      <w:szCs w:val="21"/>
                      <w:lang w:bidi="ar"/>
                    </w:rPr>
                    <w:t>900-041-49</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r>
                    <w:rPr>
                      <w:color w:val="C00000"/>
                      <w:kern w:val="0"/>
                      <w:szCs w:val="21"/>
                      <w:lang w:bidi="ar"/>
                    </w:rPr>
                    <w:t>有机物</w:t>
                  </w:r>
                </w:p>
              </w:tc>
              <w:tc>
                <w:tcPr>
                  <w:tcW w:w="6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r>
                    <w:rPr>
                      <w:color w:val="C00000"/>
                      <w:kern w:val="0"/>
                      <w:szCs w:val="21"/>
                      <w:lang w:bidi="ar"/>
                    </w:rPr>
                    <w:t>固态</w:t>
                  </w:r>
                </w:p>
              </w:tc>
              <w:tc>
                <w:tcPr>
                  <w:tcW w:w="7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r>
                    <w:rPr>
                      <w:color w:val="C00000"/>
                      <w:kern w:val="0"/>
                      <w:szCs w:val="21"/>
                      <w:lang w:bidi="ar"/>
                    </w:rPr>
                    <w:t>T/In</w:t>
                  </w:r>
                </w:p>
              </w:tc>
              <w:tc>
                <w:tcPr>
                  <w:tcW w:w="91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r>
                    <w:rPr>
                      <w:rFonts w:hint="eastAsia"/>
                      <w:color w:val="C00000"/>
                      <w:szCs w:val="21"/>
                    </w:rPr>
                    <w:t>0.01</w:t>
                  </w:r>
                </w:p>
              </w:tc>
              <w:tc>
                <w:tcPr>
                  <w:tcW w:w="73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p>
              </w:tc>
              <w:tc>
                <w:tcPr>
                  <w:tcW w:w="175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C00000"/>
                      <w:szCs w:val="21"/>
                    </w:rPr>
                  </w:pPr>
                  <w:r>
                    <w:rPr>
                      <w:rFonts w:hint="eastAsia"/>
                      <w:color w:val="C00000"/>
                      <w:szCs w:val="21"/>
                    </w:rPr>
                    <w:t>0.01</w:t>
                  </w:r>
                </w:p>
              </w:tc>
            </w:tr>
            <w:tr>
              <w:tblPrEx>
                <w:tblCellMar>
                  <w:top w:w="0" w:type="dxa"/>
                  <w:left w:w="0" w:type="dxa"/>
                  <w:bottom w:w="0" w:type="dxa"/>
                  <w:right w:w="0" w:type="dxa"/>
                </w:tblCellMar>
              </w:tblPrEx>
              <w:trPr>
                <w:trHeight w:val="412" w:hRule="atLeast"/>
              </w:trPr>
              <w:tc>
                <w:tcPr>
                  <w:tcW w:w="7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4</w:t>
                  </w:r>
                </w:p>
              </w:tc>
              <w:tc>
                <w:tcPr>
                  <w:tcW w:w="16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废气处理</w:t>
                  </w:r>
                </w:p>
              </w:tc>
              <w:tc>
                <w:tcPr>
                  <w:tcW w:w="162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废活性炭</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危险废物</w:t>
                  </w:r>
                </w:p>
              </w:tc>
              <w:tc>
                <w:tcPr>
                  <w:tcW w:w="12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900-039-49</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有机物</w:t>
                  </w:r>
                </w:p>
              </w:tc>
              <w:tc>
                <w:tcPr>
                  <w:tcW w:w="6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固态</w:t>
                  </w:r>
                </w:p>
              </w:tc>
              <w:tc>
                <w:tcPr>
                  <w:tcW w:w="7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T/In</w:t>
                  </w:r>
                </w:p>
              </w:tc>
              <w:tc>
                <w:tcPr>
                  <w:tcW w:w="91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1.06</w:t>
                  </w:r>
                  <w:r>
                    <w:rPr>
                      <w:bCs/>
                      <w:color w:val="000000"/>
                      <w:szCs w:val="21"/>
                      <w:vertAlign w:val="superscript"/>
                    </w:rPr>
                    <w:t>①</w:t>
                  </w:r>
                </w:p>
              </w:tc>
              <w:tc>
                <w:tcPr>
                  <w:tcW w:w="73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p>
              </w:tc>
              <w:tc>
                <w:tcPr>
                  <w:tcW w:w="1755"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1.06</w:t>
                  </w:r>
                </w:p>
              </w:tc>
            </w:tr>
            <w:tr>
              <w:tblPrEx>
                <w:tblCellMar>
                  <w:top w:w="0" w:type="dxa"/>
                  <w:left w:w="0" w:type="dxa"/>
                  <w:bottom w:w="0" w:type="dxa"/>
                  <w:right w:w="0" w:type="dxa"/>
                </w:tblCellMar>
              </w:tblPrEx>
              <w:trPr>
                <w:trHeight w:val="412" w:hRule="atLeast"/>
              </w:trPr>
              <w:tc>
                <w:tcPr>
                  <w:tcW w:w="9001" w:type="dxa"/>
                  <w:gridSpan w:val="8"/>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合计</w:t>
                  </w:r>
                </w:p>
              </w:tc>
              <w:tc>
                <w:tcPr>
                  <w:tcW w:w="91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eastAsia="宋体"/>
                      <w:color w:val="000000"/>
                      <w:szCs w:val="21"/>
                      <w:lang w:eastAsia="zh-CN"/>
                    </w:rPr>
                  </w:pPr>
                  <w:r>
                    <w:rPr>
                      <w:color w:val="000000"/>
                      <w:kern w:val="0"/>
                      <w:szCs w:val="21"/>
                      <w:lang w:bidi="ar"/>
                    </w:rPr>
                    <w:t>7.</w:t>
                  </w:r>
                  <w:r>
                    <w:rPr>
                      <w:rFonts w:hint="eastAsia"/>
                      <w:color w:val="000000"/>
                      <w:kern w:val="0"/>
                      <w:szCs w:val="21"/>
                      <w:lang w:val="en-US" w:eastAsia="zh-CN" w:bidi="ar"/>
                    </w:rPr>
                    <w:t>7</w:t>
                  </w:r>
                </w:p>
              </w:tc>
              <w:tc>
                <w:tcPr>
                  <w:tcW w:w="73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p>
              </w:tc>
              <w:tc>
                <w:tcPr>
                  <w:tcW w:w="1755"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eastAsia="宋体"/>
                      <w:color w:val="000000"/>
                      <w:szCs w:val="21"/>
                      <w:lang w:eastAsia="zh-CN"/>
                    </w:rPr>
                  </w:pPr>
                  <w:r>
                    <w:rPr>
                      <w:color w:val="000000"/>
                      <w:kern w:val="0"/>
                      <w:szCs w:val="21"/>
                      <w:lang w:bidi="ar"/>
                    </w:rPr>
                    <w:t>7.</w:t>
                  </w:r>
                  <w:r>
                    <w:rPr>
                      <w:rFonts w:hint="eastAsia"/>
                      <w:color w:val="000000"/>
                      <w:kern w:val="0"/>
                      <w:szCs w:val="21"/>
                      <w:lang w:val="en-US" w:eastAsia="zh-CN" w:bidi="ar"/>
                    </w:rPr>
                    <w:t>7</w:t>
                  </w:r>
                </w:p>
              </w:tc>
            </w:tr>
            <w:tr>
              <w:tblPrEx>
                <w:tblCellMar>
                  <w:top w:w="0" w:type="dxa"/>
                  <w:left w:w="0" w:type="dxa"/>
                  <w:bottom w:w="0" w:type="dxa"/>
                  <w:right w:w="0" w:type="dxa"/>
                </w:tblCellMar>
              </w:tblPrEx>
              <w:trPr>
                <w:trHeight w:val="472" w:hRule="atLeast"/>
              </w:trPr>
              <w:tc>
                <w:tcPr>
                  <w:tcW w:w="7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kern w:val="0"/>
                      <w:szCs w:val="21"/>
                      <w:lang w:val="en-US" w:eastAsia="zh-CN" w:bidi="ar"/>
                    </w:rPr>
                    <w:t>5</w:t>
                  </w:r>
                </w:p>
              </w:tc>
              <w:tc>
                <w:tcPr>
                  <w:tcW w:w="16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原料拆卸</w:t>
                  </w:r>
                </w:p>
              </w:tc>
              <w:tc>
                <w:tcPr>
                  <w:tcW w:w="162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废包装材料（未沾染危险品）</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一般固废</w:t>
                  </w:r>
                </w:p>
              </w:tc>
              <w:tc>
                <w:tcPr>
                  <w:tcW w:w="12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398-001-07</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w:t>
                  </w:r>
                </w:p>
              </w:tc>
              <w:tc>
                <w:tcPr>
                  <w:tcW w:w="6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固态</w:t>
                  </w:r>
                </w:p>
              </w:tc>
              <w:tc>
                <w:tcPr>
                  <w:tcW w:w="798" w:type="dxa"/>
                  <w:tcBorders>
                    <w:top w:val="single" w:color="000000" w:sz="4" w:space="0"/>
                    <w:left w:val="single" w:color="000000" w:sz="4" w:space="0"/>
                    <w:bottom w:val="single" w:color="000000" w:sz="4" w:space="0"/>
                    <w:right w:val="single" w:color="auto"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w:t>
                  </w:r>
                </w:p>
              </w:tc>
              <w:tc>
                <w:tcPr>
                  <w:tcW w:w="916"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0.03</w:t>
                  </w:r>
                </w:p>
              </w:tc>
              <w:tc>
                <w:tcPr>
                  <w:tcW w:w="731" w:type="dxa"/>
                  <w:vMerge w:val="restart"/>
                  <w:tcBorders>
                    <w:top w:val="single" w:color="auto" w:sz="4" w:space="0"/>
                    <w:left w:val="single" w:color="auto" w:sz="4" w:space="0"/>
                    <w:right w:val="single" w:color="auto" w:sz="4" w:space="0"/>
                  </w:tcBorders>
                  <w:tcMar>
                    <w:top w:w="12" w:type="dxa"/>
                    <w:left w:w="12" w:type="dxa"/>
                    <w:right w:w="12" w:type="dxa"/>
                  </w:tcMar>
                  <w:vAlign w:val="center"/>
                </w:tcPr>
                <w:p>
                  <w:pPr>
                    <w:widowControl/>
                    <w:jc w:val="center"/>
                    <w:textAlignment w:val="center"/>
                    <w:rPr>
                      <w:color w:val="000000"/>
                      <w:szCs w:val="21"/>
                    </w:rPr>
                  </w:pPr>
                  <w:r>
                    <w:rPr>
                      <w:color w:val="000000"/>
                      <w:kern w:val="0"/>
                      <w:szCs w:val="21"/>
                      <w:lang w:bidi="ar"/>
                    </w:rPr>
                    <w:t>贮存于</w:t>
                  </w:r>
                  <w:r>
                    <w:rPr>
                      <w:rFonts w:hint="eastAsia"/>
                      <w:color w:val="000000"/>
                      <w:kern w:val="0"/>
                      <w:szCs w:val="21"/>
                      <w:lang w:bidi="ar"/>
                    </w:rPr>
                    <w:t>固废贮存区（</w:t>
                  </w:r>
                  <w:r>
                    <w:rPr>
                      <w:rFonts w:hint="eastAsia"/>
                      <w:color w:val="000000"/>
                      <w:kern w:val="0"/>
                      <w:szCs w:val="21"/>
                      <w:lang w:eastAsia="zh-CN" w:bidi="ar"/>
                    </w:rPr>
                    <w:t>组装</w:t>
                  </w:r>
                  <w:r>
                    <w:rPr>
                      <w:rFonts w:hint="eastAsia"/>
                      <w:color w:val="000000"/>
                      <w:kern w:val="0"/>
                      <w:szCs w:val="21"/>
                      <w:lang w:bidi="ar"/>
                    </w:rPr>
                    <w:t>区）</w:t>
                  </w:r>
                </w:p>
              </w:tc>
              <w:tc>
                <w:tcPr>
                  <w:tcW w:w="1755"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物资公司回收利用</w:t>
                  </w: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0.03</w:t>
                  </w:r>
                </w:p>
              </w:tc>
            </w:tr>
            <w:tr>
              <w:tblPrEx>
                <w:tblCellMar>
                  <w:top w:w="0" w:type="dxa"/>
                  <w:left w:w="0" w:type="dxa"/>
                  <w:bottom w:w="0" w:type="dxa"/>
                  <w:right w:w="0" w:type="dxa"/>
                </w:tblCellMar>
              </w:tblPrEx>
              <w:trPr>
                <w:trHeight w:val="472" w:hRule="atLeast"/>
              </w:trPr>
              <w:tc>
                <w:tcPr>
                  <w:tcW w:w="7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eastAsia="宋体"/>
                      <w:color w:val="000000"/>
                      <w:kern w:val="0"/>
                      <w:szCs w:val="21"/>
                      <w:lang w:eastAsia="zh-CN" w:bidi="ar"/>
                    </w:rPr>
                  </w:pPr>
                  <w:r>
                    <w:rPr>
                      <w:rFonts w:hint="eastAsia"/>
                      <w:color w:val="000000"/>
                      <w:kern w:val="0"/>
                      <w:szCs w:val="21"/>
                      <w:lang w:val="en-US" w:eastAsia="zh-CN" w:bidi="ar"/>
                    </w:rPr>
                    <w:t>6</w:t>
                  </w:r>
                </w:p>
              </w:tc>
              <w:tc>
                <w:tcPr>
                  <w:tcW w:w="16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喷砂</w:t>
                  </w:r>
                </w:p>
              </w:tc>
              <w:tc>
                <w:tcPr>
                  <w:tcW w:w="162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废金刚砂</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一般固废</w:t>
                  </w:r>
                </w:p>
              </w:tc>
              <w:tc>
                <w:tcPr>
                  <w:tcW w:w="12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398-001-09</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w:t>
                  </w:r>
                </w:p>
              </w:tc>
              <w:tc>
                <w:tcPr>
                  <w:tcW w:w="6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固态</w:t>
                  </w:r>
                </w:p>
              </w:tc>
              <w:tc>
                <w:tcPr>
                  <w:tcW w:w="798" w:type="dxa"/>
                  <w:tcBorders>
                    <w:top w:val="single" w:color="000000" w:sz="4" w:space="0"/>
                    <w:left w:val="single" w:color="000000" w:sz="4" w:space="0"/>
                    <w:bottom w:val="single" w:color="000000" w:sz="4" w:space="0"/>
                    <w:right w:val="single" w:color="auto"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w:t>
                  </w:r>
                </w:p>
              </w:tc>
              <w:tc>
                <w:tcPr>
                  <w:tcW w:w="916"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0.03</w:t>
                  </w:r>
                </w:p>
              </w:tc>
              <w:tc>
                <w:tcPr>
                  <w:tcW w:w="731" w:type="dxa"/>
                  <w:vMerge w:val="continue"/>
                  <w:tcBorders>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color w:val="000000"/>
                      <w:szCs w:val="21"/>
                    </w:rPr>
                  </w:pPr>
                </w:p>
              </w:tc>
              <w:tc>
                <w:tcPr>
                  <w:tcW w:w="1755"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物资公司回收利用</w:t>
                  </w: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0.03</w:t>
                  </w:r>
                </w:p>
              </w:tc>
            </w:tr>
            <w:tr>
              <w:tblPrEx>
                <w:tblCellMar>
                  <w:top w:w="0" w:type="dxa"/>
                  <w:left w:w="0" w:type="dxa"/>
                  <w:bottom w:w="0" w:type="dxa"/>
                  <w:right w:w="0" w:type="dxa"/>
                </w:tblCellMar>
              </w:tblPrEx>
              <w:trPr>
                <w:trHeight w:val="472" w:hRule="atLeast"/>
              </w:trPr>
              <w:tc>
                <w:tcPr>
                  <w:tcW w:w="7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default" w:eastAsia="宋体"/>
                      <w:color w:val="000000"/>
                      <w:szCs w:val="21"/>
                      <w:lang w:val="en-US" w:eastAsia="zh-CN"/>
                    </w:rPr>
                  </w:pPr>
                  <w:r>
                    <w:rPr>
                      <w:rFonts w:hint="eastAsia"/>
                      <w:color w:val="000000"/>
                      <w:szCs w:val="21"/>
                      <w:lang w:val="en-US" w:eastAsia="zh-CN"/>
                    </w:rPr>
                    <w:t>7</w:t>
                  </w:r>
                </w:p>
              </w:tc>
              <w:tc>
                <w:tcPr>
                  <w:tcW w:w="163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color w:val="000000"/>
                      <w:szCs w:val="21"/>
                    </w:rPr>
                  </w:pPr>
                  <w:r>
                    <w:rPr>
                      <w:color w:val="000000"/>
                      <w:szCs w:val="21"/>
                    </w:rPr>
                    <w:t>生活</w:t>
                  </w:r>
                </w:p>
              </w:tc>
              <w:tc>
                <w:tcPr>
                  <w:tcW w:w="162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生活垃圾</w:t>
                  </w:r>
                </w:p>
              </w:tc>
              <w:tc>
                <w:tcPr>
                  <w:tcW w:w="116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一般固废</w:t>
                  </w:r>
                </w:p>
              </w:tc>
              <w:tc>
                <w:tcPr>
                  <w:tcW w:w="12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w:t>
                  </w:r>
                </w:p>
              </w:tc>
              <w:tc>
                <w:tcPr>
                  <w:tcW w:w="116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color w:val="000000"/>
                      <w:szCs w:val="21"/>
                    </w:rPr>
                  </w:pPr>
                  <w:r>
                    <w:rPr>
                      <w:color w:val="000000"/>
                      <w:szCs w:val="21"/>
                    </w:rPr>
                    <w:t>/</w:t>
                  </w:r>
                </w:p>
              </w:tc>
              <w:tc>
                <w:tcPr>
                  <w:tcW w:w="6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固态</w:t>
                  </w:r>
                </w:p>
              </w:tc>
              <w:tc>
                <w:tcPr>
                  <w:tcW w:w="798" w:type="dxa"/>
                  <w:tcBorders>
                    <w:top w:val="single" w:color="000000" w:sz="4" w:space="0"/>
                    <w:left w:val="single" w:color="000000" w:sz="4" w:space="0"/>
                    <w:bottom w:val="single" w:color="000000" w:sz="4" w:space="0"/>
                    <w:right w:val="single" w:color="auto" w:sz="4" w:space="0"/>
                  </w:tcBorders>
                  <w:noWrap/>
                  <w:tcMar>
                    <w:top w:w="12" w:type="dxa"/>
                    <w:left w:w="12" w:type="dxa"/>
                    <w:right w:w="12" w:type="dxa"/>
                  </w:tcMar>
                  <w:vAlign w:val="center"/>
                </w:tcPr>
                <w:p>
                  <w:pPr>
                    <w:widowControl/>
                    <w:jc w:val="center"/>
                    <w:textAlignment w:val="center"/>
                    <w:rPr>
                      <w:color w:val="000000"/>
                      <w:kern w:val="0"/>
                      <w:szCs w:val="21"/>
                      <w:lang w:bidi="ar"/>
                    </w:rPr>
                  </w:pPr>
                  <w:r>
                    <w:rPr>
                      <w:color w:val="000000"/>
                      <w:kern w:val="0"/>
                      <w:szCs w:val="21"/>
                      <w:lang w:bidi="ar"/>
                    </w:rPr>
                    <w:t>/</w:t>
                  </w:r>
                </w:p>
              </w:tc>
              <w:tc>
                <w:tcPr>
                  <w:tcW w:w="916"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5.2</w:t>
                  </w:r>
                </w:p>
              </w:tc>
              <w:tc>
                <w:tcPr>
                  <w:tcW w:w="731"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jc w:val="center"/>
                    <w:rPr>
                      <w:color w:val="000000"/>
                      <w:szCs w:val="21"/>
                    </w:rPr>
                  </w:pPr>
                  <w:r>
                    <w:rPr>
                      <w:color w:val="000000"/>
                      <w:szCs w:val="21"/>
                    </w:rPr>
                    <w:t>/</w:t>
                  </w:r>
                </w:p>
              </w:tc>
              <w:tc>
                <w:tcPr>
                  <w:tcW w:w="1755"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color w:val="000000"/>
                      <w:szCs w:val="21"/>
                    </w:rPr>
                    <w:t>环卫部门处理</w:t>
                  </w: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5.2</w:t>
                  </w:r>
                </w:p>
              </w:tc>
            </w:tr>
            <w:tr>
              <w:tblPrEx>
                <w:tblCellMar>
                  <w:top w:w="0" w:type="dxa"/>
                  <w:left w:w="0" w:type="dxa"/>
                  <w:bottom w:w="0" w:type="dxa"/>
                  <w:right w:w="0" w:type="dxa"/>
                </w:tblCellMar>
              </w:tblPrEx>
              <w:trPr>
                <w:trHeight w:val="472" w:hRule="atLeast"/>
              </w:trPr>
              <w:tc>
                <w:tcPr>
                  <w:tcW w:w="9001" w:type="dxa"/>
                  <w:gridSpan w:val="8"/>
                  <w:tcBorders>
                    <w:top w:val="single" w:color="000000" w:sz="4" w:space="0"/>
                    <w:left w:val="single" w:color="000000" w:sz="4" w:space="0"/>
                    <w:bottom w:val="single" w:color="000000" w:sz="4" w:space="0"/>
                    <w:right w:val="single" w:color="auto" w:sz="4" w:space="0"/>
                  </w:tcBorders>
                  <w:tcMar>
                    <w:top w:w="12" w:type="dxa"/>
                    <w:left w:w="12" w:type="dxa"/>
                    <w:right w:w="12" w:type="dxa"/>
                  </w:tcMar>
                  <w:vAlign w:val="center"/>
                </w:tcPr>
                <w:p>
                  <w:pPr>
                    <w:widowControl/>
                    <w:jc w:val="center"/>
                    <w:textAlignment w:val="center"/>
                    <w:rPr>
                      <w:color w:val="000000"/>
                      <w:kern w:val="0"/>
                      <w:szCs w:val="21"/>
                      <w:lang w:bidi="ar"/>
                    </w:rPr>
                  </w:pPr>
                  <w:r>
                    <w:rPr>
                      <w:rFonts w:hint="eastAsia"/>
                      <w:color w:val="000000"/>
                      <w:kern w:val="0"/>
                      <w:szCs w:val="21"/>
                      <w:lang w:bidi="ar"/>
                    </w:rPr>
                    <w:t>合计</w:t>
                  </w:r>
                </w:p>
              </w:tc>
              <w:tc>
                <w:tcPr>
                  <w:tcW w:w="916"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jc w:val="center"/>
                    <w:textAlignment w:val="center"/>
                    <w:rPr>
                      <w:rFonts w:hint="eastAsia" w:eastAsia="宋体"/>
                      <w:color w:val="000000"/>
                      <w:szCs w:val="21"/>
                      <w:lang w:eastAsia="zh-CN"/>
                    </w:rPr>
                  </w:pPr>
                  <w:r>
                    <w:rPr>
                      <w:rFonts w:hint="eastAsia"/>
                      <w:color w:val="000000"/>
                      <w:szCs w:val="21"/>
                    </w:rPr>
                    <w:t>5.2</w:t>
                  </w:r>
                  <w:r>
                    <w:rPr>
                      <w:rFonts w:hint="eastAsia"/>
                      <w:color w:val="000000"/>
                      <w:szCs w:val="21"/>
                      <w:lang w:val="en-US" w:eastAsia="zh-CN"/>
                    </w:rPr>
                    <w:t>6</w:t>
                  </w:r>
                </w:p>
              </w:tc>
              <w:tc>
                <w:tcPr>
                  <w:tcW w:w="731"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jc w:val="center"/>
                    <w:rPr>
                      <w:color w:val="000000"/>
                      <w:szCs w:val="21"/>
                    </w:rPr>
                  </w:pPr>
                  <w:r>
                    <w:rPr>
                      <w:rFonts w:hint="eastAsia"/>
                      <w:color w:val="000000"/>
                      <w:szCs w:val="21"/>
                    </w:rPr>
                    <w:t>/</w:t>
                  </w:r>
                </w:p>
              </w:tc>
              <w:tc>
                <w:tcPr>
                  <w:tcW w:w="1755"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szCs w:val="21"/>
                    </w:rPr>
                    <w:t>/</w:t>
                  </w:r>
                </w:p>
              </w:tc>
              <w:tc>
                <w:tcPr>
                  <w:tcW w:w="8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eastAsia="宋体"/>
                      <w:color w:val="000000"/>
                      <w:szCs w:val="21"/>
                      <w:lang w:eastAsia="zh-CN"/>
                    </w:rPr>
                  </w:pPr>
                  <w:r>
                    <w:rPr>
                      <w:rFonts w:hint="eastAsia"/>
                      <w:color w:val="000000"/>
                      <w:szCs w:val="21"/>
                    </w:rPr>
                    <w:t>5.2</w:t>
                  </w:r>
                  <w:r>
                    <w:rPr>
                      <w:rFonts w:hint="eastAsia"/>
                      <w:color w:val="000000"/>
                      <w:szCs w:val="21"/>
                      <w:lang w:val="en-US" w:eastAsia="zh-CN"/>
                    </w:rPr>
                    <w:t>6</w:t>
                  </w:r>
                </w:p>
              </w:tc>
            </w:tr>
          </w:tbl>
          <w:p>
            <w:pPr>
              <w:pStyle w:val="20"/>
              <w:outlineLvl w:val="0"/>
              <w:rPr>
                <w:rFonts w:ascii="Times New Roman" w:hAnsi="Times New Roman" w:eastAsia="黑体"/>
                <w:snapToGrid w:val="0"/>
                <w:color w:val="000000"/>
                <w:sz w:val="30"/>
                <w:szCs w:val="30"/>
              </w:rPr>
            </w:pPr>
            <w:r>
              <w:rPr>
                <w:rFonts w:ascii="Times New Roman" w:hAnsi="Times New Roman"/>
                <w:bCs/>
                <w:color w:val="000000"/>
                <w:kern w:val="2"/>
                <w:sz w:val="21"/>
                <w:szCs w:val="21"/>
              </w:rPr>
              <w:t>备注：①本项目</w:t>
            </w:r>
            <w:r>
              <w:rPr>
                <w:rFonts w:hint="eastAsia" w:ascii="Times New Roman" w:hAnsi="Times New Roman"/>
                <w:bCs/>
                <w:color w:val="000000"/>
                <w:kern w:val="2"/>
                <w:sz w:val="21"/>
                <w:szCs w:val="21"/>
              </w:rPr>
              <w:t>有机废气处理量为294kg/a，其中二级活性炭的处理能力为90%</w:t>
            </w:r>
            <w:r>
              <w:rPr>
                <w:rFonts w:ascii="Times New Roman" w:hAnsi="Times New Roman"/>
                <w:bCs/>
                <w:color w:val="000000"/>
                <w:kern w:val="2"/>
                <w:sz w:val="21"/>
                <w:szCs w:val="21"/>
              </w:rPr>
              <w:t>，按照活性炭：有机废气为3：1计算。</w:t>
            </w:r>
          </w:p>
        </w:tc>
      </w:tr>
    </w:tbl>
    <w:p>
      <w:pPr>
        <w:pStyle w:val="20"/>
        <w:jc w:val="center"/>
        <w:outlineLvl w:val="0"/>
        <w:rPr>
          <w:rFonts w:ascii="Times New Roman" w:hAnsi="Times New Roman" w:eastAsia="黑体"/>
          <w:snapToGrid w:val="0"/>
          <w:color w:val="000000"/>
          <w:sz w:val="30"/>
          <w:szCs w:val="30"/>
        </w:rPr>
        <w:sectPr>
          <w:pgSz w:w="16838" w:h="11906" w:orient="landscape"/>
          <w:pgMar w:top="1418" w:right="1418" w:bottom="1418" w:left="1418" w:header="851" w:footer="851" w:gutter="0"/>
          <w:cols w:space="720" w:num="1"/>
          <w:docGrid w:linePitch="312" w:charSpace="0"/>
        </w:sectPr>
      </w:pP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6"/>
        <w:gridCol w:w="79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401" w:hRule="atLeast"/>
          <w:jc w:val="center"/>
        </w:trPr>
        <w:tc>
          <w:tcPr>
            <w:tcW w:w="866" w:type="dxa"/>
            <w:vAlign w:val="center"/>
          </w:tcPr>
          <w:p>
            <w:pPr>
              <w:adjustRightInd w:val="0"/>
              <w:snapToGrid w:val="0"/>
              <w:jc w:val="center"/>
              <w:rPr>
                <w:b/>
                <w:bCs/>
                <w:color w:val="000000"/>
                <w:szCs w:val="21"/>
              </w:rPr>
            </w:pPr>
            <w:r>
              <w:rPr>
                <w:b/>
                <w:bCs/>
                <w:color w:val="000000"/>
                <w:szCs w:val="21"/>
              </w:rPr>
              <w:t>运营</w:t>
            </w:r>
          </w:p>
          <w:p>
            <w:pPr>
              <w:adjustRightInd w:val="0"/>
              <w:snapToGrid w:val="0"/>
              <w:jc w:val="center"/>
              <w:rPr>
                <w:b/>
                <w:bCs/>
                <w:color w:val="000000"/>
                <w:szCs w:val="21"/>
              </w:rPr>
            </w:pPr>
            <w:r>
              <w:rPr>
                <w:b/>
                <w:bCs/>
                <w:color w:val="000000"/>
                <w:szCs w:val="21"/>
              </w:rPr>
              <w:t>期环</w:t>
            </w:r>
          </w:p>
          <w:p>
            <w:pPr>
              <w:adjustRightInd w:val="0"/>
              <w:snapToGrid w:val="0"/>
              <w:jc w:val="center"/>
              <w:rPr>
                <w:b/>
                <w:bCs/>
                <w:color w:val="000000"/>
                <w:szCs w:val="21"/>
              </w:rPr>
            </w:pPr>
            <w:r>
              <w:rPr>
                <w:b/>
                <w:bCs/>
                <w:color w:val="000000"/>
                <w:szCs w:val="21"/>
              </w:rPr>
              <w:t>境影</w:t>
            </w:r>
          </w:p>
          <w:p>
            <w:pPr>
              <w:adjustRightInd w:val="0"/>
              <w:snapToGrid w:val="0"/>
              <w:jc w:val="center"/>
              <w:rPr>
                <w:b/>
                <w:bCs/>
                <w:color w:val="000000"/>
                <w:szCs w:val="21"/>
              </w:rPr>
            </w:pPr>
            <w:r>
              <w:rPr>
                <w:b/>
                <w:bCs/>
                <w:color w:val="000000"/>
                <w:szCs w:val="21"/>
              </w:rPr>
              <w:t>响和</w:t>
            </w:r>
          </w:p>
          <w:p>
            <w:pPr>
              <w:adjustRightInd w:val="0"/>
              <w:snapToGrid w:val="0"/>
              <w:jc w:val="center"/>
              <w:rPr>
                <w:b/>
                <w:bCs/>
                <w:color w:val="000000"/>
                <w:szCs w:val="21"/>
              </w:rPr>
            </w:pPr>
            <w:r>
              <w:rPr>
                <w:b/>
                <w:bCs/>
                <w:color w:val="000000"/>
                <w:szCs w:val="21"/>
              </w:rPr>
              <w:t>保护</w:t>
            </w:r>
          </w:p>
          <w:p>
            <w:pPr>
              <w:adjustRightInd w:val="0"/>
              <w:snapToGrid w:val="0"/>
              <w:jc w:val="center"/>
              <w:rPr>
                <w:color w:val="000000"/>
              </w:rPr>
            </w:pPr>
            <w:r>
              <w:rPr>
                <w:b/>
                <w:bCs/>
                <w:color w:val="000000"/>
                <w:szCs w:val="21"/>
              </w:rPr>
              <w:t>措施</w:t>
            </w:r>
          </w:p>
        </w:tc>
        <w:tc>
          <w:tcPr>
            <w:tcW w:w="7999" w:type="dxa"/>
          </w:tcPr>
          <w:p>
            <w:pPr>
              <w:pStyle w:val="11"/>
              <w:ind w:left="0" w:leftChars="0" w:firstLine="482"/>
              <w:rPr>
                <w:b/>
                <w:bCs/>
                <w:color w:val="000000"/>
                <w:sz w:val="24"/>
              </w:rPr>
            </w:pPr>
            <w:r>
              <w:rPr>
                <w:b/>
                <w:bCs/>
                <w:color w:val="000000"/>
                <w:sz w:val="24"/>
              </w:rPr>
              <w:t>固体废物环境管理要求：</w:t>
            </w:r>
          </w:p>
          <w:p>
            <w:pPr>
              <w:widowControl/>
              <w:adjustRightInd w:val="0"/>
              <w:snapToGrid w:val="0"/>
              <w:spacing w:line="360" w:lineRule="auto"/>
              <w:ind w:firstLine="480" w:firstLineChars="200"/>
              <w:rPr>
                <w:color w:val="000000"/>
                <w:sz w:val="24"/>
              </w:rPr>
            </w:pPr>
            <w:r>
              <w:rPr>
                <w:color w:val="000000"/>
                <w:sz w:val="24"/>
              </w:rPr>
              <w:t>本项目建设一座危废</w:t>
            </w:r>
            <w:r>
              <w:rPr>
                <w:rFonts w:hint="eastAsia"/>
                <w:color w:val="000000"/>
                <w:sz w:val="24"/>
              </w:rPr>
              <w:t>间</w:t>
            </w:r>
            <w:r>
              <w:rPr>
                <w:color w:val="000000"/>
                <w:sz w:val="24"/>
              </w:rPr>
              <w:t>，位于</w:t>
            </w:r>
            <w:r>
              <w:rPr>
                <w:rFonts w:hint="eastAsia"/>
                <w:color w:val="000000"/>
                <w:sz w:val="24"/>
              </w:rPr>
              <w:t>项目区域中部西侧</w:t>
            </w:r>
            <w:r>
              <w:rPr>
                <w:color w:val="000000"/>
                <w:sz w:val="24"/>
              </w:rPr>
              <w:t>，建筑面积为</w:t>
            </w:r>
            <w:r>
              <w:rPr>
                <w:rFonts w:hint="eastAsia"/>
                <w:color w:val="000000"/>
                <w:sz w:val="24"/>
              </w:rPr>
              <w:t>20</w:t>
            </w:r>
            <w:r>
              <w:rPr>
                <w:color w:val="000000"/>
                <w:sz w:val="24"/>
              </w:rPr>
              <w:t>m</w:t>
            </w:r>
            <w:r>
              <w:rPr>
                <w:color w:val="000000"/>
                <w:sz w:val="24"/>
                <w:vertAlign w:val="superscript"/>
              </w:rPr>
              <w:t>2</w:t>
            </w:r>
            <w:r>
              <w:rPr>
                <w:color w:val="000000"/>
                <w:sz w:val="24"/>
              </w:rPr>
              <w:t>，贮存能力约</w:t>
            </w:r>
            <w:r>
              <w:rPr>
                <w:rFonts w:hint="eastAsia"/>
                <w:color w:val="000000"/>
                <w:sz w:val="24"/>
              </w:rPr>
              <w:t>1.5</w:t>
            </w:r>
            <w:r>
              <w:rPr>
                <w:color w:val="000000"/>
                <w:sz w:val="24"/>
              </w:rPr>
              <w:t>吨/月，</w:t>
            </w:r>
            <w:r>
              <w:rPr>
                <w:rFonts w:hint="eastAsia"/>
                <w:color w:val="C00000"/>
                <w:sz w:val="24"/>
              </w:rPr>
              <w:t>贮存周期3个月，最大贮存量为4.5吨，</w:t>
            </w:r>
            <w:r>
              <w:rPr>
                <w:color w:val="000000"/>
                <w:sz w:val="24"/>
              </w:rPr>
              <w:t>本项目危险废物产生量为</w:t>
            </w:r>
            <w:r>
              <w:rPr>
                <w:rFonts w:hint="eastAsia"/>
                <w:color w:val="C00000"/>
                <w:sz w:val="24"/>
              </w:rPr>
              <w:t>7.6</w:t>
            </w:r>
            <w:r>
              <w:rPr>
                <w:color w:val="C00000"/>
                <w:sz w:val="24"/>
              </w:rPr>
              <w:t>t/a</w:t>
            </w:r>
            <w:r>
              <w:rPr>
                <w:color w:val="000000"/>
                <w:sz w:val="24"/>
              </w:rPr>
              <w:t>，处置周期为1次/季度。</w:t>
            </w:r>
          </w:p>
          <w:p>
            <w:pPr>
              <w:widowControl/>
              <w:adjustRightInd w:val="0"/>
              <w:snapToGrid w:val="0"/>
              <w:spacing w:line="360" w:lineRule="auto"/>
              <w:ind w:firstLine="480" w:firstLineChars="200"/>
              <w:rPr>
                <w:color w:val="000000"/>
                <w:sz w:val="24"/>
              </w:rPr>
            </w:pPr>
            <w:r>
              <w:rPr>
                <w:color w:val="000000"/>
                <w:sz w:val="24"/>
              </w:rPr>
              <w:t>危废</w:t>
            </w:r>
            <w:r>
              <w:rPr>
                <w:rFonts w:hint="eastAsia"/>
                <w:color w:val="000000"/>
                <w:sz w:val="24"/>
              </w:rPr>
              <w:t>间</w:t>
            </w:r>
            <w:r>
              <w:rPr>
                <w:color w:val="000000"/>
                <w:sz w:val="24"/>
              </w:rPr>
              <w:t>的建设和临时贮存满足《危险废物贮存污染控制标准》（GB18597-20</w:t>
            </w:r>
            <w:r>
              <w:rPr>
                <w:rFonts w:hint="eastAsia"/>
                <w:color w:val="000000"/>
                <w:sz w:val="24"/>
              </w:rPr>
              <w:t>23</w:t>
            </w:r>
            <w:r>
              <w:rPr>
                <w:color w:val="000000"/>
                <w:sz w:val="24"/>
              </w:rPr>
              <w:t>）中内容要求，并做到以下防范措施：①贮存场所地面与裙脚要用坚固、防渗（渗透系数≤10</w:t>
            </w:r>
            <w:r>
              <w:rPr>
                <w:color w:val="000000"/>
                <w:sz w:val="24"/>
                <w:vertAlign w:val="superscript"/>
              </w:rPr>
              <w:t>-7</w:t>
            </w:r>
            <w:r>
              <w:rPr>
                <w:color w:val="000000"/>
                <w:sz w:val="24"/>
              </w:rPr>
              <w:t>cm/s）的材料建造，建筑材料必须与危险废物相容，周围应设置围墙或其他防护栅栏；②不相容的危险废物不能堆放在一起，必须将危险废物装入容器内，且容器必须完好无损，禁止将不相容（相互反应）的危险废物在同一容器内混装；③必须有泄露液体收集装置；④设施内要有安全照明设施和观察窗口；⑤用以存放装载液体、半固体危险废物容器的地方，必须有耐腐蚀的硬化地面，且表面无缝隙。</w:t>
            </w:r>
          </w:p>
          <w:p>
            <w:pPr>
              <w:widowControl/>
              <w:adjustRightInd w:val="0"/>
              <w:snapToGrid w:val="0"/>
              <w:spacing w:line="360" w:lineRule="auto"/>
              <w:ind w:firstLine="480" w:firstLineChars="200"/>
              <w:rPr>
                <w:color w:val="000000"/>
                <w:sz w:val="24"/>
              </w:rPr>
            </w:pPr>
            <w:r>
              <w:rPr>
                <w:color w:val="000000"/>
                <w:sz w:val="24"/>
              </w:rPr>
              <w:t>根据中华人民共和国国务院令第344号《危险化学品安全管理条例》的有关规定，在危险废弃物外运至处置单位时必须严格遵守以下要求：</w:t>
            </w:r>
          </w:p>
          <w:p>
            <w:pPr>
              <w:widowControl/>
              <w:adjustRightInd w:val="0"/>
              <w:snapToGrid w:val="0"/>
              <w:spacing w:line="360" w:lineRule="auto"/>
              <w:ind w:firstLine="480" w:firstLineChars="200"/>
              <w:rPr>
                <w:color w:val="000000"/>
                <w:sz w:val="24"/>
              </w:rPr>
            </w:pPr>
            <w:r>
              <w:rPr>
                <w:color w:val="000000"/>
                <w:sz w:val="24"/>
              </w:rPr>
              <w:t>①做好每次外运处置废弃物的运输登记，按照危险废物转移规定开展网上申报。</w:t>
            </w:r>
          </w:p>
          <w:p>
            <w:pPr>
              <w:widowControl/>
              <w:adjustRightInd w:val="0"/>
              <w:snapToGrid w:val="0"/>
              <w:spacing w:line="360" w:lineRule="auto"/>
              <w:ind w:firstLine="480" w:firstLineChars="200"/>
              <w:rPr>
                <w:color w:val="000000"/>
                <w:sz w:val="24"/>
              </w:rPr>
            </w:pPr>
            <w:r>
              <w:rPr>
                <w:color w:val="000000"/>
                <w:sz w:val="24"/>
              </w:rPr>
              <w:t>②废弃物处置单位的运输人员必须掌握危险化学品运输的安全知识，了解所运载的危险化学品的性质、危害特性、包装容器的使用特性和发生意外时的应急措施。运输车辆必须具有车辆危险货物运输许可证。驾驶人员必须由取得驾驶执照的熟练人员担任。</w:t>
            </w:r>
          </w:p>
          <w:p>
            <w:pPr>
              <w:widowControl/>
              <w:adjustRightInd w:val="0"/>
              <w:snapToGrid w:val="0"/>
              <w:spacing w:line="360" w:lineRule="auto"/>
              <w:ind w:firstLine="480" w:firstLineChars="200"/>
              <w:rPr>
                <w:color w:val="000000"/>
                <w:sz w:val="24"/>
              </w:rPr>
            </w:pPr>
            <w:r>
              <w:rPr>
                <w:color w:val="000000"/>
                <w:sz w:val="24"/>
              </w:rPr>
              <w:t>③处置单位在运输危险废弃物时必须配备押运人员，并随时处于押运人员的监管之下，不得超装、超载，严格按照所在城市规定的行车时间和行车路线行驶，不得进入危险化学品运输车辆禁止通行的区域。</w:t>
            </w:r>
          </w:p>
          <w:p>
            <w:pPr>
              <w:widowControl/>
              <w:adjustRightInd w:val="0"/>
              <w:snapToGrid w:val="0"/>
              <w:spacing w:line="360" w:lineRule="auto"/>
              <w:ind w:firstLine="480" w:firstLineChars="200"/>
              <w:rPr>
                <w:color w:val="000000"/>
                <w:sz w:val="24"/>
              </w:rPr>
            </w:pPr>
            <w:r>
              <w:rPr>
                <w:color w:val="000000"/>
                <w:sz w:val="24"/>
              </w:rPr>
              <w:t>④危险废弃物在运输途中若发生被盗、丢失、流散、泄漏等情况时，公司及押运人员必须立即向当地公安部门报告，并采取一切可能的警示措施。</w:t>
            </w:r>
          </w:p>
          <w:p>
            <w:pPr>
              <w:spacing w:line="360" w:lineRule="auto"/>
              <w:ind w:firstLine="480" w:firstLineChars="200"/>
              <w:rPr>
                <w:b/>
                <w:bCs/>
                <w:color w:val="000000"/>
                <w:sz w:val="24"/>
              </w:rPr>
            </w:pPr>
            <w:r>
              <w:rPr>
                <w:color w:val="000000"/>
                <w:sz w:val="24"/>
              </w:rPr>
              <w:t>⑤一旦发生废弃物泄漏事故，公司和废弃物处置单位都应积极协助有关部门采取必要的安全措施，减少事故损失，防止事故蔓延、扩大；针对事故对人体、动植物、土壤、水源、空气造成的现实危害和可能产生的危害，应迅速采取封闭、隔离、洗消等措施，并对事故造成的危害进行监测、处置，直至符合国家环境保护标准。</w:t>
            </w:r>
          </w:p>
          <w:p>
            <w:pPr>
              <w:spacing w:line="360" w:lineRule="auto"/>
              <w:ind w:firstLine="482" w:firstLineChars="200"/>
              <w:rPr>
                <w:b/>
                <w:bCs/>
                <w:color w:val="000000"/>
                <w:sz w:val="24"/>
              </w:rPr>
            </w:pPr>
            <w:r>
              <w:rPr>
                <w:b/>
                <w:bCs/>
                <w:color w:val="000000"/>
                <w:sz w:val="24"/>
              </w:rPr>
              <w:t>（五）地下水、土壤</w:t>
            </w:r>
          </w:p>
          <w:p>
            <w:pPr>
              <w:pStyle w:val="63"/>
              <w:ind w:firstLine="480" w:firstLineChars="200"/>
              <w:rPr>
                <w:rFonts w:ascii="Times New Roman" w:hAnsi="Times New Roman" w:eastAsia="宋体" w:cs="Times New Roman"/>
                <w:b w:val="0"/>
                <w:bCs w:val="0"/>
                <w:color w:val="000000"/>
                <w:szCs w:val="24"/>
              </w:rPr>
            </w:pPr>
            <w:r>
              <w:rPr>
                <w:rFonts w:ascii="Times New Roman" w:hAnsi="Times New Roman" w:eastAsia="宋体" w:cs="Times New Roman"/>
                <w:b w:val="0"/>
                <w:bCs w:val="0"/>
                <w:color w:val="000000"/>
                <w:szCs w:val="24"/>
              </w:rPr>
              <w:t>本项目地下水、土壤的污染源为</w:t>
            </w:r>
            <w:r>
              <w:rPr>
                <w:rFonts w:hint="eastAsia" w:ascii="Times New Roman" w:hAnsi="Times New Roman" w:eastAsia="宋体" w:cs="Times New Roman"/>
                <w:b w:val="0"/>
                <w:bCs w:val="0"/>
                <w:color w:val="000000"/>
                <w:szCs w:val="24"/>
              </w:rPr>
              <w:t>乙醇、异丙醇、正丁醇、盐酸、草酸</w:t>
            </w:r>
            <w:r>
              <w:rPr>
                <w:rFonts w:ascii="Times New Roman" w:hAnsi="Times New Roman" w:eastAsia="宋体" w:cs="Times New Roman"/>
                <w:b w:val="0"/>
                <w:bCs w:val="0"/>
                <w:color w:val="000000"/>
                <w:szCs w:val="24"/>
              </w:rPr>
              <w:t>等，污染物类型主要为有机物，污染途径主要为废水、液体物料泄露地面渗入至地下水及土壤。为防止污染地下水及土壤，本项目</w:t>
            </w:r>
            <w:r>
              <w:rPr>
                <w:rFonts w:hint="eastAsia" w:ascii="Times New Roman" w:hAnsi="Times New Roman" w:eastAsia="宋体" w:cs="Times New Roman"/>
                <w:b w:val="0"/>
                <w:bCs w:val="0"/>
                <w:color w:val="000000"/>
                <w:szCs w:val="24"/>
              </w:rPr>
              <w:t>组装区、生产2区域、生产3区域、煅烧间、研发实验室、超净间、危废间、生产1区域、原料仓库</w:t>
            </w:r>
            <w:r>
              <w:rPr>
                <w:rFonts w:ascii="Times New Roman" w:hAnsi="Times New Roman" w:eastAsia="宋体" w:cs="Times New Roman"/>
                <w:b w:val="0"/>
                <w:bCs w:val="0"/>
                <w:color w:val="000000"/>
                <w:szCs w:val="24"/>
              </w:rPr>
              <w:t>等均按分区进行防渗处理，具体防渗措施如下：</w:t>
            </w:r>
          </w:p>
          <w:p>
            <w:pPr>
              <w:widowControl/>
              <w:numPr>
                <w:ilvl w:val="0"/>
                <w:numId w:val="1"/>
              </w:numPr>
              <w:jc w:val="center"/>
              <w:rPr>
                <w:b/>
                <w:color w:val="000000"/>
                <w:kern w:val="0"/>
                <w:szCs w:val="21"/>
              </w:rPr>
            </w:pPr>
            <w:r>
              <w:rPr>
                <w:b/>
                <w:color w:val="000000"/>
                <w:kern w:val="0"/>
                <w:szCs w:val="21"/>
              </w:rPr>
              <w:t xml:space="preserve">  本项目分区防渗一览表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74"/>
              <w:gridCol w:w="1725"/>
              <w:gridCol w:w="27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3274" w:type="dxa"/>
                  <w:vAlign w:val="center"/>
                </w:tcPr>
                <w:p>
                  <w:pPr>
                    <w:widowControl/>
                    <w:autoSpaceDN w:val="0"/>
                    <w:adjustRightInd w:val="0"/>
                    <w:snapToGrid w:val="0"/>
                    <w:jc w:val="center"/>
                    <w:rPr>
                      <w:b/>
                      <w:bCs/>
                      <w:color w:val="000000"/>
                      <w:szCs w:val="21"/>
                    </w:rPr>
                  </w:pPr>
                  <w:r>
                    <w:rPr>
                      <w:b/>
                      <w:bCs/>
                      <w:color w:val="000000"/>
                      <w:szCs w:val="21"/>
                    </w:rPr>
                    <w:t>装置、单元名称</w:t>
                  </w:r>
                </w:p>
              </w:tc>
              <w:tc>
                <w:tcPr>
                  <w:tcW w:w="1725" w:type="dxa"/>
                  <w:vAlign w:val="center"/>
                </w:tcPr>
                <w:p>
                  <w:pPr>
                    <w:widowControl/>
                    <w:autoSpaceDN w:val="0"/>
                    <w:adjustRightInd w:val="0"/>
                    <w:snapToGrid w:val="0"/>
                    <w:jc w:val="center"/>
                    <w:rPr>
                      <w:b/>
                      <w:bCs/>
                      <w:color w:val="000000"/>
                      <w:szCs w:val="21"/>
                    </w:rPr>
                  </w:pPr>
                  <w:r>
                    <w:rPr>
                      <w:b/>
                      <w:bCs/>
                      <w:color w:val="000000"/>
                      <w:szCs w:val="21"/>
                    </w:rPr>
                    <w:t>污染防治区类别</w:t>
                  </w:r>
                </w:p>
              </w:tc>
              <w:tc>
                <w:tcPr>
                  <w:tcW w:w="2774" w:type="dxa"/>
                  <w:vAlign w:val="center"/>
                </w:tcPr>
                <w:p>
                  <w:pPr>
                    <w:widowControl/>
                    <w:autoSpaceDN w:val="0"/>
                    <w:adjustRightInd w:val="0"/>
                    <w:snapToGrid w:val="0"/>
                    <w:jc w:val="center"/>
                    <w:rPr>
                      <w:b/>
                      <w:bCs/>
                      <w:color w:val="000000"/>
                      <w:szCs w:val="21"/>
                    </w:rPr>
                  </w:pPr>
                  <w:r>
                    <w:rPr>
                      <w:b/>
                      <w:bCs/>
                      <w:color w:val="000000"/>
                      <w:szCs w:val="21"/>
                    </w:rPr>
                    <w:t>防渗设计要求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3274" w:type="dxa"/>
                  <w:vAlign w:val="center"/>
                </w:tcPr>
                <w:p>
                  <w:pPr>
                    <w:widowControl/>
                    <w:autoSpaceDN w:val="0"/>
                    <w:adjustRightInd w:val="0"/>
                    <w:snapToGrid w:val="0"/>
                    <w:jc w:val="center"/>
                    <w:rPr>
                      <w:color w:val="000000"/>
                      <w:szCs w:val="21"/>
                    </w:rPr>
                  </w:pPr>
                  <w:r>
                    <w:rPr>
                      <w:rFonts w:hint="eastAsia"/>
                      <w:color w:val="000000"/>
                    </w:rPr>
                    <w:t>危废间、生产1区域、原料仓库</w:t>
                  </w:r>
                </w:p>
              </w:tc>
              <w:tc>
                <w:tcPr>
                  <w:tcW w:w="1725" w:type="dxa"/>
                  <w:vAlign w:val="center"/>
                </w:tcPr>
                <w:p>
                  <w:pPr>
                    <w:widowControl/>
                    <w:autoSpaceDN w:val="0"/>
                    <w:adjustRightInd w:val="0"/>
                    <w:snapToGrid w:val="0"/>
                    <w:jc w:val="center"/>
                    <w:rPr>
                      <w:color w:val="000000"/>
                      <w:szCs w:val="21"/>
                    </w:rPr>
                  </w:pPr>
                  <w:r>
                    <w:rPr>
                      <w:color w:val="000000"/>
                      <w:szCs w:val="21"/>
                    </w:rPr>
                    <w:t>重点防渗区</w:t>
                  </w:r>
                </w:p>
              </w:tc>
              <w:tc>
                <w:tcPr>
                  <w:tcW w:w="2774" w:type="dxa"/>
                  <w:vAlign w:val="center"/>
                </w:tcPr>
                <w:p>
                  <w:pPr>
                    <w:widowControl/>
                    <w:adjustRightInd w:val="0"/>
                    <w:snapToGrid w:val="0"/>
                    <w:jc w:val="center"/>
                    <w:rPr>
                      <w:color w:val="000000"/>
                      <w:szCs w:val="21"/>
                    </w:rPr>
                  </w:pPr>
                  <w:r>
                    <w:rPr>
                      <w:color w:val="000000"/>
                      <w:kern w:val="0"/>
                      <w:szCs w:val="21"/>
                    </w:rPr>
                    <w:t>等效黏土防渗层Mb≥6.0m，渗透系数K</w:t>
                  </w:r>
                  <w:r>
                    <w:rPr>
                      <w:color w:val="000000"/>
                      <w:szCs w:val="21"/>
                    </w:rPr>
                    <w:t>≤10</w:t>
                  </w:r>
                  <w:r>
                    <w:rPr>
                      <w:color w:val="000000"/>
                      <w:szCs w:val="21"/>
                      <w:vertAlign w:val="superscript"/>
                    </w:rPr>
                    <w:t>-10</w:t>
                  </w:r>
                  <w:r>
                    <w:rPr>
                      <w:color w:val="000000"/>
                      <w:szCs w:val="21"/>
                    </w:rPr>
                    <w:t>cm/s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3274" w:type="dxa"/>
                  <w:vAlign w:val="center"/>
                </w:tcPr>
                <w:p>
                  <w:pPr>
                    <w:widowControl/>
                    <w:autoSpaceDN w:val="0"/>
                    <w:adjustRightInd w:val="0"/>
                    <w:snapToGrid w:val="0"/>
                    <w:jc w:val="center"/>
                    <w:rPr>
                      <w:color w:val="000000"/>
                      <w:szCs w:val="21"/>
                      <w:lang w:val="zh-CN"/>
                    </w:rPr>
                  </w:pPr>
                  <w:r>
                    <w:rPr>
                      <w:rFonts w:hint="eastAsia"/>
                      <w:color w:val="000000"/>
                    </w:rPr>
                    <w:t>组装区、生产2区域、生产3区域、煅烧间、研发实验室、超净间</w:t>
                  </w:r>
                </w:p>
              </w:tc>
              <w:tc>
                <w:tcPr>
                  <w:tcW w:w="1725" w:type="dxa"/>
                  <w:vAlign w:val="center"/>
                </w:tcPr>
                <w:p>
                  <w:pPr>
                    <w:widowControl/>
                    <w:autoSpaceDN w:val="0"/>
                    <w:adjustRightInd w:val="0"/>
                    <w:snapToGrid w:val="0"/>
                    <w:jc w:val="center"/>
                    <w:rPr>
                      <w:color w:val="000000"/>
                      <w:szCs w:val="21"/>
                    </w:rPr>
                  </w:pPr>
                  <w:r>
                    <w:rPr>
                      <w:color w:val="000000"/>
                      <w:szCs w:val="21"/>
                    </w:rPr>
                    <w:t>一般防渗区</w:t>
                  </w:r>
                </w:p>
              </w:tc>
              <w:tc>
                <w:tcPr>
                  <w:tcW w:w="2774" w:type="dxa"/>
                  <w:vAlign w:val="center"/>
                </w:tcPr>
                <w:p>
                  <w:pPr>
                    <w:widowControl/>
                    <w:autoSpaceDN w:val="0"/>
                    <w:adjustRightInd w:val="0"/>
                    <w:snapToGrid w:val="0"/>
                    <w:jc w:val="center"/>
                    <w:rPr>
                      <w:color w:val="000000"/>
                      <w:szCs w:val="21"/>
                    </w:rPr>
                  </w:pPr>
                  <w:r>
                    <w:rPr>
                      <w:color w:val="000000"/>
                      <w:kern w:val="0"/>
                      <w:szCs w:val="21"/>
                    </w:rPr>
                    <w:t>等效黏土防渗层Mb≥1.5m，渗透系数K≤1×10</w:t>
                  </w:r>
                  <w:r>
                    <w:rPr>
                      <w:color w:val="000000"/>
                      <w:kern w:val="0"/>
                      <w:szCs w:val="21"/>
                      <w:vertAlign w:val="superscript"/>
                    </w:rPr>
                    <w:t>-7</w:t>
                  </w:r>
                  <w:r>
                    <w:rPr>
                      <w:color w:val="000000"/>
                      <w:kern w:val="0"/>
                      <w:szCs w:val="21"/>
                    </w:rPr>
                    <w:t>cm/s</w:t>
                  </w:r>
                </w:p>
              </w:tc>
            </w:tr>
          </w:tbl>
          <w:p>
            <w:pPr>
              <w:spacing w:line="360" w:lineRule="auto"/>
              <w:ind w:firstLine="482" w:firstLineChars="200"/>
              <w:rPr>
                <w:b/>
                <w:bCs/>
                <w:color w:val="000000"/>
                <w:sz w:val="24"/>
              </w:rPr>
            </w:pPr>
            <w:r>
              <w:rPr>
                <w:b/>
                <w:bCs/>
                <w:color w:val="000000"/>
                <w:sz w:val="24"/>
              </w:rPr>
              <w:t>（六）环境风险</w:t>
            </w:r>
          </w:p>
          <w:p>
            <w:pPr>
              <w:spacing w:line="360" w:lineRule="auto"/>
              <w:ind w:firstLine="480" w:firstLineChars="200"/>
              <w:rPr>
                <w:bCs/>
                <w:color w:val="000000"/>
                <w:sz w:val="24"/>
              </w:rPr>
            </w:pPr>
            <w:r>
              <w:rPr>
                <w:bCs/>
                <w:color w:val="000000"/>
                <w:sz w:val="24"/>
              </w:rPr>
              <w:t>按照《建设项目环境风险评价技术导则》（HJ169-2018）中附录B对项目所用原辅材料进行识别，本项目全厂涉及的危险物质主要为氯铱酸、乙醇</w:t>
            </w:r>
            <w:r>
              <w:rPr>
                <w:rFonts w:hint="eastAsia"/>
                <w:bCs/>
                <w:color w:val="000000"/>
                <w:sz w:val="24"/>
              </w:rPr>
              <w:t>、氯化</w:t>
            </w:r>
            <w:r>
              <w:rPr>
                <w:bCs/>
                <w:color w:val="000000"/>
                <w:sz w:val="24"/>
              </w:rPr>
              <w:t>铱</w:t>
            </w:r>
            <w:r>
              <w:rPr>
                <w:rFonts w:hint="eastAsia"/>
                <w:bCs/>
                <w:color w:val="000000"/>
                <w:sz w:val="24"/>
              </w:rPr>
              <w:t>、正丁醇</w:t>
            </w:r>
            <w:r>
              <w:rPr>
                <w:bCs/>
                <w:color w:val="000000"/>
                <w:sz w:val="24"/>
              </w:rPr>
              <w:t>、异丙醇</w:t>
            </w:r>
            <w:r>
              <w:rPr>
                <w:rFonts w:hint="eastAsia"/>
                <w:bCs/>
                <w:color w:val="000000"/>
                <w:sz w:val="24"/>
              </w:rPr>
              <w:t>、盐酸、草酸</w:t>
            </w:r>
            <w:r>
              <w:rPr>
                <w:bCs/>
                <w:color w:val="000000"/>
                <w:sz w:val="24"/>
              </w:rPr>
              <w:t>等。</w:t>
            </w:r>
          </w:p>
          <w:p>
            <w:pPr>
              <w:spacing w:line="360" w:lineRule="auto"/>
              <w:ind w:firstLine="480" w:firstLineChars="200"/>
              <w:rPr>
                <w:bCs/>
                <w:color w:val="000000"/>
                <w:sz w:val="24"/>
              </w:rPr>
            </w:pPr>
            <w:r>
              <w:rPr>
                <w:bCs/>
                <w:color w:val="000000"/>
                <w:sz w:val="24"/>
              </w:rPr>
              <w:t>根据辨识结果，计算项目涉及的危险物质在厂界内的最大存储量与其对应的临界量的比值Q。本项目按下列公示计算物质总量与其临界量比值：</w:t>
            </w:r>
          </w:p>
          <w:p>
            <w:pPr>
              <w:ind w:firstLine="27" w:firstLineChars="13"/>
              <w:jc w:val="center"/>
              <w:rPr>
                <w:bCs/>
                <w:color w:val="000000"/>
                <w:sz w:val="24"/>
              </w:rPr>
            </w:pPr>
            <w:r>
              <w:drawing>
                <wp:inline distT="0" distB="0" distL="114300" distR="114300">
                  <wp:extent cx="2038350" cy="542925"/>
                  <wp:effectExtent l="0" t="0" r="0" b="9525"/>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0"/>
                          <pic:cNvPicPr>
                            <a:picLocks noChangeAspect="1"/>
                          </pic:cNvPicPr>
                        </pic:nvPicPr>
                        <pic:blipFill>
                          <a:blip r:embed="rId31"/>
                          <a:stretch>
                            <a:fillRect/>
                          </a:stretch>
                        </pic:blipFill>
                        <pic:spPr>
                          <a:xfrm>
                            <a:off x="0" y="0"/>
                            <a:ext cx="2038350" cy="542925"/>
                          </a:xfrm>
                          <a:prstGeom prst="rect">
                            <a:avLst/>
                          </a:prstGeom>
                          <a:noFill/>
                          <a:ln>
                            <a:noFill/>
                          </a:ln>
                        </pic:spPr>
                      </pic:pic>
                    </a:graphicData>
                  </a:graphic>
                </wp:inline>
              </w:drawing>
            </w:r>
          </w:p>
          <w:p>
            <w:pPr>
              <w:spacing w:line="360" w:lineRule="auto"/>
              <w:ind w:firstLine="480" w:firstLineChars="200"/>
              <w:rPr>
                <w:bCs/>
                <w:color w:val="000000"/>
                <w:sz w:val="24"/>
              </w:rPr>
            </w:pPr>
            <w:r>
              <w:rPr>
                <w:bCs/>
                <w:color w:val="000000"/>
                <w:sz w:val="24"/>
              </w:rPr>
              <w:t>式中：</w:t>
            </w:r>
          </w:p>
          <w:p>
            <w:pPr>
              <w:spacing w:line="360" w:lineRule="auto"/>
              <w:ind w:firstLine="480" w:firstLineChars="200"/>
              <w:rPr>
                <w:bCs/>
                <w:color w:val="000000"/>
                <w:sz w:val="24"/>
              </w:rPr>
            </w:pPr>
            <w:r>
              <w:rPr>
                <w:bCs/>
                <w:color w:val="000000"/>
                <w:sz w:val="24"/>
              </w:rPr>
              <w:t>q</w:t>
            </w:r>
            <w:r>
              <w:rPr>
                <w:bCs/>
                <w:color w:val="000000"/>
                <w:sz w:val="24"/>
                <w:vertAlign w:val="subscript"/>
              </w:rPr>
              <w:t>1</w:t>
            </w:r>
            <w:r>
              <w:rPr>
                <w:bCs/>
                <w:color w:val="000000"/>
                <w:sz w:val="24"/>
              </w:rPr>
              <w:t>，q</w:t>
            </w:r>
            <w:r>
              <w:rPr>
                <w:bCs/>
                <w:color w:val="000000"/>
                <w:sz w:val="24"/>
                <w:vertAlign w:val="subscript"/>
              </w:rPr>
              <w:t>2</w:t>
            </w:r>
            <w:r>
              <w:rPr>
                <w:bCs/>
                <w:color w:val="000000"/>
                <w:sz w:val="24"/>
              </w:rPr>
              <w:t>……q</w:t>
            </w:r>
            <w:r>
              <w:rPr>
                <w:bCs/>
                <w:color w:val="000000"/>
                <w:sz w:val="24"/>
                <w:vertAlign w:val="subscript"/>
              </w:rPr>
              <w:t>n</w:t>
            </w:r>
            <w:r>
              <w:rPr>
                <w:bCs/>
                <w:color w:val="000000"/>
                <w:sz w:val="24"/>
              </w:rPr>
              <w:t>每种危险物质的最大存在总量t</w:t>
            </w:r>
          </w:p>
          <w:p>
            <w:pPr>
              <w:spacing w:line="360" w:lineRule="auto"/>
              <w:ind w:firstLine="480" w:firstLineChars="200"/>
              <w:rPr>
                <w:bCs/>
                <w:color w:val="000000"/>
                <w:sz w:val="24"/>
              </w:rPr>
            </w:pPr>
            <w:r>
              <w:rPr>
                <w:bCs/>
                <w:color w:val="000000"/>
                <w:sz w:val="24"/>
              </w:rPr>
              <w:t>Q</w:t>
            </w:r>
            <w:r>
              <w:rPr>
                <w:bCs/>
                <w:color w:val="000000"/>
                <w:sz w:val="24"/>
                <w:vertAlign w:val="subscript"/>
              </w:rPr>
              <w:t>1</w:t>
            </w:r>
            <w:r>
              <w:rPr>
                <w:bCs/>
                <w:color w:val="000000"/>
                <w:sz w:val="24"/>
              </w:rPr>
              <w:t>，Q</w:t>
            </w:r>
            <w:r>
              <w:rPr>
                <w:bCs/>
                <w:color w:val="000000"/>
                <w:sz w:val="24"/>
                <w:vertAlign w:val="subscript"/>
              </w:rPr>
              <w:t>2</w:t>
            </w:r>
            <w:r>
              <w:rPr>
                <w:bCs/>
                <w:color w:val="000000"/>
                <w:sz w:val="24"/>
              </w:rPr>
              <w:t>……Q</w:t>
            </w:r>
            <w:r>
              <w:rPr>
                <w:bCs/>
                <w:color w:val="000000"/>
                <w:sz w:val="24"/>
                <w:vertAlign w:val="subscript"/>
              </w:rPr>
              <w:t>n</w:t>
            </w:r>
            <w:r>
              <w:rPr>
                <w:bCs/>
                <w:color w:val="000000"/>
                <w:sz w:val="24"/>
              </w:rPr>
              <w:t>每种危险物质的临界量t。</w:t>
            </w:r>
          </w:p>
          <w:p>
            <w:pPr>
              <w:spacing w:line="360" w:lineRule="auto"/>
              <w:ind w:firstLine="480" w:firstLineChars="200"/>
              <w:rPr>
                <w:bCs/>
                <w:color w:val="000000"/>
                <w:sz w:val="24"/>
              </w:rPr>
            </w:pPr>
            <w:r>
              <w:rPr>
                <w:bCs/>
                <w:color w:val="000000"/>
                <w:sz w:val="24"/>
              </w:rPr>
              <w:t>当Q＜1时，该项目环境风险潜势为I。</w:t>
            </w:r>
          </w:p>
          <w:p>
            <w:pPr>
              <w:spacing w:line="360" w:lineRule="auto"/>
              <w:ind w:firstLine="480" w:firstLineChars="200"/>
              <w:rPr>
                <w:bCs/>
                <w:color w:val="000000"/>
                <w:sz w:val="24"/>
              </w:rPr>
            </w:pPr>
            <w:r>
              <w:rPr>
                <w:bCs/>
                <w:color w:val="C00000"/>
                <w:sz w:val="24"/>
              </w:rPr>
              <w:t>通过查询《建设项目环境风险评价技术导则》（HJ169-2018）中附录B的表B1和表B2计算危险物质的Q值</w:t>
            </w:r>
            <w:r>
              <w:rPr>
                <w:bCs/>
                <w:color w:val="000000"/>
                <w:sz w:val="24"/>
              </w:rPr>
              <w:t>。计算结果如下表所示：</w:t>
            </w:r>
          </w:p>
          <w:p>
            <w:pPr>
              <w:widowControl/>
              <w:numPr>
                <w:ilvl w:val="0"/>
                <w:numId w:val="1"/>
              </w:numPr>
              <w:jc w:val="center"/>
              <w:rPr>
                <w:b/>
                <w:color w:val="000000"/>
                <w:kern w:val="0"/>
                <w:szCs w:val="21"/>
              </w:rPr>
            </w:pPr>
            <w:r>
              <w:rPr>
                <w:b/>
                <w:color w:val="000000"/>
                <w:kern w:val="0"/>
                <w:szCs w:val="21"/>
              </w:rPr>
              <w:t xml:space="preserve">  全厂Q值确定表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85"/>
              <w:gridCol w:w="1500"/>
              <w:gridCol w:w="1605"/>
              <w:gridCol w:w="1497"/>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Align w:val="center"/>
                </w:tcPr>
                <w:p>
                  <w:pPr>
                    <w:adjustRightInd w:val="0"/>
                    <w:snapToGrid w:val="0"/>
                    <w:jc w:val="center"/>
                    <w:rPr>
                      <w:b/>
                      <w:bCs/>
                      <w:color w:val="000000"/>
                      <w:kern w:val="0"/>
                      <w:szCs w:val="21"/>
                    </w:rPr>
                  </w:pPr>
                  <w:r>
                    <w:rPr>
                      <w:b/>
                      <w:bCs/>
                      <w:color w:val="000000"/>
                      <w:kern w:val="0"/>
                      <w:szCs w:val="21"/>
                    </w:rPr>
                    <w:t>序号</w:t>
                  </w:r>
                </w:p>
              </w:tc>
              <w:tc>
                <w:tcPr>
                  <w:tcW w:w="1485" w:type="dxa"/>
                  <w:vAlign w:val="center"/>
                </w:tcPr>
                <w:p>
                  <w:pPr>
                    <w:adjustRightInd w:val="0"/>
                    <w:snapToGrid w:val="0"/>
                    <w:jc w:val="center"/>
                    <w:rPr>
                      <w:b/>
                      <w:bCs/>
                      <w:color w:val="000000"/>
                      <w:kern w:val="0"/>
                      <w:szCs w:val="21"/>
                    </w:rPr>
                  </w:pPr>
                  <w:r>
                    <w:rPr>
                      <w:b/>
                      <w:bCs/>
                      <w:color w:val="000000"/>
                      <w:kern w:val="0"/>
                      <w:szCs w:val="21"/>
                    </w:rPr>
                    <w:t>危险物质名称</w:t>
                  </w:r>
                </w:p>
              </w:tc>
              <w:tc>
                <w:tcPr>
                  <w:tcW w:w="1500" w:type="dxa"/>
                  <w:vAlign w:val="center"/>
                </w:tcPr>
                <w:p>
                  <w:pPr>
                    <w:adjustRightInd w:val="0"/>
                    <w:snapToGrid w:val="0"/>
                    <w:jc w:val="center"/>
                    <w:rPr>
                      <w:b/>
                      <w:bCs/>
                      <w:color w:val="000000"/>
                      <w:kern w:val="0"/>
                      <w:szCs w:val="21"/>
                    </w:rPr>
                  </w:pPr>
                  <w:r>
                    <w:rPr>
                      <w:b/>
                      <w:bCs/>
                      <w:color w:val="000000"/>
                      <w:kern w:val="0"/>
                      <w:szCs w:val="21"/>
                    </w:rPr>
                    <w:t>CAS号</w:t>
                  </w:r>
                </w:p>
              </w:tc>
              <w:tc>
                <w:tcPr>
                  <w:tcW w:w="1605" w:type="dxa"/>
                  <w:vAlign w:val="center"/>
                </w:tcPr>
                <w:p>
                  <w:pPr>
                    <w:adjustRightInd w:val="0"/>
                    <w:snapToGrid w:val="0"/>
                    <w:jc w:val="center"/>
                    <w:rPr>
                      <w:b/>
                      <w:bCs/>
                      <w:color w:val="000000"/>
                      <w:kern w:val="0"/>
                      <w:szCs w:val="21"/>
                    </w:rPr>
                  </w:pPr>
                  <w:r>
                    <w:rPr>
                      <w:b/>
                      <w:bCs/>
                      <w:color w:val="000000"/>
                      <w:kern w:val="0"/>
                      <w:szCs w:val="21"/>
                    </w:rPr>
                    <w:t>最大存储量（t）</w:t>
                  </w:r>
                </w:p>
              </w:tc>
              <w:tc>
                <w:tcPr>
                  <w:tcW w:w="1497" w:type="dxa"/>
                  <w:vAlign w:val="center"/>
                </w:tcPr>
                <w:p>
                  <w:pPr>
                    <w:adjustRightInd w:val="0"/>
                    <w:snapToGrid w:val="0"/>
                    <w:jc w:val="center"/>
                    <w:rPr>
                      <w:b/>
                      <w:bCs/>
                      <w:color w:val="000000"/>
                      <w:kern w:val="0"/>
                      <w:szCs w:val="21"/>
                    </w:rPr>
                  </w:pPr>
                  <w:r>
                    <w:rPr>
                      <w:b/>
                      <w:bCs/>
                      <w:color w:val="000000"/>
                      <w:kern w:val="0"/>
                      <w:szCs w:val="21"/>
                    </w:rPr>
                    <w:t>临界量Q</w:t>
                  </w:r>
                  <w:r>
                    <w:rPr>
                      <w:b/>
                      <w:bCs/>
                      <w:color w:val="000000"/>
                      <w:kern w:val="0"/>
                      <w:szCs w:val="21"/>
                      <w:vertAlign w:val="subscript"/>
                    </w:rPr>
                    <w:t>n</w:t>
                  </w:r>
                  <w:r>
                    <w:rPr>
                      <w:b/>
                      <w:bCs/>
                      <w:color w:val="000000"/>
                      <w:kern w:val="0"/>
                      <w:szCs w:val="21"/>
                    </w:rPr>
                    <w:t>（t）</w:t>
                  </w:r>
                </w:p>
              </w:tc>
              <w:tc>
                <w:tcPr>
                  <w:tcW w:w="1004" w:type="dxa"/>
                  <w:vAlign w:val="center"/>
                </w:tcPr>
                <w:p>
                  <w:pPr>
                    <w:adjustRightInd w:val="0"/>
                    <w:snapToGrid w:val="0"/>
                    <w:jc w:val="center"/>
                    <w:rPr>
                      <w:b/>
                      <w:bCs/>
                      <w:color w:val="000000"/>
                      <w:kern w:val="0"/>
                      <w:szCs w:val="21"/>
                    </w:rPr>
                  </w:pPr>
                  <w:r>
                    <w:rPr>
                      <w:b/>
                      <w:bCs/>
                      <w:color w:val="000000"/>
                      <w:kern w:val="0"/>
                      <w:szCs w:val="21"/>
                    </w:rPr>
                    <w:t>Q值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Align w:val="center"/>
                </w:tcPr>
                <w:p>
                  <w:pPr>
                    <w:adjustRightInd w:val="0"/>
                    <w:snapToGrid w:val="0"/>
                    <w:jc w:val="center"/>
                    <w:rPr>
                      <w:bCs/>
                      <w:color w:val="000000"/>
                      <w:kern w:val="0"/>
                      <w:szCs w:val="21"/>
                    </w:rPr>
                  </w:pPr>
                  <w:r>
                    <w:rPr>
                      <w:bCs/>
                      <w:color w:val="000000"/>
                      <w:kern w:val="0"/>
                      <w:szCs w:val="21"/>
                    </w:rPr>
                    <w:t>1</w:t>
                  </w:r>
                </w:p>
              </w:tc>
              <w:tc>
                <w:tcPr>
                  <w:tcW w:w="1485" w:type="dxa"/>
                  <w:vAlign w:val="center"/>
                </w:tcPr>
                <w:p>
                  <w:pPr>
                    <w:adjustRightInd w:val="0"/>
                    <w:snapToGrid w:val="0"/>
                    <w:jc w:val="center"/>
                    <w:rPr>
                      <w:bCs/>
                      <w:color w:val="000000"/>
                      <w:kern w:val="0"/>
                      <w:szCs w:val="21"/>
                      <w:highlight w:val="yellow"/>
                    </w:rPr>
                  </w:pPr>
                  <w:r>
                    <w:rPr>
                      <w:rFonts w:hint="eastAsia"/>
                      <w:bCs/>
                      <w:color w:val="000000"/>
                      <w:kern w:val="0"/>
                      <w:szCs w:val="21"/>
                    </w:rPr>
                    <w:t>氯化钌</w:t>
                  </w:r>
                </w:p>
              </w:tc>
              <w:tc>
                <w:tcPr>
                  <w:tcW w:w="1500" w:type="dxa"/>
                  <w:vAlign w:val="center"/>
                </w:tcPr>
                <w:p>
                  <w:pPr>
                    <w:jc w:val="center"/>
                    <w:rPr>
                      <w:color w:val="000000"/>
                      <w:szCs w:val="21"/>
                    </w:rPr>
                  </w:pPr>
                  <w:r>
                    <w:rPr>
                      <w:rFonts w:hint="eastAsia"/>
                      <w:color w:val="000000"/>
                      <w:szCs w:val="21"/>
                    </w:rPr>
                    <w:t>16941-12-1</w:t>
                  </w:r>
                </w:p>
              </w:tc>
              <w:tc>
                <w:tcPr>
                  <w:tcW w:w="1605" w:type="dxa"/>
                  <w:vAlign w:val="center"/>
                </w:tcPr>
                <w:p>
                  <w:pPr>
                    <w:adjustRightInd w:val="0"/>
                    <w:snapToGrid w:val="0"/>
                    <w:jc w:val="center"/>
                    <w:rPr>
                      <w:color w:val="000000"/>
                      <w:szCs w:val="21"/>
                    </w:rPr>
                  </w:pPr>
                  <w:r>
                    <w:rPr>
                      <w:rFonts w:hint="eastAsia"/>
                      <w:color w:val="000000"/>
                      <w:szCs w:val="21"/>
                    </w:rPr>
                    <w:t>0.005</w:t>
                  </w:r>
                </w:p>
              </w:tc>
              <w:tc>
                <w:tcPr>
                  <w:tcW w:w="1497" w:type="dxa"/>
                  <w:vAlign w:val="center"/>
                </w:tcPr>
                <w:p>
                  <w:pPr>
                    <w:adjustRightInd w:val="0"/>
                    <w:snapToGrid w:val="0"/>
                    <w:jc w:val="center"/>
                    <w:rPr>
                      <w:color w:val="C00000"/>
                      <w:szCs w:val="21"/>
                    </w:rPr>
                  </w:pPr>
                  <w:r>
                    <w:rPr>
                      <w:rFonts w:hint="eastAsia"/>
                      <w:color w:val="C00000"/>
                      <w:szCs w:val="21"/>
                    </w:rPr>
                    <w:t>5</w:t>
                  </w:r>
                </w:p>
              </w:tc>
              <w:tc>
                <w:tcPr>
                  <w:tcW w:w="1004" w:type="dxa"/>
                  <w:vAlign w:val="center"/>
                </w:tcPr>
                <w:p>
                  <w:pPr>
                    <w:keepNext w:val="0"/>
                    <w:keepLines w:val="0"/>
                    <w:widowControl/>
                    <w:suppressLineNumbers w:val="0"/>
                    <w:jc w:val="center"/>
                    <w:textAlignment w:val="center"/>
                    <w:rPr>
                      <w:rFonts w:hint="default" w:ascii="Times New Roman" w:hAnsi="Times New Roman" w:cs="Times New Roman"/>
                      <w:color w:val="C00000"/>
                      <w:sz w:val="21"/>
                      <w:szCs w:val="21"/>
                    </w:rPr>
                  </w:pPr>
                  <w:r>
                    <w:rPr>
                      <w:rFonts w:hint="default" w:ascii="Times New Roman" w:hAnsi="Times New Roman" w:eastAsia="宋体" w:cs="Times New Roman"/>
                      <w:i w:val="0"/>
                      <w:iCs w:val="0"/>
                      <w:color w:val="000000"/>
                      <w:kern w:val="0"/>
                      <w:sz w:val="21"/>
                      <w:szCs w:val="21"/>
                      <w:u w:val="none"/>
                      <w:lang w:val="en-US" w:eastAsia="zh-CN" w:bidi="ar"/>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Align w:val="center"/>
                </w:tcPr>
                <w:p>
                  <w:pPr>
                    <w:adjustRightInd w:val="0"/>
                    <w:snapToGrid w:val="0"/>
                    <w:jc w:val="center"/>
                    <w:rPr>
                      <w:bCs/>
                      <w:color w:val="000000"/>
                      <w:kern w:val="0"/>
                      <w:szCs w:val="21"/>
                    </w:rPr>
                  </w:pPr>
                  <w:r>
                    <w:rPr>
                      <w:bCs/>
                      <w:color w:val="000000"/>
                      <w:kern w:val="0"/>
                      <w:szCs w:val="21"/>
                    </w:rPr>
                    <w:t>2</w:t>
                  </w:r>
                </w:p>
              </w:tc>
              <w:tc>
                <w:tcPr>
                  <w:tcW w:w="1485" w:type="dxa"/>
                  <w:vAlign w:val="center"/>
                </w:tcPr>
                <w:p>
                  <w:pPr>
                    <w:adjustRightInd w:val="0"/>
                    <w:snapToGrid w:val="0"/>
                    <w:jc w:val="center"/>
                    <w:rPr>
                      <w:bCs/>
                      <w:color w:val="000000"/>
                      <w:kern w:val="0"/>
                      <w:szCs w:val="21"/>
                      <w:highlight w:val="yellow"/>
                    </w:rPr>
                  </w:pPr>
                  <w:r>
                    <w:rPr>
                      <w:bCs/>
                      <w:color w:val="000000"/>
                      <w:kern w:val="0"/>
                      <w:szCs w:val="21"/>
                    </w:rPr>
                    <w:t>氯铱酸</w:t>
                  </w:r>
                </w:p>
              </w:tc>
              <w:tc>
                <w:tcPr>
                  <w:tcW w:w="1500" w:type="dxa"/>
                  <w:vAlign w:val="center"/>
                </w:tcPr>
                <w:p>
                  <w:pPr>
                    <w:jc w:val="center"/>
                    <w:rPr>
                      <w:color w:val="000000"/>
                      <w:szCs w:val="21"/>
                    </w:rPr>
                  </w:pPr>
                  <w:r>
                    <w:rPr>
                      <w:rFonts w:hint="eastAsia"/>
                      <w:color w:val="000000"/>
                      <w:szCs w:val="21"/>
                    </w:rPr>
                    <w:t>110802-84-1</w:t>
                  </w:r>
                </w:p>
              </w:tc>
              <w:tc>
                <w:tcPr>
                  <w:tcW w:w="1605" w:type="dxa"/>
                  <w:vAlign w:val="center"/>
                </w:tcPr>
                <w:p>
                  <w:pPr>
                    <w:adjustRightInd w:val="0"/>
                    <w:snapToGrid w:val="0"/>
                    <w:jc w:val="center"/>
                    <w:rPr>
                      <w:color w:val="000000"/>
                      <w:szCs w:val="21"/>
                    </w:rPr>
                  </w:pPr>
                  <w:r>
                    <w:rPr>
                      <w:rFonts w:hint="eastAsia"/>
                      <w:color w:val="000000"/>
                      <w:szCs w:val="21"/>
                    </w:rPr>
                    <w:t>0.002</w:t>
                  </w:r>
                </w:p>
              </w:tc>
              <w:tc>
                <w:tcPr>
                  <w:tcW w:w="1497" w:type="dxa"/>
                  <w:vAlign w:val="center"/>
                </w:tcPr>
                <w:p>
                  <w:pPr>
                    <w:adjustRightInd w:val="0"/>
                    <w:snapToGrid w:val="0"/>
                    <w:jc w:val="center"/>
                    <w:rPr>
                      <w:color w:val="C00000"/>
                      <w:szCs w:val="21"/>
                    </w:rPr>
                  </w:pPr>
                  <w:r>
                    <w:rPr>
                      <w:rFonts w:hint="eastAsia"/>
                      <w:color w:val="C00000"/>
                      <w:szCs w:val="21"/>
                    </w:rPr>
                    <w:t>5</w:t>
                  </w:r>
                </w:p>
              </w:tc>
              <w:tc>
                <w:tcPr>
                  <w:tcW w:w="1004" w:type="dxa"/>
                  <w:vAlign w:val="center"/>
                </w:tcPr>
                <w:p>
                  <w:pPr>
                    <w:keepNext w:val="0"/>
                    <w:keepLines w:val="0"/>
                    <w:widowControl/>
                    <w:suppressLineNumbers w:val="0"/>
                    <w:jc w:val="center"/>
                    <w:textAlignment w:val="center"/>
                    <w:rPr>
                      <w:rFonts w:hint="default" w:ascii="Times New Roman" w:hAnsi="Times New Roman" w:cs="Times New Roman"/>
                      <w:color w:val="C00000"/>
                      <w:sz w:val="21"/>
                      <w:szCs w:val="21"/>
                    </w:rPr>
                  </w:pPr>
                  <w:r>
                    <w:rPr>
                      <w:rFonts w:hint="default" w:ascii="Times New Roman" w:hAnsi="Times New Roman" w:eastAsia="宋体" w:cs="Times New Roman"/>
                      <w:i w:val="0"/>
                      <w:iCs w:val="0"/>
                      <w:color w:val="000000"/>
                      <w:kern w:val="0"/>
                      <w:sz w:val="21"/>
                      <w:szCs w:val="21"/>
                      <w:u w:val="none"/>
                      <w:lang w:val="en-US" w:eastAsia="zh-CN" w:bidi="ar"/>
                    </w:rPr>
                    <w:t>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Align w:val="center"/>
                </w:tcPr>
                <w:p>
                  <w:pPr>
                    <w:adjustRightInd w:val="0"/>
                    <w:snapToGrid w:val="0"/>
                    <w:jc w:val="center"/>
                    <w:rPr>
                      <w:bCs/>
                      <w:color w:val="000000"/>
                      <w:kern w:val="0"/>
                      <w:szCs w:val="21"/>
                    </w:rPr>
                  </w:pPr>
                  <w:r>
                    <w:rPr>
                      <w:bCs/>
                      <w:color w:val="000000"/>
                      <w:kern w:val="0"/>
                      <w:szCs w:val="21"/>
                    </w:rPr>
                    <w:t>3</w:t>
                  </w:r>
                </w:p>
              </w:tc>
              <w:tc>
                <w:tcPr>
                  <w:tcW w:w="1485" w:type="dxa"/>
                  <w:vAlign w:val="center"/>
                </w:tcPr>
                <w:p>
                  <w:pPr>
                    <w:adjustRightInd w:val="0"/>
                    <w:snapToGrid w:val="0"/>
                    <w:jc w:val="center"/>
                    <w:rPr>
                      <w:bCs/>
                      <w:color w:val="000000"/>
                      <w:kern w:val="0"/>
                      <w:szCs w:val="21"/>
                    </w:rPr>
                  </w:pPr>
                  <w:r>
                    <w:rPr>
                      <w:rFonts w:hint="eastAsia"/>
                      <w:bCs/>
                      <w:color w:val="000000"/>
                      <w:kern w:val="0"/>
                      <w:szCs w:val="21"/>
                    </w:rPr>
                    <w:t>37%盐酸</w:t>
                  </w:r>
                </w:p>
              </w:tc>
              <w:tc>
                <w:tcPr>
                  <w:tcW w:w="1500" w:type="dxa"/>
                  <w:vAlign w:val="center"/>
                </w:tcPr>
                <w:p>
                  <w:pPr>
                    <w:adjustRightInd w:val="0"/>
                    <w:snapToGrid w:val="0"/>
                    <w:jc w:val="center"/>
                    <w:rPr>
                      <w:bCs/>
                      <w:color w:val="000000"/>
                      <w:kern w:val="0"/>
                      <w:szCs w:val="21"/>
                    </w:rPr>
                  </w:pPr>
                  <w:r>
                    <w:rPr>
                      <w:rFonts w:hint="eastAsia"/>
                      <w:bCs/>
                      <w:color w:val="000000"/>
                      <w:kern w:val="0"/>
                      <w:szCs w:val="21"/>
                    </w:rPr>
                    <w:t>7647-01-0</w:t>
                  </w:r>
                </w:p>
              </w:tc>
              <w:tc>
                <w:tcPr>
                  <w:tcW w:w="1605" w:type="dxa"/>
                  <w:vAlign w:val="center"/>
                </w:tcPr>
                <w:p>
                  <w:pPr>
                    <w:adjustRightInd w:val="0"/>
                    <w:snapToGrid w:val="0"/>
                    <w:jc w:val="center"/>
                    <w:rPr>
                      <w:rFonts w:hint="eastAsia" w:eastAsia="宋体"/>
                      <w:color w:val="000000"/>
                      <w:szCs w:val="21"/>
                      <w:lang w:eastAsia="zh-CN"/>
                    </w:rPr>
                  </w:pPr>
                  <w:r>
                    <w:rPr>
                      <w:rFonts w:hint="eastAsia"/>
                      <w:color w:val="000000"/>
                      <w:szCs w:val="21"/>
                    </w:rPr>
                    <w:t>0.0</w:t>
                  </w:r>
                  <w:r>
                    <w:rPr>
                      <w:rFonts w:hint="eastAsia"/>
                      <w:color w:val="000000"/>
                      <w:szCs w:val="21"/>
                      <w:lang w:val="en-US" w:eastAsia="zh-CN"/>
                    </w:rPr>
                    <w:t>2</w:t>
                  </w:r>
                </w:p>
              </w:tc>
              <w:tc>
                <w:tcPr>
                  <w:tcW w:w="1497" w:type="dxa"/>
                  <w:vAlign w:val="center"/>
                </w:tcPr>
                <w:p>
                  <w:pPr>
                    <w:adjustRightInd w:val="0"/>
                    <w:snapToGrid w:val="0"/>
                    <w:jc w:val="center"/>
                    <w:rPr>
                      <w:color w:val="000000"/>
                      <w:szCs w:val="21"/>
                    </w:rPr>
                  </w:pPr>
                  <w:r>
                    <w:rPr>
                      <w:rFonts w:hint="eastAsia"/>
                      <w:color w:val="000000"/>
                      <w:szCs w:val="21"/>
                    </w:rPr>
                    <w:t>7.5</w:t>
                  </w:r>
                </w:p>
              </w:tc>
              <w:tc>
                <w:tcPr>
                  <w:tcW w:w="1004" w:type="dxa"/>
                  <w:vAlign w:val="center"/>
                </w:tcPr>
                <w:p>
                  <w:pPr>
                    <w:keepNext w:val="0"/>
                    <w:keepLines w:val="0"/>
                    <w:widowControl/>
                    <w:suppressLineNumbers w:val="0"/>
                    <w:jc w:val="center"/>
                    <w:textAlignment w:val="center"/>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0.0026</w:t>
                  </w:r>
                  <w:r>
                    <w:rPr>
                      <w:rFonts w:hint="eastAsia" w:cs="Times New Roman"/>
                      <w:i w:val="0"/>
                      <w:iCs w:val="0"/>
                      <w:color w:val="000000"/>
                      <w:kern w:val="0"/>
                      <w:sz w:val="21"/>
                      <w:szCs w:val="21"/>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Align w:val="center"/>
                </w:tcPr>
                <w:p>
                  <w:pPr>
                    <w:adjustRightInd w:val="0"/>
                    <w:snapToGrid w:val="0"/>
                    <w:jc w:val="center"/>
                    <w:rPr>
                      <w:bCs/>
                      <w:color w:val="000000"/>
                      <w:kern w:val="0"/>
                      <w:szCs w:val="21"/>
                    </w:rPr>
                  </w:pPr>
                  <w:r>
                    <w:rPr>
                      <w:rFonts w:hint="eastAsia"/>
                      <w:bCs/>
                      <w:color w:val="000000"/>
                      <w:kern w:val="0"/>
                      <w:szCs w:val="21"/>
                    </w:rPr>
                    <w:t>4</w:t>
                  </w:r>
                </w:p>
              </w:tc>
              <w:tc>
                <w:tcPr>
                  <w:tcW w:w="1485" w:type="dxa"/>
                  <w:vAlign w:val="center"/>
                </w:tcPr>
                <w:p>
                  <w:pPr>
                    <w:adjustRightInd w:val="0"/>
                    <w:snapToGrid w:val="0"/>
                    <w:jc w:val="center"/>
                    <w:rPr>
                      <w:bCs/>
                      <w:color w:val="000000"/>
                      <w:kern w:val="0"/>
                      <w:szCs w:val="21"/>
                    </w:rPr>
                  </w:pPr>
                  <w:r>
                    <w:rPr>
                      <w:rFonts w:hint="eastAsia"/>
                      <w:bCs/>
                      <w:color w:val="000000"/>
                      <w:kern w:val="0"/>
                      <w:szCs w:val="21"/>
                    </w:rPr>
                    <w:t>乙醇</w:t>
                  </w:r>
                </w:p>
              </w:tc>
              <w:tc>
                <w:tcPr>
                  <w:tcW w:w="1500" w:type="dxa"/>
                  <w:vAlign w:val="center"/>
                </w:tcPr>
                <w:p>
                  <w:pPr>
                    <w:adjustRightInd w:val="0"/>
                    <w:snapToGrid w:val="0"/>
                    <w:jc w:val="center"/>
                    <w:rPr>
                      <w:bCs/>
                      <w:color w:val="000000"/>
                      <w:kern w:val="0"/>
                      <w:szCs w:val="21"/>
                    </w:rPr>
                  </w:pPr>
                  <w:r>
                    <w:rPr>
                      <w:rFonts w:hint="eastAsia"/>
                      <w:bCs/>
                      <w:color w:val="000000"/>
                      <w:kern w:val="0"/>
                      <w:szCs w:val="21"/>
                    </w:rPr>
                    <w:t>64-17-55</w:t>
                  </w:r>
                </w:p>
              </w:tc>
              <w:tc>
                <w:tcPr>
                  <w:tcW w:w="1605" w:type="dxa"/>
                  <w:vAlign w:val="center"/>
                </w:tcPr>
                <w:p>
                  <w:pPr>
                    <w:adjustRightInd w:val="0"/>
                    <w:snapToGrid w:val="0"/>
                    <w:jc w:val="center"/>
                    <w:rPr>
                      <w:rFonts w:hint="default" w:eastAsia="宋体"/>
                      <w:color w:val="000000"/>
                      <w:szCs w:val="21"/>
                      <w:lang w:val="en-US" w:eastAsia="zh-CN"/>
                    </w:rPr>
                  </w:pPr>
                  <w:r>
                    <w:rPr>
                      <w:rFonts w:hint="eastAsia"/>
                      <w:color w:val="000000"/>
                      <w:szCs w:val="21"/>
                    </w:rPr>
                    <w:t>0.</w:t>
                  </w:r>
                  <w:r>
                    <w:rPr>
                      <w:rFonts w:hint="eastAsia"/>
                      <w:color w:val="000000"/>
                      <w:szCs w:val="21"/>
                      <w:lang w:val="en-US" w:eastAsia="zh-CN"/>
                    </w:rPr>
                    <w:t>05</w:t>
                  </w:r>
                </w:p>
              </w:tc>
              <w:tc>
                <w:tcPr>
                  <w:tcW w:w="1497" w:type="dxa"/>
                  <w:vAlign w:val="center"/>
                </w:tcPr>
                <w:p>
                  <w:pPr>
                    <w:adjustRightInd w:val="0"/>
                    <w:snapToGrid w:val="0"/>
                    <w:jc w:val="center"/>
                    <w:rPr>
                      <w:color w:val="000000"/>
                      <w:szCs w:val="21"/>
                    </w:rPr>
                  </w:pPr>
                  <w:r>
                    <w:rPr>
                      <w:rFonts w:hint="eastAsia"/>
                      <w:color w:val="000000"/>
                      <w:szCs w:val="21"/>
                    </w:rPr>
                    <w:t>50</w:t>
                  </w:r>
                </w:p>
              </w:tc>
              <w:tc>
                <w:tcPr>
                  <w:tcW w:w="1004" w:type="dxa"/>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Align w:val="center"/>
                </w:tcPr>
                <w:p>
                  <w:pPr>
                    <w:adjustRightInd w:val="0"/>
                    <w:snapToGrid w:val="0"/>
                    <w:jc w:val="center"/>
                    <w:rPr>
                      <w:bCs/>
                      <w:color w:val="000000"/>
                      <w:kern w:val="0"/>
                      <w:szCs w:val="21"/>
                    </w:rPr>
                  </w:pPr>
                  <w:r>
                    <w:rPr>
                      <w:rFonts w:hint="eastAsia"/>
                      <w:bCs/>
                      <w:color w:val="000000"/>
                      <w:kern w:val="0"/>
                      <w:szCs w:val="21"/>
                    </w:rPr>
                    <w:t>5</w:t>
                  </w:r>
                </w:p>
              </w:tc>
              <w:tc>
                <w:tcPr>
                  <w:tcW w:w="1485" w:type="dxa"/>
                  <w:vAlign w:val="center"/>
                </w:tcPr>
                <w:p>
                  <w:pPr>
                    <w:adjustRightInd w:val="0"/>
                    <w:snapToGrid w:val="0"/>
                    <w:jc w:val="center"/>
                    <w:rPr>
                      <w:bCs/>
                      <w:color w:val="000000"/>
                      <w:kern w:val="0"/>
                      <w:szCs w:val="21"/>
                    </w:rPr>
                  </w:pPr>
                  <w:r>
                    <w:rPr>
                      <w:rFonts w:hint="eastAsia"/>
                      <w:bCs/>
                      <w:color w:val="000000"/>
                      <w:kern w:val="0"/>
                      <w:szCs w:val="21"/>
                    </w:rPr>
                    <w:t>草酸</w:t>
                  </w:r>
                </w:p>
              </w:tc>
              <w:tc>
                <w:tcPr>
                  <w:tcW w:w="1500" w:type="dxa"/>
                  <w:vAlign w:val="center"/>
                </w:tcPr>
                <w:p>
                  <w:pPr>
                    <w:adjustRightInd w:val="0"/>
                    <w:snapToGrid w:val="0"/>
                    <w:jc w:val="center"/>
                    <w:rPr>
                      <w:bCs/>
                      <w:color w:val="000000"/>
                      <w:kern w:val="0"/>
                      <w:szCs w:val="21"/>
                    </w:rPr>
                  </w:pPr>
                  <w:r>
                    <w:rPr>
                      <w:rFonts w:hint="eastAsia"/>
                      <w:bCs/>
                      <w:color w:val="000000"/>
                      <w:kern w:val="0"/>
                      <w:szCs w:val="21"/>
                    </w:rPr>
                    <w:t>144-62-7</w:t>
                  </w:r>
                </w:p>
              </w:tc>
              <w:tc>
                <w:tcPr>
                  <w:tcW w:w="1605" w:type="dxa"/>
                  <w:vAlign w:val="center"/>
                </w:tcPr>
                <w:p>
                  <w:pPr>
                    <w:adjustRightInd w:val="0"/>
                    <w:snapToGrid w:val="0"/>
                    <w:jc w:val="center"/>
                    <w:rPr>
                      <w:rFonts w:hint="default" w:eastAsia="宋体"/>
                      <w:color w:val="000000"/>
                      <w:szCs w:val="21"/>
                      <w:lang w:val="en-US" w:eastAsia="zh-CN"/>
                    </w:rPr>
                  </w:pPr>
                  <w:r>
                    <w:rPr>
                      <w:rFonts w:hint="eastAsia"/>
                      <w:color w:val="000000"/>
                      <w:szCs w:val="21"/>
                    </w:rPr>
                    <w:t>0.</w:t>
                  </w:r>
                  <w:r>
                    <w:rPr>
                      <w:rFonts w:hint="eastAsia"/>
                      <w:color w:val="000000"/>
                      <w:szCs w:val="21"/>
                      <w:lang w:val="en-US" w:eastAsia="zh-CN"/>
                    </w:rPr>
                    <w:t>25</w:t>
                  </w:r>
                </w:p>
              </w:tc>
              <w:tc>
                <w:tcPr>
                  <w:tcW w:w="1497" w:type="dxa"/>
                  <w:vAlign w:val="center"/>
                </w:tcPr>
                <w:p>
                  <w:pPr>
                    <w:adjustRightInd w:val="0"/>
                    <w:snapToGrid w:val="0"/>
                    <w:jc w:val="center"/>
                    <w:rPr>
                      <w:color w:val="C00000"/>
                      <w:szCs w:val="21"/>
                    </w:rPr>
                  </w:pPr>
                  <w:r>
                    <w:rPr>
                      <w:rFonts w:hint="eastAsia"/>
                      <w:color w:val="C00000"/>
                      <w:szCs w:val="21"/>
                    </w:rPr>
                    <w:t>50</w:t>
                  </w:r>
                </w:p>
              </w:tc>
              <w:tc>
                <w:tcPr>
                  <w:tcW w:w="1004" w:type="dxa"/>
                  <w:vAlign w:val="center"/>
                </w:tcPr>
                <w:p>
                  <w:pPr>
                    <w:keepNext w:val="0"/>
                    <w:keepLines w:val="0"/>
                    <w:widowControl/>
                    <w:suppressLineNumbers w:val="0"/>
                    <w:jc w:val="center"/>
                    <w:textAlignment w:val="center"/>
                    <w:rPr>
                      <w:rFonts w:hint="default" w:ascii="Times New Roman" w:hAnsi="Times New Roman" w:cs="Times New Roman"/>
                      <w:color w:val="C00000"/>
                      <w:sz w:val="21"/>
                      <w:szCs w:val="21"/>
                    </w:rPr>
                  </w:pPr>
                  <w:r>
                    <w:rPr>
                      <w:rFonts w:hint="default" w:ascii="Times New Roman" w:hAnsi="Times New Roman" w:eastAsia="宋体" w:cs="Times New Roman"/>
                      <w:i w:val="0"/>
                      <w:iCs w:val="0"/>
                      <w:color w:val="000000"/>
                      <w:kern w:val="0"/>
                      <w:sz w:val="21"/>
                      <w:szCs w:val="21"/>
                      <w:u w:val="none"/>
                      <w:lang w:val="en-US" w:eastAsia="zh-CN" w:bidi="ar"/>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Align w:val="center"/>
                </w:tcPr>
                <w:p>
                  <w:pPr>
                    <w:adjustRightInd w:val="0"/>
                    <w:snapToGrid w:val="0"/>
                    <w:jc w:val="center"/>
                    <w:rPr>
                      <w:bCs/>
                      <w:color w:val="000000"/>
                      <w:kern w:val="0"/>
                      <w:szCs w:val="21"/>
                    </w:rPr>
                  </w:pPr>
                  <w:r>
                    <w:rPr>
                      <w:rFonts w:hint="eastAsia"/>
                      <w:bCs/>
                      <w:color w:val="000000"/>
                      <w:kern w:val="0"/>
                      <w:szCs w:val="21"/>
                    </w:rPr>
                    <w:t>6</w:t>
                  </w:r>
                </w:p>
              </w:tc>
              <w:tc>
                <w:tcPr>
                  <w:tcW w:w="1485" w:type="dxa"/>
                  <w:vAlign w:val="center"/>
                </w:tcPr>
                <w:p>
                  <w:pPr>
                    <w:adjustRightInd w:val="0"/>
                    <w:snapToGrid w:val="0"/>
                    <w:jc w:val="center"/>
                    <w:rPr>
                      <w:bCs/>
                      <w:color w:val="000000"/>
                      <w:kern w:val="0"/>
                      <w:szCs w:val="21"/>
                    </w:rPr>
                  </w:pPr>
                  <w:r>
                    <w:rPr>
                      <w:rFonts w:hint="eastAsia"/>
                      <w:bCs/>
                      <w:color w:val="000000"/>
                      <w:kern w:val="0"/>
                      <w:szCs w:val="21"/>
                    </w:rPr>
                    <w:t>异丙醇</w:t>
                  </w:r>
                </w:p>
              </w:tc>
              <w:tc>
                <w:tcPr>
                  <w:tcW w:w="1500" w:type="dxa"/>
                  <w:vAlign w:val="center"/>
                </w:tcPr>
                <w:p>
                  <w:pPr>
                    <w:adjustRightInd w:val="0"/>
                    <w:snapToGrid w:val="0"/>
                    <w:jc w:val="center"/>
                    <w:rPr>
                      <w:bCs/>
                      <w:color w:val="000000"/>
                      <w:kern w:val="0"/>
                      <w:szCs w:val="21"/>
                    </w:rPr>
                  </w:pPr>
                  <w:r>
                    <w:rPr>
                      <w:rFonts w:hint="eastAsia"/>
                      <w:bCs/>
                      <w:color w:val="000000"/>
                      <w:kern w:val="0"/>
                      <w:szCs w:val="21"/>
                    </w:rPr>
                    <w:t>67-63-0</w:t>
                  </w:r>
                </w:p>
              </w:tc>
              <w:tc>
                <w:tcPr>
                  <w:tcW w:w="1605" w:type="dxa"/>
                  <w:vAlign w:val="center"/>
                </w:tcPr>
                <w:p>
                  <w:pPr>
                    <w:adjustRightInd w:val="0"/>
                    <w:snapToGrid w:val="0"/>
                    <w:jc w:val="center"/>
                    <w:rPr>
                      <w:rFonts w:hint="default" w:eastAsia="宋体"/>
                      <w:color w:val="000000"/>
                      <w:szCs w:val="21"/>
                      <w:lang w:val="en-US" w:eastAsia="zh-CN"/>
                    </w:rPr>
                  </w:pPr>
                  <w:r>
                    <w:rPr>
                      <w:rFonts w:hint="eastAsia"/>
                      <w:color w:val="000000"/>
                      <w:szCs w:val="21"/>
                    </w:rPr>
                    <w:t>0.</w:t>
                  </w:r>
                  <w:r>
                    <w:rPr>
                      <w:rFonts w:hint="eastAsia"/>
                      <w:color w:val="000000"/>
                      <w:szCs w:val="21"/>
                      <w:lang w:val="en-US" w:eastAsia="zh-CN"/>
                    </w:rPr>
                    <w:t>05</w:t>
                  </w:r>
                </w:p>
              </w:tc>
              <w:tc>
                <w:tcPr>
                  <w:tcW w:w="1497" w:type="dxa"/>
                  <w:vAlign w:val="center"/>
                </w:tcPr>
                <w:p>
                  <w:pPr>
                    <w:adjustRightInd w:val="0"/>
                    <w:snapToGrid w:val="0"/>
                    <w:jc w:val="center"/>
                    <w:rPr>
                      <w:color w:val="000000"/>
                      <w:szCs w:val="21"/>
                    </w:rPr>
                  </w:pPr>
                  <w:r>
                    <w:rPr>
                      <w:rFonts w:hint="eastAsia"/>
                      <w:color w:val="000000"/>
                      <w:szCs w:val="21"/>
                    </w:rPr>
                    <w:t>10</w:t>
                  </w:r>
                </w:p>
              </w:tc>
              <w:tc>
                <w:tcPr>
                  <w:tcW w:w="1004" w:type="dxa"/>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Align w:val="center"/>
                </w:tcPr>
                <w:p>
                  <w:pPr>
                    <w:adjustRightInd w:val="0"/>
                    <w:snapToGrid w:val="0"/>
                    <w:jc w:val="center"/>
                    <w:rPr>
                      <w:bCs/>
                      <w:color w:val="000000"/>
                      <w:kern w:val="0"/>
                      <w:szCs w:val="21"/>
                    </w:rPr>
                  </w:pPr>
                  <w:r>
                    <w:rPr>
                      <w:rFonts w:hint="eastAsia"/>
                      <w:bCs/>
                      <w:color w:val="000000"/>
                      <w:kern w:val="0"/>
                      <w:szCs w:val="21"/>
                    </w:rPr>
                    <w:t>7</w:t>
                  </w:r>
                </w:p>
              </w:tc>
              <w:tc>
                <w:tcPr>
                  <w:tcW w:w="1485" w:type="dxa"/>
                  <w:vAlign w:val="center"/>
                </w:tcPr>
                <w:p>
                  <w:pPr>
                    <w:adjustRightInd w:val="0"/>
                    <w:snapToGrid w:val="0"/>
                    <w:jc w:val="center"/>
                    <w:rPr>
                      <w:bCs/>
                      <w:color w:val="000000"/>
                      <w:kern w:val="0"/>
                      <w:szCs w:val="21"/>
                    </w:rPr>
                  </w:pPr>
                  <w:r>
                    <w:rPr>
                      <w:rFonts w:hint="eastAsia"/>
                      <w:bCs/>
                      <w:color w:val="000000"/>
                      <w:kern w:val="0"/>
                      <w:szCs w:val="21"/>
                    </w:rPr>
                    <w:t>正丁醇</w:t>
                  </w:r>
                </w:p>
              </w:tc>
              <w:tc>
                <w:tcPr>
                  <w:tcW w:w="1500" w:type="dxa"/>
                  <w:vAlign w:val="center"/>
                </w:tcPr>
                <w:p>
                  <w:pPr>
                    <w:adjustRightInd w:val="0"/>
                    <w:snapToGrid w:val="0"/>
                    <w:jc w:val="center"/>
                    <w:rPr>
                      <w:bCs/>
                      <w:color w:val="000000"/>
                      <w:kern w:val="0"/>
                      <w:szCs w:val="21"/>
                    </w:rPr>
                  </w:pPr>
                  <w:r>
                    <w:rPr>
                      <w:rFonts w:hint="eastAsia"/>
                      <w:bCs/>
                      <w:color w:val="000000"/>
                      <w:kern w:val="0"/>
                      <w:szCs w:val="21"/>
                    </w:rPr>
                    <w:t>71-36-3</w:t>
                  </w:r>
                </w:p>
              </w:tc>
              <w:tc>
                <w:tcPr>
                  <w:tcW w:w="1605" w:type="dxa"/>
                  <w:vAlign w:val="center"/>
                </w:tcPr>
                <w:p>
                  <w:pPr>
                    <w:adjustRightInd w:val="0"/>
                    <w:snapToGrid w:val="0"/>
                    <w:jc w:val="center"/>
                    <w:rPr>
                      <w:rFonts w:hint="default" w:eastAsia="宋体"/>
                      <w:color w:val="000000"/>
                      <w:szCs w:val="21"/>
                      <w:lang w:val="en-US" w:eastAsia="zh-CN"/>
                    </w:rPr>
                  </w:pPr>
                  <w:r>
                    <w:rPr>
                      <w:rFonts w:hint="eastAsia"/>
                      <w:color w:val="000000"/>
                      <w:szCs w:val="21"/>
                    </w:rPr>
                    <w:t>0.</w:t>
                  </w:r>
                  <w:r>
                    <w:rPr>
                      <w:rFonts w:hint="eastAsia"/>
                      <w:color w:val="000000"/>
                      <w:szCs w:val="21"/>
                      <w:lang w:val="en-US" w:eastAsia="zh-CN"/>
                    </w:rPr>
                    <w:t>05</w:t>
                  </w:r>
                </w:p>
              </w:tc>
              <w:tc>
                <w:tcPr>
                  <w:tcW w:w="1497" w:type="dxa"/>
                  <w:vAlign w:val="center"/>
                </w:tcPr>
                <w:p>
                  <w:pPr>
                    <w:adjustRightInd w:val="0"/>
                    <w:snapToGrid w:val="0"/>
                    <w:jc w:val="center"/>
                    <w:rPr>
                      <w:color w:val="000000"/>
                      <w:szCs w:val="21"/>
                    </w:rPr>
                  </w:pPr>
                  <w:r>
                    <w:rPr>
                      <w:rFonts w:hint="eastAsia"/>
                      <w:color w:val="000000"/>
                      <w:szCs w:val="21"/>
                    </w:rPr>
                    <w:t>10</w:t>
                  </w:r>
                </w:p>
              </w:tc>
              <w:tc>
                <w:tcPr>
                  <w:tcW w:w="1004" w:type="dxa"/>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vAlign w:val="center"/>
                </w:tcPr>
                <w:p>
                  <w:pPr>
                    <w:adjustRightInd w:val="0"/>
                    <w:snapToGrid w:val="0"/>
                    <w:jc w:val="center"/>
                    <w:rPr>
                      <w:rFonts w:hint="eastAsia" w:eastAsia="宋体"/>
                      <w:bCs/>
                      <w:color w:val="000000"/>
                      <w:kern w:val="0"/>
                      <w:szCs w:val="21"/>
                      <w:lang w:val="en-US" w:eastAsia="zh-CN"/>
                    </w:rPr>
                  </w:pPr>
                  <w:r>
                    <w:rPr>
                      <w:rFonts w:hint="eastAsia"/>
                      <w:bCs/>
                      <w:color w:val="000000"/>
                      <w:kern w:val="0"/>
                      <w:szCs w:val="21"/>
                      <w:lang w:val="en-US" w:eastAsia="zh-CN"/>
                    </w:rPr>
                    <w:t>8</w:t>
                  </w:r>
                </w:p>
              </w:tc>
              <w:tc>
                <w:tcPr>
                  <w:tcW w:w="1485" w:type="dxa"/>
                  <w:vAlign w:val="center"/>
                </w:tcPr>
                <w:p>
                  <w:pPr>
                    <w:adjustRightInd w:val="0"/>
                    <w:snapToGrid w:val="0"/>
                    <w:jc w:val="center"/>
                    <w:rPr>
                      <w:rFonts w:hint="eastAsia" w:ascii="Times New Roman" w:hAnsi="Times New Roman" w:eastAsia="宋体" w:cs="Times New Roman"/>
                      <w:bCs/>
                      <w:color w:val="000000"/>
                      <w:kern w:val="0"/>
                      <w:sz w:val="21"/>
                      <w:szCs w:val="21"/>
                      <w:lang w:val="en-US" w:eastAsia="zh-CN" w:bidi="ar-SA"/>
                    </w:rPr>
                  </w:pPr>
                  <w:r>
                    <w:rPr>
                      <w:rFonts w:hint="eastAsia"/>
                      <w:bCs/>
                      <w:color w:val="000000"/>
                      <w:kern w:val="0"/>
                      <w:szCs w:val="21"/>
                    </w:rPr>
                    <w:t>氢氧化钠</w:t>
                  </w:r>
                </w:p>
              </w:tc>
              <w:tc>
                <w:tcPr>
                  <w:tcW w:w="1500" w:type="dxa"/>
                  <w:vAlign w:val="center"/>
                </w:tcPr>
                <w:p>
                  <w:pPr>
                    <w:adjustRightInd w:val="0"/>
                    <w:snapToGrid w:val="0"/>
                    <w:jc w:val="center"/>
                    <w:rPr>
                      <w:rFonts w:hint="eastAsia" w:ascii="Times New Roman" w:hAnsi="Times New Roman" w:eastAsia="宋体" w:cs="Times New Roman"/>
                      <w:bCs/>
                      <w:color w:val="000000"/>
                      <w:kern w:val="0"/>
                      <w:sz w:val="21"/>
                      <w:szCs w:val="21"/>
                      <w:lang w:val="en-US" w:eastAsia="zh-CN" w:bidi="ar-SA"/>
                    </w:rPr>
                  </w:pPr>
                  <w:r>
                    <w:rPr>
                      <w:rFonts w:hint="eastAsia"/>
                      <w:bCs/>
                      <w:color w:val="000000"/>
                      <w:kern w:val="0"/>
                      <w:szCs w:val="21"/>
                    </w:rPr>
                    <w:t>7732-18-5</w:t>
                  </w:r>
                </w:p>
              </w:tc>
              <w:tc>
                <w:tcPr>
                  <w:tcW w:w="1605" w:type="dxa"/>
                  <w:vAlign w:val="center"/>
                </w:tcPr>
                <w:p>
                  <w:pPr>
                    <w:adjustRightInd w:val="0"/>
                    <w:snapToGrid w:val="0"/>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rPr>
                    <w:t>0.001</w:t>
                  </w:r>
                </w:p>
              </w:tc>
              <w:tc>
                <w:tcPr>
                  <w:tcW w:w="1497" w:type="dxa"/>
                  <w:vAlign w:val="center"/>
                </w:tcPr>
                <w:p>
                  <w:pPr>
                    <w:adjustRightInd w:val="0"/>
                    <w:snapToGrid w:val="0"/>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rPr>
                    <w:t>50</w:t>
                  </w:r>
                </w:p>
              </w:tc>
              <w:tc>
                <w:tcPr>
                  <w:tcW w:w="1004"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9" w:type="dxa"/>
                  <w:gridSpan w:val="5"/>
                  <w:vAlign w:val="center"/>
                </w:tcPr>
                <w:p>
                  <w:pPr>
                    <w:adjustRightInd w:val="0"/>
                    <w:snapToGrid w:val="0"/>
                    <w:jc w:val="center"/>
                    <w:rPr>
                      <w:color w:val="000000"/>
                      <w:szCs w:val="21"/>
                    </w:rPr>
                  </w:pPr>
                  <w:r>
                    <w:rPr>
                      <w:color w:val="000000"/>
                      <w:szCs w:val="21"/>
                    </w:rPr>
                    <w:t>项目Q值Σ</w:t>
                  </w:r>
                </w:p>
              </w:tc>
              <w:tc>
                <w:tcPr>
                  <w:tcW w:w="1004" w:type="dxa"/>
                  <w:vAlign w:val="center"/>
                </w:tcPr>
                <w:p>
                  <w:pPr>
                    <w:keepNext w:val="0"/>
                    <w:keepLines w:val="0"/>
                    <w:widowControl/>
                    <w:suppressLineNumbers w:val="0"/>
                    <w:jc w:val="center"/>
                    <w:textAlignment w:val="center"/>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0.020</w:t>
                  </w:r>
                  <w:r>
                    <w:rPr>
                      <w:rFonts w:hint="eastAsia" w:cs="Times New Roman"/>
                      <w:i w:val="0"/>
                      <w:iCs w:val="0"/>
                      <w:color w:val="000000"/>
                      <w:kern w:val="0"/>
                      <w:sz w:val="21"/>
                      <w:szCs w:val="21"/>
                      <w:u w:val="none"/>
                      <w:lang w:val="en-US" w:eastAsia="zh-CN" w:bidi="ar"/>
                    </w:rPr>
                    <w:t>12</w:t>
                  </w:r>
                </w:p>
              </w:tc>
            </w:tr>
          </w:tbl>
          <w:p>
            <w:pPr>
              <w:spacing w:line="360" w:lineRule="auto"/>
              <w:ind w:firstLine="480" w:firstLineChars="200"/>
              <w:rPr>
                <w:bCs/>
                <w:color w:val="000000"/>
                <w:sz w:val="24"/>
              </w:rPr>
            </w:pPr>
            <w:r>
              <w:rPr>
                <w:bCs/>
                <w:color w:val="000000"/>
                <w:sz w:val="24"/>
              </w:rPr>
              <w:t>由上表计算结果，本项目厂内最大存在总量中各危险物质实际量与临界量比值之和为</w:t>
            </w:r>
            <w:r>
              <w:rPr>
                <w:rFonts w:hint="eastAsia"/>
                <w:bCs/>
                <w:color w:val="000000"/>
                <w:sz w:val="24"/>
              </w:rPr>
              <w:t>0.020</w:t>
            </w:r>
            <w:r>
              <w:rPr>
                <w:rFonts w:hint="eastAsia"/>
                <w:bCs/>
                <w:color w:val="000000"/>
                <w:sz w:val="24"/>
                <w:lang w:val="en-US" w:eastAsia="zh-CN"/>
              </w:rPr>
              <w:t>12</w:t>
            </w:r>
            <w:r>
              <w:rPr>
                <w:bCs/>
                <w:color w:val="000000"/>
                <w:sz w:val="24"/>
              </w:rPr>
              <w:t>&lt;1。</w:t>
            </w:r>
          </w:p>
          <w:p>
            <w:pPr>
              <w:spacing w:line="360" w:lineRule="auto"/>
              <w:ind w:firstLine="480" w:firstLineChars="200"/>
              <w:rPr>
                <w:bCs/>
                <w:color w:val="000000"/>
                <w:sz w:val="24"/>
              </w:rPr>
            </w:pPr>
            <w:r>
              <w:rPr>
                <w:bCs/>
                <w:color w:val="000000"/>
                <w:sz w:val="24"/>
              </w:rPr>
              <w:t>根据项目工程分析及危险物质的储存、转运情况，识别各危险单元可能发生的环境风险类型、危险物质影响环境途径如下：</w:t>
            </w:r>
          </w:p>
          <w:p>
            <w:pPr>
              <w:spacing w:line="360" w:lineRule="auto"/>
              <w:ind w:firstLine="480" w:firstLineChars="200"/>
              <w:rPr>
                <w:bCs/>
                <w:color w:val="000000"/>
                <w:sz w:val="24"/>
              </w:rPr>
            </w:pPr>
            <w:r>
              <w:rPr>
                <w:bCs/>
                <w:color w:val="000000"/>
                <w:sz w:val="24"/>
              </w:rPr>
              <w:t>①火灾风险</w:t>
            </w:r>
          </w:p>
          <w:p>
            <w:pPr>
              <w:spacing w:line="360" w:lineRule="auto"/>
              <w:ind w:firstLine="480" w:firstLineChars="200"/>
              <w:rPr>
                <w:bCs/>
                <w:color w:val="000000"/>
                <w:sz w:val="24"/>
              </w:rPr>
            </w:pPr>
            <w:r>
              <w:rPr>
                <w:bCs/>
                <w:color w:val="000000"/>
                <w:sz w:val="24"/>
              </w:rPr>
              <w:t>本项目所在厂区储存的原辅料中</w:t>
            </w:r>
            <w:r>
              <w:rPr>
                <w:rFonts w:hint="eastAsia"/>
                <w:bCs/>
                <w:color w:val="000000"/>
                <w:sz w:val="24"/>
              </w:rPr>
              <w:t>乙醇、异丙醇、高纯氢气</w:t>
            </w:r>
            <w:r>
              <w:rPr>
                <w:color w:val="000000"/>
                <w:sz w:val="24"/>
              </w:rPr>
              <w:t>等</w:t>
            </w:r>
            <w:r>
              <w:rPr>
                <w:bCs/>
                <w:color w:val="000000"/>
                <w:sz w:val="24"/>
              </w:rPr>
              <w:t>属于可燃物质，在储存过程中发生泄漏时遇静电、明火等火源可能会发生火灾和爆炸事故。火灾燃烧产生的次生污染物引起大气污染，同时，消防用水若未及时收集，可能导致地表水收到污染。</w:t>
            </w:r>
          </w:p>
          <w:p>
            <w:pPr>
              <w:spacing w:line="360" w:lineRule="auto"/>
              <w:ind w:firstLine="480" w:firstLineChars="200"/>
              <w:rPr>
                <w:bCs/>
                <w:color w:val="000000"/>
                <w:sz w:val="24"/>
              </w:rPr>
            </w:pPr>
            <w:r>
              <w:rPr>
                <w:bCs/>
                <w:color w:val="000000"/>
                <w:sz w:val="24"/>
              </w:rPr>
              <w:t>②泄漏风险</w:t>
            </w:r>
          </w:p>
          <w:p>
            <w:pPr>
              <w:spacing w:line="360" w:lineRule="auto"/>
              <w:ind w:firstLine="480" w:firstLineChars="200"/>
              <w:jc w:val="left"/>
              <w:rPr>
                <w:bCs/>
                <w:color w:val="000000"/>
                <w:sz w:val="24"/>
              </w:rPr>
            </w:pPr>
            <w:r>
              <w:rPr>
                <w:bCs/>
                <w:color w:val="000000"/>
                <w:sz w:val="24"/>
              </w:rPr>
              <w:t>本项目氯铱酸、乙醇</w:t>
            </w:r>
            <w:r>
              <w:rPr>
                <w:rFonts w:hint="eastAsia"/>
                <w:bCs/>
                <w:color w:val="000000"/>
                <w:sz w:val="24"/>
              </w:rPr>
              <w:t>、氯化</w:t>
            </w:r>
            <w:r>
              <w:rPr>
                <w:bCs/>
                <w:color w:val="000000"/>
                <w:sz w:val="24"/>
              </w:rPr>
              <w:t>铱</w:t>
            </w:r>
            <w:r>
              <w:rPr>
                <w:rFonts w:hint="eastAsia"/>
                <w:bCs/>
                <w:color w:val="000000"/>
                <w:sz w:val="24"/>
              </w:rPr>
              <w:t>、正丁醇</w:t>
            </w:r>
            <w:r>
              <w:rPr>
                <w:bCs/>
                <w:color w:val="000000"/>
                <w:sz w:val="24"/>
              </w:rPr>
              <w:t>、异丙醇</w:t>
            </w:r>
            <w:r>
              <w:rPr>
                <w:rFonts w:hint="eastAsia"/>
                <w:bCs/>
                <w:color w:val="000000"/>
                <w:sz w:val="24"/>
              </w:rPr>
              <w:t>、盐酸、草酸</w:t>
            </w:r>
            <w:r>
              <w:rPr>
                <w:color w:val="000000"/>
                <w:sz w:val="24"/>
              </w:rPr>
              <w:t>及生产废水</w:t>
            </w:r>
            <w:r>
              <w:rPr>
                <w:bCs/>
                <w:color w:val="000000"/>
                <w:sz w:val="24"/>
              </w:rPr>
              <w:t>在使用、处理过程中若发生泄露，地面破损进入到土壤中，可能会污染土壤和地下水环境</w:t>
            </w:r>
            <w:r>
              <w:rPr>
                <w:color w:val="000000"/>
                <w:sz w:val="24"/>
                <w:lang w:val="zh-CN"/>
              </w:rPr>
              <w:t>。</w:t>
            </w:r>
          </w:p>
          <w:p>
            <w:pPr>
              <w:spacing w:line="360" w:lineRule="auto"/>
              <w:ind w:firstLine="480" w:firstLineChars="200"/>
              <w:rPr>
                <w:bCs/>
                <w:sz w:val="24"/>
              </w:rPr>
            </w:pPr>
            <w:r>
              <w:rPr>
                <w:rFonts w:hint="eastAsia"/>
                <w:bCs/>
                <w:sz w:val="24"/>
              </w:rPr>
              <w:t>本项目化学品使用量很少，化学品为密闭包装瓶存放，泄漏和火灾风险很小，项目租赁园区现有标准化厂房，故不设置事故池。</w:t>
            </w:r>
          </w:p>
          <w:p>
            <w:pPr>
              <w:spacing w:line="360" w:lineRule="auto"/>
              <w:ind w:firstLine="480" w:firstLineChars="200"/>
              <w:rPr>
                <w:bCs/>
                <w:color w:val="000000"/>
                <w:sz w:val="24"/>
              </w:rPr>
            </w:pPr>
            <w:r>
              <w:rPr>
                <w:bCs/>
                <w:color w:val="000000"/>
                <w:sz w:val="24"/>
              </w:rPr>
              <w:t>根据本项目的风险识别及风险分析结果，提出风险防范及应急措施如下：</w:t>
            </w:r>
          </w:p>
          <w:p>
            <w:pPr>
              <w:widowControl/>
              <w:adjustRightInd w:val="0"/>
              <w:snapToGrid w:val="0"/>
              <w:spacing w:line="360" w:lineRule="auto"/>
              <w:ind w:firstLine="480" w:firstLineChars="200"/>
              <w:rPr>
                <w:color w:val="000000"/>
                <w:kern w:val="0"/>
                <w:sz w:val="24"/>
              </w:rPr>
            </w:pPr>
            <w:r>
              <w:rPr>
                <w:color w:val="000000"/>
                <w:kern w:val="0"/>
                <w:sz w:val="24"/>
              </w:rPr>
              <w:t>a.环境风险防范措施</w:t>
            </w:r>
          </w:p>
          <w:p>
            <w:pPr>
              <w:spacing w:line="360" w:lineRule="auto"/>
              <w:ind w:firstLine="480" w:firstLineChars="200"/>
              <w:rPr>
                <w:bCs/>
                <w:color w:val="000000"/>
                <w:sz w:val="24"/>
              </w:rPr>
            </w:pPr>
            <w:r>
              <w:rPr>
                <w:bCs/>
                <w:color w:val="000000"/>
                <w:sz w:val="24"/>
              </w:rPr>
              <w:t>①建立健全</w:t>
            </w:r>
            <w:r>
              <w:rPr>
                <w:rFonts w:hint="eastAsia"/>
                <w:bCs/>
                <w:color w:val="000000"/>
                <w:sz w:val="24"/>
              </w:rPr>
              <w:t>煅烧间、研发实验室、超净间、危废间、生产1区域、原料仓库</w:t>
            </w:r>
            <w:r>
              <w:rPr>
                <w:bCs/>
                <w:color w:val="000000"/>
                <w:sz w:val="24"/>
              </w:rPr>
              <w:t>的火灾防范制度，配备灭火设施；</w:t>
            </w:r>
          </w:p>
          <w:p>
            <w:pPr>
              <w:spacing w:line="360" w:lineRule="auto"/>
              <w:ind w:firstLine="480" w:firstLineChars="200"/>
              <w:rPr>
                <w:bCs/>
                <w:color w:val="000000"/>
                <w:sz w:val="24"/>
              </w:rPr>
            </w:pPr>
            <w:r>
              <w:rPr>
                <w:bCs/>
                <w:color w:val="000000"/>
                <w:sz w:val="24"/>
              </w:rPr>
              <w:t>②建立化学品采购、存储、厂内运输、领用、使用、废弃等全路径管理制度，防止化学品发生物料泄漏；</w:t>
            </w:r>
          </w:p>
          <w:p>
            <w:pPr>
              <w:spacing w:line="360" w:lineRule="auto"/>
              <w:ind w:firstLine="480" w:firstLineChars="200"/>
              <w:rPr>
                <w:bCs/>
                <w:color w:val="000000"/>
                <w:sz w:val="24"/>
              </w:rPr>
            </w:pPr>
            <w:r>
              <w:rPr>
                <w:rFonts w:eastAsia="微软雅黑"/>
                <w:bCs/>
                <w:color w:val="000000"/>
                <w:sz w:val="24"/>
              </w:rPr>
              <w:t>③</w:t>
            </w:r>
            <w:r>
              <w:rPr>
                <w:bCs/>
                <w:color w:val="000000"/>
                <w:sz w:val="24"/>
              </w:rPr>
              <w:t>加强对废气设施的运行管理、维护保养当废气处理措施发生故障，造成废气事故性排放，项目应立即停产，排除事故故障，待确保废气治理措施正常运转后再恢复研发</w:t>
            </w:r>
            <w:r>
              <w:rPr>
                <w:rFonts w:hint="eastAsia"/>
                <w:bCs/>
                <w:color w:val="000000"/>
                <w:sz w:val="24"/>
              </w:rPr>
              <w:t>生产</w:t>
            </w:r>
            <w:r>
              <w:rPr>
                <w:bCs/>
                <w:color w:val="000000"/>
                <w:sz w:val="24"/>
              </w:rPr>
              <w:t>；</w:t>
            </w:r>
          </w:p>
          <w:p>
            <w:pPr>
              <w:spacing w:line="360" w:lineRule="auto"/>
              <w:ind w:firstLine="480" w:firstLineChars="200"/>
              <w:rPr>
                <w:bCs/>
                <w:color w:val="000000"/>
                <w:sz w:val="24"/>
              </w:rPr>
            </w:pPr>
            <w:r>
              <w:rPr>
                <w:bCs/>
                <w:color w:val="000000"/>
                <w:sz w:val="24"/>
              </w:rPr>
              <w:t>b.环境风险应急措施</w:t>
            </w:r>
          </w:p>
          <w:p>
            <w:pPr>
              <w:spacing w:line="360" w:lineRule="auto"/>
              <w:ind w:firstLine="480" w:firstLineChars="200"/>
              <w:rPr>
                <w:bCs/>
                <w:color w:val="000000"/>
                <w:sz w:val="24"/>
              </w:rPr>
            </w:pPr>
            <w:r>
              <w:rPr>
                <w:bCs/>
                <w:color w:val="000000"/>
                <w:sz w:val="24"/>
              </w:rPr>
              <w:t>①</w:t>
            </w:r>
            <w:r>
              <w:rPr>
                <w:rFonts w:hint="eastAsia"/>
                <w:color w:val="000000"/>
                <w:sz w:val="24"/>
              </w:rPr>
              <w:t>危废间</w:t>
            </w:r>
            <w:r>
              <w:rPr>
                <w:bCs/>
                <w:color w:val="000000"/>
                <w:sz w:val="24"/>
              </w:rPr>
              <w:t>设置</w:t>
            </w:r>
            <w:r>
              <w:rPr>
                <w:rFonts w:hint="eastAsia"/>
                <w:bCs/>
                <w:color w:val="000000"/>
                <w:sz w:val="24"/>
              </w:rPr>
              <w:t>防渗措施，</w:t>
            </w:r>
            <w:r>
              <w:rPr>
                <w:bCs/>
                <w:color w:val="000000"/>
                <w:sz w:val="24"/>
              </w:rPr>
              <w:t>保证液体化学品发生泄漏后能够得到有效收集，不进入外围水体；</w:t>
            </w:r>
          </w:p>
          <w:p>
            <w:pPr>
              <w:spacing w:line="360" w:lineRule="auto"/>
              <w:ind w:firstLine="480" w:firstLineChars="200"/>
              <w:rPr>
                <w:bCs/>
                <w:color w:val="000000"/>
                <w:sz w:val="24"/>
              </w:rPr>
            </w:pPr>
            <w:r>
              <w:rPr>
                <w:bCs/>
                <w:color w:val="000000"/>
                <w:sz w:val="24"/>
              </w:rPr>
              <w:t>②配置应急水泵、消防沙、收集桶、防护服、防护手套、防护面罩、应急照明、急救药品、灭火器等应急物资；</w:t>
            </w:r>
          </w:p>
          <w:p>
            <w:pPr>
              <w:spacing w:line="360" w:lineRule="auto"/>
              <w:ind w:firstLine="480" w:firstLineChars="200"/>
              <w:rPr>
                <w:bCs/>
                <w:color w:val="000000"/>
                <w:kern w:val="0"/>
                <w:sz w:val="24"/>
              </w:rPr>
            </w:pPr>
            <w:r>
              <w:rPr>
                <w:bCs/>
                <w:color w:val="000000"/>
                <w:sz w:val="24"/>
              </w:rPr>
              <w:t>③若泄漏物料起火，采用二氧化碳、干粉灭火器进行灭火，或采用消防沙进行覆盖灭火，应急过程产生的沾染化学品的消防沙、废液等作为危险废物进行处理</w:t>
            </w:r>
            <w:r>
              <w:rPr>
                <w:bCs/>
                <w:color w:val="000000"/>
                <w:kern w:val="0"/>
                <w:sz w:val="24"/>
              </w:rPr>
              <w:t>。</w:t>
            </w:r>
          </w:p>
          <w:p>
            <w:pPr>
              <w:numPr>
                <w:ilvl w:val="0"/>
                <w:numId w:val="4"/>
              </w:numPr>
              <w:overflowPunct w:val="0"/>
              <w:autoSpaceDE w:val="0"/>
              <w:autoSpaceDN w:val="0"/>
              <w:snapToGrid w:val="0"/>
              <w:spacing w:line="360" w:lineRule="auto"/>
              <w:ind w:firstLine="482" w:firstLineChars="200"/>
              <w:textAlignment w:val="baseline"/>
              <w:rPr>
                <w:b/>
                <w:color w:val="000000"/>
                <w:kern w:val="0"/>
                <w:sz w:val="24"/>
              </w:rPr>
            </w:pPr>
            <w:r>
              <w:rPr>
                <w:b/>
                <w:color w:val="000000"/>
                <w:kern w:val="0"/>
                <w:sz w:val="24"/>
              </w:rPr>
              <w:t>环境管理要求</w:t>
            </w:r>
          </w:p>
          <w:p>
            <w:pPr>
              <w:snapToGrid w:val="0"/>
              <w:spacing w:line="360" w:lineRule="auto"/>
              <w:ind w:firstLine="480" w:firstLineChars="200"/>
              <w:jc w:val="left"/>
              <w:rPr>
                <w:color w:val="000000"/>
                <w:sz w:val="24"/>
              </w:rPr>
            </w:pPr>
            <w:r>
              <w:rPr>
                <w:bCs/>
                <w:color w:val="000000"/>
                <w:sz w:val="24"/>
              </w:rPr>
              <w:t>①</w:t>
            </w:r>
            <w:r>
              <w:rPr>
                <w:color w:val="000000"/>
                <w:sz w:val="24"/>
              </w:rPr>
              <w:t>在项目筹备、设计和施工建设不同阶段，均应严格执行环保“三同时”制度，确保污染处理设施能够与生产工艺设施“同时设计、同时施工、同时竣工”。</w:t>
            </w:r>
          </w:p>
          <w:p>
            <w:pPr>
              <w:snapToGrid w:val="0"/>
              <w:spacing w:line="360" w:lineRule="auto"/>
              <w:ind w:firstLine="480" w:firstLineChars="200"/>
              <w:jc w:val="left"/>
              <w:rPr>
                <w:color w:val="000000"/>
                <w:sz w:val="24"/>
              </w:rPr>
            </w:pPr>
            <w:r>
              <w:rPr>
                <w:color w:val="000000"/>
                <w:sz w:val="24"/>
              </w:rPr>
              <w:t>②本项目应按有关法规的要求，严格执行排污许可制度；此外，在项目排污发生重大变化、污染治理设施发生重大改变或拟实施新、改、扩建项目时必须及时向相关环保行政主管部门申报。</w:t>
            </w:r>
          </w:p>
          <w:p>
            <w:pPr>
              <w:snapToGrid w:val="0"/>
              <w:spacing w:line="360" w:lineRule="auto"/>
              <w:ind w:firstLine="480" w:firstLineChars="200"/>
              <w:jc w:val="left"/>
              <w:rPr>
                <w:color w:val="000000"/>
                <w:sz w:val="24"/>
              </w:rPr>
            </w:pPr>
            <w:r>
              <w:rPr>
                <w:color w:val="000000"/>
                <w:sz w:val="24"/>
              </w:rPr>
              <w:t>③建立健全污染治理设施的运行、检修、维护保养的作业规程和管理制度，确保污染治理设施稳定运行。</w:t>
            </w:r>
          </w:p>
          <w:p>
            <w:pPr>
              <w:snapToGrid w:val="0"/>
              <w:spacing w:line="360" w:lineRule="auto"/>
              <w:ind w:firstLine="480" w:firstLineChars="200"/>
              <w:jc w:val="left"/>
              <w:rPr>
                <w:color w:val="000000"/>
              </w:rPr>
            </w:pPr>
            <w:r>
              <w:rPr>
                <w:color w:val="000000"/>
                <w:sz w:val="24"/>
              </w:rPr>
              <w:t>④活性炭处理装置定期更换碘值不小于800mg/g的活性炭。</w:t>
            </w:r>
          </w:p>
        </w:tc>
      </w:tr>
    </w:tbl>
    <w:p>
      <w:pPr>
        <w:pStyle w:val="20"/>
        <w:jc w:val="center"/>
        <w:outlineLvl w:val="0"/>
        <w:rPr>
          <w:rFonts w:ascii="Times New Roman" w:hAnsi="Times New Roman" w:eastAsia="黑体"/>
          <w:snapToGrid w:val="0"/>
          <w:color w:val="000000"/>
          <w:sz w:val="30"/>
          <w:szCs w:val="30"/>
        </w:rPr>
      </w:pPr>
      <w:r>
        <w:rPr>
          <w:rFonts w:ascii="Times New Roman" w:hAnsi="Times New Roman" w:eastAsia="黑体"/>
          <w:snapToGrid w:val="0"/>
          <w:color w:val="000000"/>
          <w:sz w:val="30"/>
          <w:szCs w:val="30"/>
        </w:rPr>
        <w:t>五、</w:t>
      </w:r>
      <w:bookmarkStart w:id="5" w:name="_Hlk54167917"/>
      <w:r>
        <w:rPr>
          <w:rFonts w:ascii="Times New Roman" w:hAnsi="Times New Roman" w:eastAsia="黑体"/>
          <w:snapToGrid w:val="0"/>
          <w:color w:val="000000"/>
          <w:sz w:val="30"/>
          <w:szCs w:val="30"/>
        </w:rPr>
        <w:t>环境保护措施监督检查清单</w:t>
      </w:r>
      <w:bookmarkEnd w:id="5"/>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1062"/>
        <w:gridCol w:w="964"/>
        <w:gridCol w:w="3171"/>
        <w:gridCol w:w="27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12" w:space="0"/>
              <w:left w:val="single" w:color="auto" w:sz="12" w:space="0"/>
              <w:bottom w:val="single" w:color="auto" w:sz="4" w:space="0"/>
              <w:tl2br w:val="single" w:color="auto" w:sz="4" w:space="0"/>
            </w:tcBorders>
          </w:tcPr>
          <w:p>
            <w:pPr>
              <w:adjustRightInd w:val="0"/>
              <w:snapToGrid w:val="0"/>
              <w:ind w:firstLine="840"/>
              <w:rPr>
                <w:b/>
                <w:szCs w:val="21"/>
              </w:rPr>
            </w:pPr>
            <w:r>
              <w:rPr>
                <w:b/>
                <w:szCs w:val="21"/>
              </w:rPr>
              <w:t>内容</w:t>
            </w:r>
          </w:p>
          <w:p>
            <w:pPr>
              <w:adjustRightInd w:val="0"/>
              <w:snapToGrid w:val="0"/>
              <w:rPr>
                <w:b/>
                <w:szCs w:val="21"/>
              </w:rPr>
            </w:pPr>
            <w:r>
              <w:rPr>
                <w:b/>
                <w:szCs w:val="21"/>
              </w:rPr>
              <w:t>要素</w:t>
            </w:r>
          </w:p>
        </w:tc>
        <w:tc>
          <w:tcPr>
            <w:tcW w:w="0" w:type="auto"/>
            <w:tcBorders>
              <w:top w:val="single" w:color="auto" w:sz="12" w:space="0"/>
              <w:bottom w:val="single" w:color="auto" w:sz="4" w:space="0"/>
            </w:tcBorders>
            <w:vAlign w:val="center"/>
          </w:tcPr>
          <w:p>
            <w:pPr>
              <w:adjustRightInd w:val="0"/>
              <w:snapToGrid w:val="0"/>
              <w:jc w:val="center"/>
              <w:rPr>
                <w:b/>
                <w:szCs w:val="21"/>
              </w:rPr>
            </w:pPr>
            <w:r>
              <w:rPr>
                <w:b/>
                <w:szCs w:val="21"/>
              </w:rPr>
              <w:t>排放口(编号、名称)/污染源</w:t>
            </w:r>
          </w:p>
        </w:tc>
        <w:tc>
          <w:tcPr>
            <w:tcW w:w="0" w:type="auto"/>
            <w:tcBorders>
              <w:top w:val="single" w:color="auto" w:sz="12" w:space="0"/>
              <w:bottom w:val="single" w:color="auto" w:sz="4" w:space="0"/>
            </w:tcBorders>
            <w:vAlign w:val="center"/>
          </w:tcPr>
          <w:p>
            <w:pPr>
              <w:adjustRightInd w:val="0"/>
              <w:snapToGrid w:val="0"/>
              <w:jc w:val="center"/>
              <w:rPr>
                <w:b/>
                <w:szCs w:val="21"/>
              </w:rPr>
            </w:pPr>
            <w:r>
              <w:rPr>
                <w:b/>
                <w:szCs w:val="21"/>
              </w:rPr>
              <w:t>污染物项目</w:t>
            </w:r>
          </w:p>
        </w:tc>
        <w:tc>
          <w:tcPr>
            <w:tcW w:w="0" w:type="auto"/>
            <w:tcBorders>
              <w:top w:val="single" w:color="auto" w:sz="12" w:space="0"/>
              <w:bottom w:val="single" w:color="auto" w:sz="4" w:space="0"/>
            </w:tcBorders>
            <w:vAlign w:val="center"/>
          </w:tcPr>
          <w:p>
            <w:pPr>
              <w:adjustRightInd w:val="0"/>
              <w:snapToGrid w:val="0"/>
              <w:jc w:val="center"/>
              <w:rPr>
                <w:b/>
                <w:szCs w:val="21"/>
              </w:rPr>
            </w:pPr>
            <w:r>
              <w:rPr>
                <w:b/>
                <w:szCs w:val="21"/>
              </w:rPr>
              <w:t>环境保护措施</w:t>
            </w:r>
          </w:p>
        </w:tc>
        <w:tc>
          <w:tcPr>
            <w:tcW w:w="0" w:type="auto"/>
            <w:tcBorders>
              <w:top w:val="single" w:color="auto" w:sz="12" w:space="0"/>
              <w:bottom w:val="single" w:color="auto" w:sz="4" w:space="0"/>
              <w:right w:val="single" w:color="auto" w:sz="12" w:space="0"/>
            </w:tcBorders>
            <w:vAlign w:val="center"/>
          </w:tcPr>
          <w:p>
            <w:pPr>
              <w:adjustRightInd w:val="0"/>
              <w:snapToGrid w:val="0"/>
              <w:jc w:val="center"/>
              <w:rPr>
                <w:b/>
                <w:szCs w:val="21"/>
              </w:rPr>
            </w:pPr>
            <w:r>
              <w:rPr>
                <w:b/>
                <w:szCs w:val="21"/>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4" w:space="0"/>
              <w:left w:val="single" w:color="auto" w:sz="12" w:space="0"/>
            </w:tcBorders>
            <w:vAlign w:val="center"/>
          </w:tcPr>
          <w:p>
            <w:pPr>
              <w:adjustRightInd w:val="0"/>
              <w:snapToGrid w:val="0"/>
              <w:jc w:val="center"/>
              <w:rPr>
                <w:b/>
                <w:szCs w:val="21"/>
              </w:rPr>
            </w:pPr>
            <w:r>
              <w:rPr>
                <w:b/>
                <w:szCs w:val="21"/>
              </w:rPr>
              <w:t>大气环境</w:t>
            </w:r>
          </w:p>
        </w:tc>
        <w:tc>
          <w:tcPr>
            <w:tcW w:w="0" w:type="auto"/>
            <w:tcBorders>
              <w:top w:val="single" w:color="auto" w:sz="4" w:space="0"/>
            </w:tcBorders>
            <w:vAlign w:val="center"/>
          </w:tcPr>
          <w:p>
            <w:pPr>
              <w:adjustRightInd w:val="0"/>
              <w:snapToGrid w:val="0"/>
              <w:jc w:val="center"/>
              <w:rPr>
                <w:szCs w:val="21"/>
              </w:rPr>
            </w:pPr>
            <w:r>
              <w:rPr>
                <w:rFonts w:hint="eastAsia"/>
                <w:szCs w:val="21"/>
              </w:rPr>
              <w:t>DA001/酸洗、涂覆、实验室研发</w:t>
            </w:r>
          </w:p>
        </w:tc>
        <w:tc>
          <w:tcPr>
            <w:tcW w:w="0" w:type="auto"/>
            <w:tcBorders>
              <w:top w:val="single" w:color="auto" w:sz="4" w:space="0"/>
              <w:bottom w:val="single" w:color="auto" w:sz="4" w:space="0"/>
            </w:tcBorders>
            <w:vAlign w:val="center"/>
          </w:tcPr>
          <w:p>
            <w:pPr>
              <w:adjustRightInd w:val="0"/>
              <w:snapToGrid w:val="0"/>
              <w:jc w:val="center"/>
              <w:rPr>
                <w:szCs w:val="21"/>
              </w:rPr>
            </w:pPr>
            <w:r>
              <w:rPr>
                <w:szCs w:val="21"/>
              </w:rPr>
              <w:t>非甲烷总烃</w:t>
            </w:r>
            <w:r>
              <w:rPr>
                <w:rFonts w:hint="eastAsia"/>
                <w:szCs w:val="21"/>
              </w:rPr>
              <w:t>、HCl及酸性气体</w:t>
            </w:r>
          </w:p>
        </w:tc>
        <w:tc>
          <w:tcPr>
            <w:tcW w:w="0" w:type="auto"/>
            <w:tcBorders>
              <w:top w:val="single" w:color="auto" w:sz="4" w:space="0"/>
            </w:tcBorders>
            <w:vAlign w:val="center"/>
          </w:tcPr>
          <w:p>
            <w:pPr>
              <w:widowControl/>
              <w:jc w:val="center"/>
              <w:textAlignment w:val="center"/>
              <w:rPr>
                <w:szCs w:val="21"/>
              </w:rPr>
            </w:pPr>
            <w:r>
              <w:rPr>
                <w:rFonts w:hint="eastAsia"/>
                <w:szCs w:val="21"/>
              </w:rPr>
              <w:t>①喷砂过程设备全密闭，经设备自带布袋除尘器处理后车间内无组织排放，此过程粉尘产生量较小；</w:t>
            </w:r>
          </w:p>
          <w:p>
            <w:pPr>
              <w:widowControl/>
              <w:jc w:val="center"/>
              <w:textAlignment w:val="center"/>
              <w:rPr>
                <w:szCs w:val="21"/>
              </w:rPr>
            </w:pPr>
            <w:r>
              <w:rPr>
                <w:rFonts w:hint="eastAsia"/>
                <w:szCs w:val="21"/>
              </w:rPr>
              <w:t>②酸洗过程全密闭，产生的酸性废气由酸洗槽上方集气罩收集后通过管道经1套碱喷淋塔+</w:t>
            </w:r>
            <w:r>
              <w:rPr>
                <w:rFonts w:hint="eastAsia"/>
                <w:szCs w:val="21"/>
                <w:lang w:eastAsia="zh-CN"/>
              </w:rPr>
              <w:t>除湿棉</w:t>
            </w:r>
            <w:r>
              <w:rPr>
                <w:rFonts w:hint="eastAsia"/>
                <w:szCs w:val="21"/>
              </w:rPr>
              <w:t>+二级活性炭吸附装置处理后通过楼顶22.5m高排气筒排放（DA001）；</w:t>
            </w:r>
          </w:p>
          <w:p>
            <w:pPr>
              <w:widowControl/>
              <w:jc w:val="center"/>
              <w:textAlignment w:val="center"/>
              <w:rPr>
                <w:szCs w:val="21"/>
              </w:rPr>
            </w:pPr>
            <w:r>
              <w:rPr>
                <w:rFonts w:hint="eastAsia"/>
                <w:szCs w:val="21"/>
              </w:rPr>
              <w:t>③涂覆产生的有机废气和氯化氢经密闭车间负压收集经1套碱喷淋塔+</w:t>
            </w:r>
            <w:r>
              <w:rPr>
                <w:rFonts w:hint="eastAsia"/>
                <w:szCs w:val="21"/>
                <w:lang w:eastAsia="zh-CN"/>
              </w:rPr>
              <w:t>除湿棉</w:t>
            </w:r>
            <w:r>
              <w:rPr>
                <w:rFonts w:hint="eastAsia"/>
                <w:szCs w:val="21"/>
              </w:rPr>
              <w:t>+二级活性炭吸附装置处理后通过楼顶22.5m高排气筒排放（DA001）；</w:t>
            </w:r>
          </w:p>
          <w:p>
            <w:pPr>
              <w:widowControl/>
              <w:jc w:val="center"/>
              <w:textAlignment w:val="center"/>
              <w:rPr>
                <w:szCs w:val="21"/>
              </w:rPr>
            </w:pPr>
            <w:r>
              <w:rPr>
                <w:rFonts w:hint="eastAsia"/>
                <w:szCs w:val="21"/>
              </w:rPr>
              <w:t>④实验室整体密闭负压，产生的有机废气通过万向集气罩收集后与生产1区域废气共用1套碱喷淋塔+</w:t>
            </w:r>
            <w:r>
              <w:rPr>
                <w:rFonts w:hint="eastAsia"/>
                <w:szCs w:val="21"/>
                <w:lang w:eastAsia="zh-CN"/>
              </w:rPr>
              <w:t>除湿棉</w:t>
            </w:r>
            <w:r>
              <w:rPr>
                <w:rFonts w:hint="eastAsia"/>
                <w:szCs w:val="21"/>
              </w:rPr>
              <w:t>+二级活性炭吸附装置处理后通过楼顶22.5m高排气筒排放（DA001）；</w:t>
            </w:r>
          </w:p>
        </w:tc>
        <w:tc>
          <w:tcPr>
            <w:tcW w:w="0" w:type="auto"/>
            <w:tcBorders>
              <w:top w:val="single" w:color="auto" w:sz="4" w:space="0"/>
              <w:right w:val="single" w:color="auto" w:sz="12" w:space="0"/>
            </w:tcBorders>
            <w:vAlign w:val="center"/>
          </w:tcPr>
          <w:p>
            <w:pPr>
              <w:adjustRightInd w:val="0"/>
              <w:snapToGrid w:val="0"/>
              <w:rPr>
                <w:szCs w:val="21"/>
              </w:rPr>
            </w:pPr>
            <w:r>
              <w:rPr>
                <w:szCs w:val="21"/>
              </w:rPr>
              <w:t>上海市《大气污染物综合排放标准》（DB31933-2015）、《挥发性有机物无组织排放控制标准》（GB37822-2019）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地表水环境</w:t>
            </w:r>
          </w:p>
        </w:tc>
        <w:tc>
          <w:tcPr>
            <w:tcW w:w="0" w:type="auto"/>
            <w:tcBorders>
              <w:top w:val="single" w:color="auto" w:sz="4" w:space="0"/>
              <w:bottom w:val="single" w:color="auto" w:sz="4" w:space="0"/>
            </w:tcBorders>
            <w:vAlign w:val="center"/>
          </w:tcPr>
          <w:p>
            <w:pPr>
              <w:adjustRightInd w:val="0"/>
              <w:snapToGrid w:val="0"/>
              <w:jc w:val="center"/>
              <w:rPr>
                <w:szCs w:val="21"/>
              </w:rPr>
            </w:pPr>
            <w:r>
              <w:rPr>
                <w:szCs w:val="21"/>
              </w:rPr>
              <w:t>DW001</w:t>
            </w:r>
          </w:p>
        </w:tc>
        <w:tc>
          <w:tcPr>
            <w:tcW w:w="0" w:type="auto"/>
            <w:tcBorders>
              <w:top w:val="single" w:color="auto" w:sz="4" w:space="0"/>
              <w:bottom w:val="single" w:color="auto" w:sz="4" w:space="0"/>
            </w:tcBorders>
            <w:vAlign w:val="center"/>
          </w:tcPr>
          <w:p>
            <w:pPr>
              <w:adjustRightInd w:val="0"/>
              <w:snapToGrid w:val="0"/>
              <w:jc w:val="center"/>
              <w:rPr>
                <w:szCs w:val="21"/>
              </w:rPr>
            </w:pPr>
            <w:r>
              <w:rPr>
                <w:szCs w:val="21"/>
              </w:rPr>
              <w:t>pH</w:t>
            </w:r>
          </w:p>
          <w:p>
            <w:pPr>
              <w:adjustRightInd w:val="0"/>
              <w:snapToGrid w:val="0"/>
              <w:jc w:val="center"/>
              <w:rPr>
                <w:szCs w:val="21"/>
              </w:rPr>
            </w:pPr>
            <w:r>
              <w:rPr>
                <w:szCs w:val="21"/>
              </w:rPr>
              <w:t>COD</w:t>
            </w:r>
          </w:p>
          <w:p>
            <w:pPr>
              <w:adjustRightInd w:val="0"/>
              <w:snapToGrid w:val="0"/>
              <w:jc w:val="center"/>
              <w:rPr>
                <w:szCs w:val="21"/>
              </w:rPr>
            </w:pPr>
            <w:r>
              <w:rPr>
                <w:szCs w:val="21"/>
              </w:rPr>
              <w:t>BOD</w:t>
            </w:r>
            <w:r>
              <w:rPr>
                <w:rFonts w:hint="eastAsia"/>
                <w:szCs w:val="21"/>
                <w:vertAlign w:val="subscript"/>
              </w:rPr>
              <w:t>5</w:t>
            </w:r>
          </w:p>
          <w:p>
            <w:pPr>
              <w:adjustRightInd w:val="0"/>
              <w:snapToGrid w:val="0"/>
              <w:jc w:val="center"/>
              <w:rPr>
                <w:szCs w:val="21"/>
              </w:rPr>
            </w:pPr>
            <w:r>
              <w:rPr>
                <w:szCs w:val="21"/>
              </w:rPr>
              <w:t>SS</w:t>
            </w:r>
          </w:p>
          <w:p>
            <w:pPr>
              <w:adjustRightInd w:val="0"/>
              <w:snapToGrid w:val="0"/>
              <w:jc w:val="center"/>
              <w:rPr>
                <w:szCs w:val="21"/>
              </w:rPr>
            </w:pPr>
            <w:r>
              <w:rPr>
                <w:szCs w:val="21"/>
              </w:rPr>
              <w:t>NH</w:t>
            </w:r>
            <w:r>
              <w:rPr>
                <w:szCs w:val="21"/>
                <w:vertAlign w:val="subscript"/>
              </w:rPr>
              <w:t>3</w:t>
            </w:r>
            <w:r>
              <w:rPr>
                <w:szCs w:val="21"/>
              </w:rPr>
              <w:t>-N</w:t>
            </w:r>
          </w:p>
          <w:p>
            <w:pPr>
              <w:adjustRightInd w:val="0"/>
              <w:snapToGrid w:val="0"/>
              <w:jc w:val="center"/>
              <w:rPr>
                <w:szCs w:val="21"/>
              </w:rPr>
            </w:pPr>
            <w:r>
              <w:rPr>
                <w:szCs w:val="21"/>
              </w:rPr>
              <w:t>TN</w:t>
            </w:r>
          </w:p>
          <w:p>
            <w:pPr>
              <w:adjustRightInd w:val="0"/>
              <w:snapToGrid w:val="0"/>
              <w:jc w:val="center"/>
              <w:rPr>
                <w:szCs w:val="21"/>
              </w:rPr>
            </w:pPr>
            <w:r>
              <w:rPr>
                <w:szCs w:val="21"/>
              </w:rPr>
              <w:t>TP</w:t>
            </w:r>
          </w:p>
        </w:tc>
        <w:tc>
          <w:tcPr>
            <w:tcW w:w="0" w:type="auto"/>
            <w:tcBorders>
              <w:top w:val="single" w:color="auto" w:sz="4" w:space="0"/>
              <w:bottom w:val="single" w:color="auto" w:sz="4" w:space="0"/>
            </w:tcBorders>
            <w:vAlign w:val="center"/>
          </w:tcPr>
          <w:p>
            <w:pPr>
              <w:adjustRightInd w:val="0"/>
              <w:snapToGrid w:val="0"/>
              <w:rPr>
                <w:szCs w:val="21"/>
              </w:rPr>
            </w:pPr>
            <w:r>
              <w:rPr>
                <w:szCs w:val="21"/>
              </w:rPr>
              <w:t>生活污水、</w:t>
            </w:r>
            <w:r>
              <w:rPr>
                <w:rFonts w:hint="eastAsia"/>
                <w:szCs w:val="21"/>
              </w:rPr>
              <w:t>车间保洁废水</w:t>
            </w:r>
            <w:r>
              <w:rPr>
                <w:szCs w:val="21"/>
              </w:rPr>
              <w:t>经现有化粪池预处理后满足</w:t>
            </w:r>
            <w:r>
              <w:rPr>
                <w:rFonts w:hint="eastAsia"/>
                <w:szCs w:val="21"/>
              </w:rPr>
              <w:t>《电子工业水污染物排放标准》（GB39731-2020）和</w:t>
            </w:r>
            <w:r>
              <w:rPr>
                <w:szCs w:val="21"/>
              </w:rPr>
              <w:t>西部组团污水处理厂接管标准经市政污水管网进入西部组团污水处理厂深度处理后最终排入派河</w:t>
            </w:r>
          </w:p>
        </w:tc>
        <w:tc>
          <w:tcPr>
            <w:tcW w:w="0" w:type="auto"/>
            <w:tcBorders>
              <w:top w:val="single" w:color="auto" w:sz="4" w:space="0"/>
              <w:bottom w:val="single" w:color="auto" w:sz="4" w:space="0"/>
              <w:right w:val="single" w:color="auto" w:sz="12" w:space="0"/>
            </w:tcBorders>
            <w:vAlign w:val="center"/>
          </w:tcPr>
          <w:p>
            <w:pPr>
              <w:adjustRightInd w:val="0"/>
              <w:snapToGrid w:val="0"/>
              <w:rPr>
                <w:szCs w:val="21"/>
              </w:rPr>
            </w:pPr>
            <w:r>
              <w:rPr>
                <w:rFonts w:hint="eastAsia"/>
                <w:szCs w:val="21"/>
              </w:rPr>
              <w:t>《电子工业水污染物排放标准》（GB39731-2020）和</w:t>
            </w:r>
            <w:r>
              <w:rPr>
                <w:szCs w:val="21"/>
              </w:rPr>
              <w:t>西部组团污水处理厂接管限值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声环境</w:t>
            </w:r>
          </w:p>
        </w:tc>
        <w:tc>
          <w:tcPr>
            <w:tcW w:w="0" w:type="auto"/>
            <w:tcBorders>
              <w:top w:val="single" w:color="auto" w:sz="4" w:space="0"/>
              <w:bottom w:val="single" w:color="auto" w:sz="4" w:space="0"/>
            </w:tcBorders>
            <w:vAlign w:val="center"/>
          </w:tcPr>
          <w:p>
            <w:pPr>
              <w:adjustRightInd w:val="0"/>
              <w:snapToGrid w:val="0"/>
              <w:jc w:val="center"/>
              <w:rPr>
                <w:szCs w:val="21"/>
              </w:rPr>
            </w:pPr>
            <w:r>
              <w:rPr>
                <w:szCs w:val="21"/>
              </w:rPr>
              <w:t>厂界噪声</w:t>
            </w:r>
          </w:p>
        </w:tc>
        <w:tc>
          <w:tcPr>
            <w:tcW w:w="0" w:type="auto"/>
            <w:tcBorders>
              <w:top w:val="single" w:color="auto" w:sz="4" w:space="0"/>
              <w:bottom w:val="single" w:color="auto" w:sz="4" w:space="0"/>
            </w:tcBorders>
            <w:vAlign w:val="center"/>
          </w:tcPr>
          <w:p>
            <w:pPr>
              <w:adjustRightInd w:val="0"/>
              <w:snapToGrid w:val="0"/>
              <w:rPr>
                <w:szCs w:val="21"/>
              </w:rPr>
            </w:pPr>
            <w:r>
              <w:rPr>
                <w:szCs w:val="21"/>
              </w:rPr>
              <w:t>连续等效A声级L</w:t>
            </w:r>
            <w:r>
              <w:rPr>
                <w:szCs w:val="21"/>
                <w:vertAlign w:val="subscript"/>
              </w:rPr>
              <w:t>eq</w:t>
            </w:r>
          </w:p>
        </w:tc>
        <w:tc>
          <w:tcPr>
            <w:tcW w:w="0" w:type="auto"/>
            <w:tcBorders>
              <w:top w:val="single" w:color="auto" w:sz="4" w:space="0"/>
              <w:bottom w:val="single" w:color="auto" w:sz="4" w:space="0"/>
            </w:tcBorders>
            <w:vAlign w:val="center"/>
          </w:tcPr>
          <w:p>
            <w:pPr>
              <w:adjustRightInd w:val="0"/>
              <w:snapToGrid w:val="0"/>
              <w:rPr>
                <w:szCs w:val="21"/>
              </w:rPr>
            </w:pPr>
            <w:r>
              <w:rPr>
                <w:szCs w:val="21"/>
              </w:rPr>
              <w:t>通过选用低噪设备、安装减振基座，经厂区建筑物的隔声、距离的衰减的降噪措施</w:t>
            </w:r>
          </w:p>
        </w:tc>
        <w:tc>
          <w:tcPr>
            <w:tcW w:w="0" w:type="auto"/>
            <w:tcBorders>
              <w:top w:val="single" w:color="auto" w:sz="4" w:space="0"/>
              <w:bottom w:val="single" w:color="auto" w:sz="4" w:space="0"/>
              <w:right w:val="single" w:color="auto" w:sz="12" w:space="0"/>
            </w:tcBorders>
            <w:vAlign w:val="center"/>
          </w:tcPr>
          <w:p>
            <w:pPr>
              <w:adjustRightInd w:val="0"/>
              <w:snapToGrid w:val="0"/>
              <w:rPr>
                <w:szCs w:val="21"/>
              </w:rPr>
            </w:pPr>
            <w:r>
              <w:rPr>
                <w:szCs w:val="21"/>
              </w:rPr>
              <w:t>《工业企业厂界环境噪声排放标准》（GB12348-2008）中3类标准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电磁辐射</w:t>
            </w:r>
          </w:p>
        </w:tc>
        <w:tc>
          <w:tcPr>
            <w:tcW w:w="0" w:type="auto"/>
            <w:gridSpan w:val="4"/>
            <w:tcBorders>
              <w:top w:val="single" w:color="auto" w:sz="4" w:space="0"/>
              <w:bottom w:val="single" w:color="auto" w:sz="4" w:space="0"/>
              <w:right w:val="single" w:color="auto" w:sz="12" w:space="0"/>
            </w:tcBorders>
            <w:vAlign w:val="center"/>
          </w:tcPr>
          <w:p>
            <w:pPr>
              <w:adjustRightInd w:val="0"/>
              <w:snapToGrid w:val="0"/>
              <w:jc w:val="center"/>
              <w:rPr>
                <w:szCs w:val="21"/>
              </w:rPr>
            </w:pPr>
            <w:r>
              <w:rPr>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固体废物</w:t>
            </w:r>
          </w:p>
        </w:tc>
        <w:tc>
          <w:tcPr>
            <w:tcW w:w="0" w:type="auto"/>
            <w:gridSpan w:val="4"/>
            <w:tcBorders>
              <w:top w:val="single" w:color="auto" w:sz="4" w:space="0"/>
              <w:bottom w:val="single" w:color="auto" w:sz="4" w:space="0"/>
              <w:right w:val="single" w:color="auto" w:sz="12" w:space="0"/>
            </w:tcBorders>
            <w:vAlign w:val="center"/>
          </w:tcPr>
          <w:p>
            <w:pPr>
              <w:adjustRightInd w:val="0"/>
              <w:snapToGrid w:val="0"/>
              <w:jc w:val="left"/>
              <w:rPr>
                <w:szCs w:val="21"/>
              </w:rPr>
            </w:pPr>
            <w:r>
              <w:rPr>
                <w:szCs w:val="21"/>
              </w:rPr>
              <w:t>生活垃圾交由环卫部门定期清运、处置；废包装材料（未沾染危险品）、废</w:t>
            </w:r>
            <w:r>
              <w:rPr>
                <w:rFonts w:hint="eastAsia"/>
                <w:szCs w:val="21"/>
              </w:rPr>
              <w:t>金刚砂</w:t>
            </w:r>
            <w:r>
              <w:rPr>
                <w:szCs w:val="21"/>
              </w:rPr>
              <w:t>收集后由物资公司回收利用；</w:t>
            </w:r>
            <w:r>
              <w:rPr>
                <w:rFonts w:hint="eastAsia"/>
                <w:szCs w:val="21"/>
              </w:rPr>
              <w:t>不合格品收集后</w:t>
            </w:r>
            <w:r>
              <w:rPr>
                <w:rFonts w:hint="eastAsia"/>
                <w:szCs w:val="21"/>
                <w:lang w:eastAsia="zh-CN"/>
              </w:rPr>
              <w:t>委托有资质单位处置</w:t>
            </w:r>
            <w:r>
              <w:rPr>
                <w:rFonts w:hint="eastAsia"/>
                <w:szCs w:val="21"/>
              </w:rPr>
              <w:t>；</w:t>
            </w:r>
            <w:r>
              <w:rPr>
                <w:rFonts w:hint="eastAsia"/>
                <w:szCs w:val="21"/>
                <w:lang w:eastAsia="zh-CN"/>
              </w:rPr>
              <w:t>废包装材料（直接沾染危险品）、过滤废液、测试废液、检测废液、清洗废液、喷淋塔废液、废草酸溶液、废除湿棉、废活性炭</w:t>
            </w:r>
            <w:r>
              <w:rPr>
                <w:szCs w:val="21"/>
              </w:rPr>
              <w:t>作为危险废物单独收集在危废</w:t>
            </w:r>
            <w:r>
              <w:rPr>
                <w:rFonts w:hint="eastAsia"/>
                <w:szCs w:val="21"/>
              </w:rPr>
              <w:t>间</w:t>
            </w:r>
            <w:r>
              <w:rPr>
                <w:szCs w:val="21"/>
              </w:rPr>
              <w:t>暂存后，定期委托有资质单位处置</w:t>
            </w:r>
            <w:r>
              <w:rPr>
                <w:bCs/>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土壤及地下水</w:t>
            </w:r>
          </w:p>
          <w:p>
            <w:pPr>
              <w:adjustRightInd w:val="0"/>
              <w:snapToGrid w:val="0"/>
              <w:jc w:val="center"/>
              <w:rPr>
                <w:b/>
                <w:szCs w:val="21"/>
              </w:rPr>
            </w:pPr>
            <w:r>
              <w:rPr>
                <w:b/>
                <w:szCs w:val="21"/>
              </w:rPr>
              <w:t>污染防治措施</w:t>
            </w:r>
          </w:p>
        </w:tc>
        <w:tc>
          <w:tcPr>
            <w:tcW w:w="0" w:type="auto"/>
            <w:gridSpan w:val="4"/>
            <w:tcBorders>
              <w:top w:val="single" w:color="auto" w:sz="4" w:space="0"/>
              <w:bottom w:val="single" w:color="auto" w:sz="4" w:space="0"/>
              <w:right w:val="single" w:color="auto" w:sz="12" w:space="0"/>
            </w:tcBorders>
            <w:vAlign w:val="center"/>
          </w:tcPr>
          <w:p>
            <w:pPr>
              <w:adjustRightInd w:val="0"/>
              <w:snapToGrid w:val="0"/>
              <w:jc w:val="left"/>
              <w:rPr>
                <w:szCs w:val="21"/>
              </w:rPr>
            </w:pPr>
            <w:r>
              <w:rPr>
                <w:rFonts w:hint="eastAsia"/>
                <w:szCs w:val="21"/>
              </w:rPr>
              <w:t>组装区、生产2区域、生产3区域、煅烧间、研发实验室、超净间</w:t>
            </w:r>
            <w:r>
              <w:rPr>
                <w:kern w:val="0"/>
                <w:szCs w:val="21"/>
              </w:rPr>
              <w:t>进行一般防渗（等效黏土防渗层Mb≥1.5m，渗透系数K≤1×10</w:t>
            </w:r>
            <w:r>
              <w:rPr>
                <w:kern w:val="0"/>
                <w:szCs w:val="21"/>
                <w:vertAlign w:val="superscript"/>
              </w:rPr>
              <w:t>-7</w:t>
            </w:r>
            <w:r>
              <w:rPr>
                <w:kern w:val="0"/>
                <w:szCs w:val="21"/>
              </w:rPr>
              <w:t>cm/s</w:t>
            </w:r>
            <w:r>
              <w:t>）</w:t>
            </w:r>
            <w:r>
              <w:rPr>
                <w:kern w:val="0"/>
                <w:szCs w:val="21"/>
              </w:rPr>
              <w:t>；</w:t>
            </w:r>
            <w:r>
              <w:rPr>
                <w:rFonts w:hint="eastAsia"/>
                <w:kern w:val="0"/>
                <w:szCs w:val="21"/>
              </w:rPr>
              <w:t>危废间、生产1区域、原料仓库</w:t>
            </w:r>
            <w:r>
              <w:rPr>
                <w:kern w:val="0"/>
                <w:szCs w:val="21"/>
              </w:rPr>
              <w:t>进行重点防渗（等效黏土防渗层Mb≥6.0m，</w:t>
            </w:r>
            <w:r>
              <w:t>渗透系数</w:t>
            </w:r>
            <w:r>
              <w:rPr>
                <w:kern w:val="0"/>
                <w:szCs w:val="21"/>
              </w:rPr>
              <w:t>K≤1×10</w:t>
            </w:r>
            <w:r>
              <w:rPr>
                <w:kern w:val="0"/>
                <w:szCs w:val="21"/>
                <w:vertAlign w:val="superscript"/>
              </w:rPr>
              <w:t>-10</w:t>
            </w:r>
            <w:r>
              <w:rPr>
                <w:kern w:val="0"/>
                <w:szCs w:val="21"/>
              </w:rPr>
              <w:t>cm/s）</w:t>
            </w:r>
            <w:r>
              <w:rPr>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生态保护措施</w:t>
            </w:r>
          </w:p>
        </w:tc>
        <w:tc>
          <w:tcPr>
            <w:tcW w:w="0" w:type="auto"/>
            <w:gridSpan w:val="4"/>
            <w:tcBorders>
              <w:top w:val="single" w:color="auto" w:sz="4" w:space="0"/>
              <w:bottom w:val="single" w:color="auto" w:sz="4" w:space="0"/>
              <w:right w:val="single" w:color="auto" w:sz="12" w:space="0"/>
            </w:tcBorders>
            <w:vAlign w:val="center"/>
          </w:tcPr>
          <w:p>
            <w:pPr>
              <w:adjustRightInd w:val="0"/>
              <w:snapToGrid w:val="0"/>
              <w:jc w:val="center"/>
              <w:rPr>
                <w:szCs w:val="21"/>
              </w:rPr>
            </w:pPr>
            <w:r>
              <w:rPr>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4" w:space="0"/>
              <w:left w:val="single" w:color="auto" w:sz="12" w:space="0"/>
              <w:bottom w:val="single" w:color="auto" w:sz="4" w:space="0"/>
            </w:tcBorders>
            <w:vAlign w:val="center"/>
          </w:tcPr>
          <w:p>
            <w:pPr>
              <w:adjustRightInd w:val="0"/>
              <w:snapToGrid w:val="0"/>
              <w:jc w:val="center"/>
              <w:rPr>
                <w:b/>
                <w:spacing w:val="-8"/>
                <w:szCs w:val="21"/>
              </w:rPr>
            </w:pPr>
            <w:r>
              <w:rPr>
                <w:b/>
                <w:spacing w:val="-8"/>
                <w:szCs w:val="21"/>
              </w:rPr>
              <w:t>环境风险防范措施</w:t>
            </w:r>
          </w:p>
        </w:tc>
        <w:tc>
          <w:tcPr>
            <w:tcW w:w="0" w:type="auto"/>
            <w:gridSpan w:val="4"/>
            <w:tcBorders>
              <w:top w:val="single" w:color="auto" w:sz="4" w:space="0"/>
              <w:bottom w:val="single" w:color="auto" w:sz="4" w:space="0"/>
              <w:right w:val="single" w:color="auto" w:sz="12" w:space="0"/>
            </w:tcBorders>
            <w:vAlign w:val="center"/>
          </w:tcPr>
          <w:p>
            <w:pPr>
              <w:adjustRightInd w:val="0"/>
              <w:snapToGrid w:val="0"/>
              <w:jc w:val="left"/>
            </w:pPr>
            <w:r>
              <w:rPr>
                <w:rFonts w:hint="eastAsia"/>
              </w:rPr>
              <w:t>①建立健全组装区、生产车间、煅烧间、研发实验室、超净间、危废间、原料仓库的火灾防范制度，配备灭火设施；</w:t>
            </w:r>
          </w:p>
          <w:p>
            <w:pPr>
              <w:adjustRightInd w:val="0"/>
              <w:snapToGrid w:val="0"/>
              <w:jc w:val="left"/>
            </w:pPr>
            <w:r>
              <w:rPr>
                <w:rFonts w:hint="eastAsia"/>
              </w:rPr>
              <w:t>②建立化学品采购、存储、厂内运输、领用、使用、废弃等全路径管理制度，防止化学品发生物料泄漏；</w:t>
            </w:r>
          </w:p>
          <w:p>
            <w:pPr>
              <w:adjustRightInd w:val="0"/>
              <w:snapToGrid w:val="0"/>
              <w:jc w:val="left"/>
            </w:pPr>
            <w:r>
              <w:rPr>
                <w:rFonts w:hint="eastAsia"/>
              </w:rPr>
              <w:t>③加强对废气设施的运行管理、维护保养当废气处理措施发生故障，造成废气事故性排放，项目应立即停产，排除事故故障，待确保废气治理措施正常运转后再恢复研发生产。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Borders>
              <w:top w:val="single" w:color="auto" w:sz="4" w:space="0"/>
              <w:left w:val="single" w:color="auto" w:sz="12" w:space="0"/>
              <w:bottom w:val="single" w:color="auto" w:sz="12" w:space="0"/>
            </w:tcBorders>
            <w:vAlign w:val="center"/>
          </w:tcPr>
          <w:p>
            <w:pPr>
              <w:adjustRightInd w:val="0"/>
              <w:snapToGrid w:val="0"/>
              <w:jc w:val="center"/>
              <w:rPr>
                <w:b/>
                <w:spacing w:val="-8"/>
                <w:szCs w:val="21"/>
              </w:rPr>
            </w:pPr>
            <w:r>
              <w:rPr>
                <w:b/>
                <w:spacing w:val="-8"/>
                <w:szCs w:val="21"/>
              </w:rPr>
              <w:t>其他环境</w:t>
            </w:r>
          </w:p>
          <w:p>
            <w:pPr>
              <w:adjustRightInd w:val="0"/>
              <w:snapToGrid w:val="0"/>
              <w:jc w:val="center"/>
              <w:rPr>
                <w:b/>
                <w:spacing w:val="-8"/>
                <w:szCs w:val="21"/>
              </w:rPr>
            </w:pPr>
            <w:r>
              <w:rPr>
                <w:b/>
                <w:spacing w:val="-8"/>
                <w:szCs w:val="21"/>
              </w:rPr>
              <w:t>管理要求</w:t>
            </w:r>
          </w:p>
        </w:tc>
        <w:tc>
          <w:tcPr>
            <w:tcW w:w="0" w:type="auto"/>
            <w:gridSpan w:val="4"/>
            <w:tcBorders>
              <w:top w:val="single" w:color="auto" w:sz="4" w:space="0"/>
              <w:bottom w:val="single" w:color="auto" w:sz="12" w:space="0"/>
              <w:right w:val="single" w:color="auto" w:sz="12" w:space="0"/>
            </w:tcBorders>
            <w:vAlign w:val="center"/>
          </w:tcPr>
          <w:p>
            <w:pPr>
              <w:adjustRightInd w:val="0"/>
              <w:snapToGrid w:val="0"/>
              <w:jc w:val="left"/>
              <w:rPr>
                <w:szCs w:val="21"/>
              </w:rPr>
            </w:pPr>
            <w:r>
              <w:rPr>
                <w:szCs w:val="21"/>
              </w:rPr>
              <w:t>本项目竣工环境保护验收前应按要求进行排污许可登记</w:t>
            </w:r>
          </w:p>
        </w:tc>
      </w:tr>
    </w:tbl>
    <w:p>
      <w:pPr>
        <w:pStyle w:val="20"/>
        <w:jc w:val="center"/>
        <w:outlineLvl w:val="0"/>
        <w:rPr>
          <w:rFonts w:ascii="Times New Roman" w:hAnsi="Times New Roman" w:eastAsia="黑体"/>
          <w:snapToGrid w:val="0"/>
          <w:color w:val="000000"/>
          <w:sz w:val="30"/>
          <w:szCs w:val="30"/>
        </w:rPr>
      </w:pPr>
      <w:r>
        <w:rPr>
          <w:rFonts w:ascii="Times New Roman" w:hAnsi="Times New Roman"/>
          <w:snapToGrid w:val="0"/>
          <w:color w:val="000000"/>
        </w:rPr>
        <w:br w:type="page"/>
      </w:r>
      <w:r>
        <w:rPr>
          <w:rFonts w:ascii="Times New Roman" w:hAnsi="Times New Roman" w:eastAsia="黑体"/>
          <w:snapToGrid w:val="0"/>
          <w:color w:val="000000"/>
          <w:sz w:val="30"/>
          <w:szCs w:val="30"/>
        </w:rPr>
        <w:t>六、结论</w:t>
      </w:r>
    </w:p>
    <w:tbl>
      <w:tblPr>
        <w:tblStyle w:val="24"/>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6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991" w:hRule="atLeast"/>
          <w:jc w:val="center"/>
        </w:trPr>
        <w:tc>
          <w:tcPr>
            <w:tcW w:w="8865" w:type="dxa"/>
          </w:tcPr>
          <w:p>
            <w:pPr>
              <w:spacing w:line="360" w:lineRule="auto"/>
              <w:ind w:firstLine="480" w:firstLineChars="200"/>
              <w:rPr>
                <w:sz w:val="24"/>
              </w:rPr>
            </w:pPr>
            <w:r>
              <w:rPr>
                <w:rFonts w:hint="eastAsia"/>
                <w:sz w:val="24"/>
              </w:rPr>
              <w:t>安徽熵卡科技有限公司氢能与储能的关键材料、装备的自主研发及生产项目</w:t>
            </w:r>
            <w:r>
              <w:rPr>
                <w:sz w:val="24"/>
              </w:rPr>
              <w:t>符合国家和地方产业政策，只要严格落实本环境影响报告表提出的环保措施，确保本项目产生的污染物达标排放，从环境影响角度分析，本项目的建设可行。</w:t>
            </w:r>
          </w:p>
        </w:tc>
      </w:tr>
    </w:tbl>
    <w:p>
      <w:pPr>
        <w:rPr>
          <w:color w:val="000000"/>
        </w:rPr>
        <w:sectPr>
          <w:pgSz w:w="11906" w:h="16838"/>
          <w:pgMar w:top="1418" w:right="1418" w:bottom="1418" w:left="1418" w:header="851" w:footer="851" w:gutter="0"/>
          <w:cols w:space="720" w:num="1"/>
          <w:docGrid w:linePitch="312" w:charSpace="0"/>
        </w:sectPr>
      </w:pPr>
    </w:p>
    <w:p>
      <w:pPr>
        <w:pStyle w:val="20"/>
        <w:adjustRightInd w:val="0"/>
        <w:snapToGrid w:val="0"/>
        <w:spacing w:before="0" w:beforeAutospacing="0" w:after="0" w:afterAutospacing="0"/>
        <w:outlineLvl w:val="0"/>
        <w:rPr>
          <w:rFonts w:ascii="Times New Roman" w:hAnsi="Times New Roman"/>
          <w:color w:val="000000"/>
          <w:kern w:val="2"/>
          <w:szCs w:val="24"/>
        </w:rPr>
      </w:pPr>
      <w:r>
        <w:rPr>
          <w:rFonts w:ascii="Times New Roman" w:hAnsi="Times New Roman" w:eastAsia="黑体"/>
          <w:snapToGrid w:val="0"/>
          <w:color w:val="000000"/>
          <w:sz w:val="32"/>
          <w:szCs w:val="32"/>
        </w:rPr>
        <w:t>附表</w:t>
      </w:r>
    </w:p>
    <w:p>
      <w:pPr>
        <w:pStyle w:val="20"/>
        <w:adjustRightInd w:val="0"/>
        <w:snapToGrid w:val="0"/>
        <w:spacing w:before="0" w:beforeAutospacing="0" w:after="0" w:afterAutospacing="0"/>
        <w:jc w:val="center"/>
        <w:outlineLvl w:val="0"/>
        <w:rPr>
          <w:rFonts w:ascii="Times New Roman" w:hAnsi="Times New Roman"/>
          <w:color w:val="000000"/>
          <w:kern w:val="2"/>
          <w:sz w:val="32"/>
          <w:szCs w:val="32"/>
        </w:rPr>
      </w:pPr>
      <w:r>
        <w:rPr>
          <w:rFonts w:ascii="Times New Roman" w:hAnsi="Times New Roman"/>
          <w:b/>
          <w:bCs/>
          <w:color w:val="000000"/>
          <w:kern w:val="2"/>
          <w:sz w:val="36"/>
          <w:szCs w:val="36"/>
        </w:rPr>
        <w:t>建设项目污染物排放量汇总表</w:t>
      </w:r>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4"/>
        <w:gridCol w:w="1818"/>
        <w:gridCol w:w="1739"/>
        <w:gridCol w:w="1305"/>
        <w:gridCol w:w="1492"/>
        <w:gridCol w:w="1549"/>
        <w:gridCol w:w="1615"/>
        <w:gridCol w:w="1857"/>
        <w:gridCol w:w="14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99" w:hRule="atLeast"/>
          <w:jc w:val="center"/>
        </w:trPr>
        <w:tc>
          <w:tcPr>
            <w:tcW w:w="1254" w:type="dxa"/>
            <w:tcBorders>
              <w:top w:val="single" w:color="auto" w:sz="12" w:space="0"/>
              <w:left w:val="single" w:color="auto" w:sz="12" w:space="0"/>
              <w:bottom w:val="single" w:color="auto" w:sz="4" w:space="0"/>
              <w:tl2br w:val="single" w:color="auto" w:sz="4" w:space="0"/>
            </w:tcBorders>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 xml:space="preserve">       项目</w:t>
            </w:r>
          </w:p>
          <w:p>
            <w:pPr>
              <w:pStyle w:val="51"/>
              <w:spacing w:beforeLines="0" w:afterLines="0" w:line="240" w:lineRule="auto"/>
              <w:jc w:val="both"/>
              <w:rPr>
                <w:rFonts w:ascii="Times New Roman" w:eastAsia="黑体"/>
                <w:snapToGrid w:val="0"/>
                <w:color w:val="000000"/>
                <w:spacing w:val="-6"/>
                <w:kern w:val="21"/>
                <w:szCs w:val="21"/>
              </w:rPr>
            </w:pPr>
            <w:r>
              <w:rPr>
                <w:rFonts w:ascii="Times New Roman" w:eastAsia="黑体"/>
                <w:snapToGrid w:val="0"/>
                <w:color w:val="000000"/>
                <w:spacing w:val="-6"/>
                <w:kern w:val="21"/>
                <w:szCs w:val="21"/>
              </w:rPr>
              <w:t>分类</w:t>
            </w:r>
          </w:p>
        </w:tc>
        <w:tc>
          <w:tcPr>
            <w:tcW w:w="1818" w:type="dxa"/>
            <w:tcBorders>
              <w:top w:val="single" w:color="auto" w:sz="12" w:space="0"/>
              <w:bottom w:val="single" w:color="auto" w:sz="4" w:space="0"/>
            </w:tcBorders>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污染物名称</w:t>
            </w:r>
          </w:p>
        </w:tc>
        <w:tc>
          <w:tcPr>
            <w:tcW w:w="1739" w:type="dxa"/>
            <w:tcBorders>
              <w:top w:val="single" w:color="auto" w:sz="12" w:space="0"/>
              <w:bottom w:val="single" w:color="auto" w:sz="4" w:space="0"/>
            </w:tcBorders>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现有工程</w:t>
            </w:r>
          </w:p>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排放量（固体废物产生量）</w:t>
            </w:r>
            <w:r>
              <w:rPr>
                <w:rFonts w:ascii="Times New Roman" w:eastAsia="黑体"/>
                <w:snapToGrid w:val="0"/>
                <w:color w:val="000000"/>
                <w:spacing w:val="-6"/>
                <w:kern w:val="21"/>
                <w:szCs w:val="21"/>
              </w:rPr>
              <w:fldChar w:fldCharType="begin"/>
            </w:r>
            <w:r>
              <w:rPr>
                <w:rFonts w:ascii="Times New Roman" w:eastAsia="黑体"/>
                <w:snapToGrid w:val="0"/>
                <w:color w:val="000000"/>
                <w:spacing w:val="-6"/>
                <w:kern w:val="21"/>
                <w:szCs w:val="21"/>
              </w:rPr>
              <w:instrText xml:space="preserve"> = 1 \* GB3 \* MERGEFORMAT </w:instrText>
            </w:r>
            <w:r>
              <w:rPr>
                <w:rFonts w:ascii="Times New Roman" w:eastAsia="黑体"/>
                <w:snapToGrid w:val="0"/>
                <w:color w:val="000000"/>
                <w:spacing w:val="-6"/>
                <w:kern w:val="21"/>
                <w:szCs w:val="21"/>
              </w:rPr>
              <w:fldChar w:fldCharType="separate"/>
            </w:r>
            <w:r>
              <w:rPr>
                <w:rFonts w:ascii="Times New Roman" w:eastAsia="黑体"/>
                <w:snapToGrid w:val="0"/>
                <w:color w:val="000000"/>
                <w:spacing w:val="-6"/>
                <w:kern w:val="21"/>
                <w:szCs w:val="21"/>
              </w:rPr>
              <w:t>①</w:t>
            </w:r>
            <w:r>
              <w:rPr>
                <w:rFonts w:ascii="Times New Roman" w:eastAsia="黑体"/>
                <w:snapToGrid w:val="0"/>
                <w:color w:val="000000"/>
                <w:spacing w:val="-6"/>
                <w:kern w:val="21"/>
                <w:szCs w:val="21"/>
              </w:rPr>
              <w:fldChar w:fldCharType="end"/>
            </w:r>
          </w:p>
        </w:tc>
        <w:tc>
          <w:tcPr>
            <w:tcW w:w="1305" w:type="dxa"/>
            <w:tcBorders>
              <w:top w:val="single" w:color="auto" w:sz="12" w:space="0"/>
              <w:bottom w:val="single" w:color="auto" w:sz="4" w:space="0"/>
            </w:tcBorders>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现有工程</w:t>
            </w:r>
          </w:p>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许可排放量</w:t>
            </w:r>
          </w:p>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fldChar w:fldCharType="begin"/>
            </w:r>
            <w:r>
              <w:rPr>
                <w:rFonts w:ascii="Times New Roman" w:eastAsia="黑体"/>
                <w:snapToGrid w:val="0"/>
                <w:color w:val="000000"/>
                <w:spacing w:val="-6"/>
                <w:kern w:val="21"/>
                <w:szCs w:val="21"/>
              </w:rPr>
              <w:instrText xml:space="preserve"> = 2 \* GB3 \* MERGEFORMAT </w:instrText>
            </w:r>
            <w:r>
              <w:rPr>
                <w:rFonts w:ascii="Times New Roman" w:eastAsia="黑体"/>
                <w:snapToGrid w:val="0"/>
                <w:color w:val="000000"/>
                <w:spacing w:val="-6"/>
                <w:kern w:val="21"/>
                <w:szCs w:val="21"/>
              </w:rPr>
              <w:fldChar w:fldCharType="separate"/>
            </w:r>
            <w:r>
              <w:rPr>
                <w:rFonts w:ascii="Times New Roman" w:eastAsia="黑体"/>
                <w:snapToGrid w:val="0"/>
                <w:color w:val="000000"/>
                <w:spacing w:val="-6"/>
                <w:kern w:val="21"/>
                <w:szCs w:val="21"/>
              </w:rPr>
              <w:t>②</w:t>
            </w:r>
            <w:r>
              <w:rPr>
                <w:rFonts w:ascii="Times New Roman" w:eastAsia="黑体"/>
                <w:snapToGrid w:val="0"/>
                <w:color w:val="000000"/>
                <w:spacing w:val="-6"/>
                <w:kern w:val="21"/>
                <w:szCs w:val="21"/>
              </w:rPr>
              <w:fldChar w:fldCharType="end"/>
            </w:r>
          </w:p>
        </w:tc>
        <w:tc>
          <w:tcPr>
            <w:tcW w:w="1492" w:type="dxa"/>
            <w:tcBorders>
              <w:top w:val="single" w:color="auto" w:sz="12" w:space="0"/>
              <w:bottom w:val="single" w:color="auto" w:sz="4" w:space="0"/>
            </w:tcBorders>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在建工程</w:t>
            </w:r>
          </w:p>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排放量（固体废物产生量）</w:t>
            </w:r>
            <w:r>
              <w:rPr>
                <w:rFonts w:ascii="Times New Roman" w:eastAsia="黑体"/>
                <w:snapToGrid w:val="0"/>
                <w:color w:val="000000"/>
                <w:spacing w:val="-6"/>
                <w:kern w:val="21"/>
                <w:szCs w:val="21"/>
              </w:rPr>
              <w:fldChar w:fldCharType="begin"/>
            </w:r>
            <w:r>
              <w:rPr>
                <w:rFonts w:ascii="Times New Roman" w:eastAsia="黑体"/>
                <w:snapToGrid w:val="0"/>
                <w:color w:val="000000"/>
                <w:spacing w:val="-6"/>
                <w:kern w:val="21"/>
                <w:szCs w:val="21"/>
              </w:rPr>
              <w:instrText xml:space="preserve"> = 3 \* GB3 \* MERGEFORMAT </w:instrText>
            </w:r>
            <w:r>
              <w:rPr>
                <w:rFonts w:ascii="Times New Roman" w:eastAsia="黑体"/>
                <w:snapToGrid w:val="0"/>
                <w:color w:val="000000"/>
                <w:spacing w:val="-6"/>
                <w:kern w:val="21"/>
                <w:szCs w:val="21"/>
              </w:rPr>
              <w:fldChar w:fldCharType="separate"/>
            </w:r>
            <w:r>
              <w:rPr>
                <w:rFonts w:ascii="Times New Roman" w:eastAsia="黑体"/>
                <w:snapToGrid w:val="0"/>
                <w:color w:val="000000"/>
                <w:spacing w:val="-6"/>
                <w:kern w:val="21"/>
                <w:szCs w:val="21"/>
              </w:rPr>
              <w:t>③</w:t>
            </w:r>
            <w:r>
              <w:rPr>
                <w:rFonts w:ascii="Times New Roman" w:eastAsia="黑体"/>
                <w:snapToGrid w:val="0"/>
                <w:color w:val="000000"/>
                <w:spacing w:val="-6"/>
                <w:kern w:val="21"/>
                <w:szCs w:val="21"/>
              </w:rPr>
              <w:fldChar w:fldCharType="end"/>
            </w:r>
          </w:p>
        </w:tc>
        <w:tc>
          <w:tcPr>
            <w:tcW w:w="1549" w:type="dxa"/>
            <w:tcBorders>
              <w:top w:val="single" w:color="auto" w:sz="12" w:space="0"/>
              <w:bottom w:val="single" w:color="auto" w:sz="4" w:space="0"/>
            </w:tcBorders>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本项目</w:t>
            </w:r>
          </w:p>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排放量（固体废物产生量）</w:t>
            </w:r>
            <w:r>
              <w:rPr>
                <w:rFonts w:ascii="Times New Roman" w:eastAsia="黑体"/>
                <w:snapToGrid w:val="0"/>
                <w:color w:val="000000"/>
                <w:spacing w:val="-6"/>
                <w:kern w:val="21"/>
                <w:szCs w:val="21"/>
              </w:rPr>
              <w:fldChar w:fldCharType="begin"/>
            </w:r>
            <w:r>
              <w:rPr>
                <w:rFonts w:ascii="Times New Roman" w:eastAsia="黑体"/>
                <w:snapToGrid w:val="0"/>
                <w:color w:val="000000"/>
                <w:spacing w:val="-6"/>
                <w:kern w:val="21"/>
                <w:szCs w:val="21"/>
              </w:rPr>
              <w:instrText xml:space="preserve"> = 4 \* GB3 \* MERGEFORMAT </w:instrText>
            </w:r>
            <w:r>
              <w:rPr>
                <w:rFonts w:ascii="Times New Roman" w:eastAsia="黑体"/>
                <w:snapToGrid w:val="0"/>
                <w:color w:val="000000"/>
                <w:spacing w:val="-6"/>
                <w:kern w:val="21"/>
                <w:szCs w:val="21"/>
              </w:rPr>
              <w:fldChar w:fldCharType="separate"/>
            </w:r>
            <w:r>
              <w:rPr>
                <w:rFonts w:ascii="Times New Roman" w:eastAsia="黑体"/>
                <w:snapToGrid w:val="0"/>
                <w:color w:val="000000"/>
                <w:spacing w:val="-6"/>
                <w:kern w:val="21"/>
                <w:szCs w:val="21"/>
              </w:rPr>
              <w:t>④</w:t>
            </w:r>
            <w:r>
              <w:rPr>
                <w:rFonts w:ascii="Times New Roman" w:eastAsia="黑体"/>
                <w:snapToGrid w:val="0"/>
                <w:color w:val="000000"/>
                <w:spacing w:val="-6"/>
                <w:kern w:val="21"/>
                <w:szCs w:val="21"/>
              </w:rPr>
              <w:fldChar w:fldCharType="end"/>
            </w:r>
          </w:p>
        </w:tc>
        <w:tc>
          <w:tcPr>
            <w:tcW w:w="1615" w:type="dxa"/>
            <w:tcBorders>
              <w:top w:val="single" w:color="auto" w:sz="12" w:space="0"/>
              <w:bottom w:val="single" w:color="auto" w:sz="4" w:space="0"/>
            </w:tcBorders>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以新带老削减量</w:t>
            </w:r>
          </w:p>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（新建项目不填）</w:t>
            </w:r>
            <w:r>
              <w:rPr>
                <w:rFonts w:ascii="Times New Roman" w:eastAsia="黑体"/>
                <w:snapToGrid w:val="0"/>
                <w:color w:val="000000"/>
                <w:spacing w:val="-6"/>
                <w:kern w:val="21"/>
                <w:szCs w:val="21"/>
              </w:rPr>
              <w:fldChar w:fldCharType="begin"/>
            </w:r>
            <w:r>
              <w:rPr>
                <w:rFonts w:ascii="Times New Roman" w:eastAsia="黑体"/>
                <w:snapToGrid w:val="0"/>
                <w:color w:val="000000"/>
                <w:spacing w:val="-6"/>
                <w:kern w:val="21"/>
                <w:szCs w:val="21"/>
              </w:rPr>
              <w:instrText xml:space="preserve"> = 5 \* GB3 \* MERGEFORMAT </w:instrText>
            </w:r>
            <w:r>
              <w:rPr>
                <w:rFonts w:ascii="Times New Roman" w:eastAsia="黑体"/>
                <w:snapToGrid w:val="0"/>
                <w:color w:val="000000"/>
                <w:spacing w:val="-6"/>
                <w:kern w:val="21"/>
                <w:szCs w:val="21"/>
              </w:rPr>
              <w:fldChar w:fldCharType="separate"/>
            </w:r>
            <w:r>
              <w:rPr>
                <w:rFonts w:ascii="Times New Roman" w:eastAsia="黑体"/>
                <w:snapToGrid w:val="0"/>
                <w:color w:val="000000"/>
                <w:spacing w:val="-6"/>
                <w:kern w:val="21"/>
                <w:szCs w:val="21"/>
              </w:rPr>
              <w:t>⑤</w:t>
            </w:r>
            <w:r>
              <w:rPr>
                <w:rFonts w:ascii="Times New Roman" w:eastAsia="黑体"/>
                <w:snapToGrid w:val="0"/>
                <w:color w:val="000000"/>
                <w:spacing w:val="-6"/>
                <w:kern w:val="21"/>
                <w:szCs w:val="21"/>
              </w:rPr>
              <w:fldChar w:fldCharType="end"/>
            </w:r>
          </w:p>
        </w:tc>
        <w:tc>
          <w:tcPr>
            <w:tcW w:w="1857" w:type="dxa"/>
            <w:tcBorders>
              <w:top w:val="single" w:color="auto" w:sz="12" w:space="0"/>
              <w:bottom w:val="single" w:color="auto" w:sz="4" w:space="0"/>
            </w:tcBorders>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本项目建成后</w:t>
            </w:r>
          </w:p>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全厂排放量（固体废物产生量）</w:t>
            </w:r>
            <w:r>
              <w:rPr>
                <w:rFonts w:ascii="Times New Roman" w:eastAsia="黑体"/>
                <w:snapToGrid w:val="0"/>
                <w:color w:val="000000"/>
                <w:spacing w:val="-6"/>
                <w:kern w:val="21"/>
                <w:szCs w:val="21"/>
              </w:rPr>
              <w:fldChar w:fldCharType="begin"/>
            </w:r>
            <w:r>
              <w:rPr>
                <w:rFonts w:ascii="Times New Roman" w:eastAsia="黑体"/>
                <w:snapToGrid w:val="0"/>
                <w:color w:val="000000"/>
                <w:spacing w:val="-6"/>
                <w:kern w:val="21"/>
                <w:szCs w:val="21"/>
              </w:rPr>
              <w:instrText xml:space="preserve"> = 6 \* GB3 \* MERGEFORMAT </w:instrText>
            </w:r>
            <w:r>
              <w:rPr>
                <w:rFonts w:ascii="Times New Roman" w:eastAsia="黑体"/>
                <w:snapToGrid w:val="0"/>
                <w:color w:val="000000"/>
                <w:spacing w:val="-6"/>
                <w:kern w:val="21"/>
                <w:szCs w:val="21"/>
              </w:rPr>
              <w:fldChar w:fldCharType="separate"/>
            </w:r>
            <w:r>
              <w:rPr>
                <w:rFonts w:ascii="Times New Roman" w:eastAsia="黑体"/>
                <w:snapToGrid w:val="0"/>
                <w:color w:val="000000"/>
                <w:spacing w:val="-6"/>
                <w:kern w:val="21"/>
                <w:szCs w:val="21"/>
              </w:rPr>
              <w:t>⑥</w:t>
            </w:r>
            <w:r>
              <w:rPr>
                <w:rFonts w:ascii="Times New Roman" w:eastAsia="黑体"/>
                <w:snapToGrid w:val="0"/>
                <w:color w:val="000000"/>
                <w:spacing w:val="-6"/>
                <w:kern w:val="21"/>
                <w:szCs w:val="21"/>
              </w:rPr>
              <w:fldChar w:fldCharType="end"/>
            </w:r>
          </w:p>
        </w:tc>
        <w:tc>
          <w:tcPr>
            <w:tcW w:w="1467" w:type="dxa"/>
            <w:tcBorders>
              <w:top w:val="single" w:color="auto" w:sz="12" w:space="0"/>
              <w:bottom w:val="single" w:color="auto" w:sz="4" w:space="0"/>
              <w:right w:val="single" w:color="auto" w:sz="12" w:space="0"/>
            </w:tcBorders>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变化量</w:t>
            </w:r>
          </w:p>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fldChar w:fldCharType="begin"/>
            </w:r>
            <w:r>
              <w:rPr>
                <w:rFonts w:ascii="Times New Roman" w:eastAsia="黑体"/>
                <w:snapToGrid w:val="0"/>
                <w:color w:val="000000"/>
                <w:spacing w:val="-6"/>
                <w:kern w:val="21"/>
                <w:szCs w:val="21"/>
              </w:rPr>
              <w:instrText xml:space="preserve"> = 7 \* GB3 \* MERGEFORMAT </w:instrText>
            </w:r>
            <w:r>
              <w:rPr>
                <w:rFonts w:ascii="Times New Roman" w:eastAsia="黑体"/>
                <w:snapToGrid w:val="0"/>
                <w:color w:val="000000"/>
                <w:spacing w:val="-6"/>
                <w:kern w:val="21"/>
                <w:szCs w:val="21"/>
              </w:rPr>
              <w:fldChar w:fldCharType="separate"/>
            </w:r>
            <w:r>
              <w:rPr>
                <w:rFonts w:ascii="Times New Roman" w:eastAsia="黑体"/>
                <w:snapToGrid w:val="0"/>
                <w:color w:val="000000"/>
                <w:spacing w:val="-6"/>
                <w:kern w:val="21"/>
                <w:szCs w:val="21"/>
              </w:rPr>
              <w:t>⑦</w:t>
            </w:r>
            <w:r>
              <w:rPr>
                <w:rFonts w:ascii="Times New Roman" w:eastAsia="黑体"/>
                <w:snapToGrid w:val="0"/>
                <w:color w:val="000000"/>
                <w:spacing w:val="-6"/>
                <w:kern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restart"/>
            <w:tcBorders>
              <w:top w:val="single" w:color="auto" w:sz="4" w:space="0"/>
              <w:left w:val="single" w:color="auto" w:sz="12"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废气</w:t>
            </w:r>
          </w:p>
        </w:tc>
        <w:tc>
          <w:tcPr>
            <w:tcW w:w="1818"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颗粒物（kg/a</w:t>
            </w:r>
            <w:r>
              <w:rPr>
                <w:rFonts w:hint="eastAsia" w:ascii="Times New Roman" w:eastAsia="黑体"/>
                <w:snapToGrid w:val="0"/>
                <w:spacing w:val="-6"/>
                <w:kern w:val="21"/>
                <w:szCs w:val="21"/>
              </w:rPr>
              <w:t>，无组织</w:t>
            </w:r>
            <w:r>
              <w:rPr>
                <w:rFonts w:ascii="Times New Roman" w:eastAsia="黑体"/>
                <w:snapToGrid w:val="0"/>
                <w:spacing w:val="-6"/>
                <w:kern w:val="21"/>
                <w:szCs w:val="21"/>
              </w:rPr>
              <w:t>）</w:t>
            </w:r>
          </w:p>
        </w:tc>
        <w:tc>
          <w:tcPr>
            <w:tcW w:w="1739"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w:t>
            </w:r>
          </w:p>
        </w:tc>
        <w:tc>
          <w:tcPr>
            <w:tcW w:w="1549"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0.219</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857"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0.219</w:t>
            </w:r>
          </w:p>
        </w:tc>
        <w:tc>
          <w:tcPr>
            <w:tcW w:w="1467" w:type="dxa"/>
            <w:tcBorders>
              <w:top w:val="single" w:color="auto" w:sz="4" w:space="0"/>
              <w:bottom w:val="single" w:color="auto" w:sz="4" w:space="0"/>
              <w:right w:val="single" w:color="auto" w:sz="12"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+0.219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continue"/>
            <w:tcBorders>
              <w:left w:val="single" w:color="auto" w:sz="12" w:space="0"/>
            </w:tcBorders>
            <w:vAlign w:val="center"/>
          </w:tcPr>
          <w:p>
            <w:pPr>
              <w:pStyle w:val="51"/>
              <w:spacing w:beforeLines="0" w:afterLines="0" w:line="240" w:lineRule="auto"/>
              <w:rPr>
                <w:rFonts w:ascii="Times New Roman" w:eastAsia="黑体"/>
                <w:snapToGrid w:val="0"/>
                <w:color w:val="000000"/>
                <w:spacing w:val="-6"/>
                <w:kern w:val="21"/>
                <w:szCs w:val="21"/>
              </w:rPr>
            </w:pPr>
          </w:p>
        </w:tc>
        <w:tc>
          <w:tcPr>
            <w:tcW w:w="1818"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HCL及酸性气体</w:t>
            </w:r>
            <w:r>
              <w:rPr>
                <w:rFonts w:ascii="Times New Roman" w:eastAsia="黑体"/>
                <w:snapToGrid w:val="0"/>
                <w:spacing w:val="-6"/>
                <w:kern w:val="21"/>
                <w:szCs w:val="21"/>
              </w:rPr>
              <w:t>（kg/a）</w:t>
            </w:r>
          </w:p>
        </w:tc>
        <w:tc>
          <w:tcPr>
            <w:tcW w:w="1739"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49"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12.05</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857"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12.05</w:t>
            </w:r>
          </w:p>
        </w:tc>
        <w:tc>
          <w:tcPr>
            <w:tcW w:w="1467" w:type="dxa"/>
            <w:tcBorders>
              <w:top w:val="single" w:color="auto" w:sz="4" w:space="0"/>
              <w:bottom w:val="single" w:color="auto" w:sz="4" w:space="0"/>
              <w:right w:val="single" w:color="auto" w:sz="12"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+12.05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continue"/>
            <w:tcBorders>
              <w:left w:val="single" w:color="auto" w:sz="12" w:space="0"/>
            </w:tcBorders>
            <w:vAlign w:val="center"/>
          </w:tcPr>
          <w:p>
            <w:pPr>
              <w:pStyle w:val="51"/>
              <w:spacing w:beforeLines="0" w:afterLines="0" w:line="240" w:lineRule="auto"/>
              <w:rPr>
                <w:rFonts w:ascii="Times New Roman" w:eastAsia="黑体"/>
                <w:snapToGrid w:val="0"/>
                <w:color w:val="000000"/>
                <w:spacing w:val="-6"/>
                <w:kern w:val="21"/>
                <w:szCs w:val="21"/>
              </w:rPr>
            </w:pPr>
          </w:p>
        </w:tc>
        <w:tc>
          <w:tcPr>
            <w:tcW w:w="1818"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非甲烷总烃（kg/a）</w:t>
            </w:r>
          </w:p>
        </w:tc>
        <w:tc>
          <w:tcPr>
            <w:tcW w:w="1739"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w:t>
            </w:r>
          </w:p>
        </w:tc>
        <w:tc>
          <w:tcPr>
            <w:tcW w:w="1549"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29.4</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857"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29.4</w:t>
            </w:r>
          </w:p>
        </w:tc>
        <w:tc>
          <w:tcPr>
            <w:tcW w:w="1467" w:type="dxa"/>
            <w:tcBorders>
              <w:top w:val="single" w:color="auto" w:sz="4" w:space="0"/>
              <w:bottom w:val="single" w:color="auto" w:sz="4" w:space="0"/>
              <w:right w:val="single" w:color="auto" w:sz="12" w:space="0"/>
            </w:tcBorders>
            <w:vAlign w:val="center"/>
          </w:tcPr>
          <w:p>
            <w:pPr>
              <w:pStyle w:val="51"/>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+29.4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restart"/>
            <w:tcBorders>
              <w:top w:val="single" w:color="auto" w:sz="4" w:space="0"/>
              <w:left w:val="single" w:color="auto" w:sz="12"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废水</w:t>
            </w:r>
          </w:p>
        </w:tc>
        <w:tc>
          <w:tcPr>
            <w:tcW w:w="1818" w:type="dxa"/>
            <w:tcBorders>
              <w:top w:val="single" w:color="auto" w:sz="4" w:space="0"/>
              <w:bottom w:val="single" w:color="auto" w:sz="4" w:space="0"/>
            </w:tcBorders>
            <w:vAlign w:val="center"/>
          </w:tcPr>
          <w:p>
            <w:pPr>
              <w:jc w:val="center"/>
              <w:rPr>
                <w:rFonts w:eastAsia="黑体"/>
                <w:snapToGrid w:val="0"/>
                <w:color w:val="000000"/>
                <w:spacing w:val="-6"/>
                <w:kern w:val="21"/>
                <w:szCs w:val="21"/>
              </w:rPr>
            </w:pPr>
            <w:r>
              <w:rPr>
                <w:rFonts w:eastAsia="黑体"/>
                <w:snapToGrid w:val="0"/>
                <w:color w:val="000000"/>
                <w:spacing w:val="-6"/>
                <w:kern w:val="21"/>
                <w:szCs w:val="21"/>
              </w:rPr>
              <w:t>废水量（t/a）</w:t>
            </w:r>
          </w:p>
        </w:tc>
        <w:tc>
          <w:tcPr>
            <w:tcW w:w="173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54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686</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857"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686</w:t>
            </w:r>
          </w:p>
        </w:tc>
        <w:tc>
          <w:tcPr>
            <w:tcW w:w="1467"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+686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continue"/>
            <w:tcBorders>
              <w:left w:val="single" w:color="auto" w:sz="12" w:space="0"/>
            </w:tcBorders>
            <w:vAlign w:val="center"/>
          </w:tcPr>
          <w:p>
            <w:pPr>
              <w:pStyle w:val="51"/>
              <w:spacing w:beforeLines="0" w:afterLines="0" w:line="240" w:lineRule="auto"/>
              <w:jc w:val="right"/>
              <w:rPr>
                <w:rFonts w:ascii="Times New Roman" w:eastAsia="黑体"/>
                <w:snapToGrid w:val="0"/>
                <w:color w:val="000000"/>
                <w:spacing w:val="-6"/>
                <w:kern w:val="21"/>
                <w:szCs w:val="21"/>
              </w:rPr>
            </w:pPr>
          </w:p>
        </w:tc>
        <w:tc>
          <w:tcPr>
            <w:tcW w:w="1818" w:type="dxa"/>
            <w:tcBorders>
              <w:top w:val="single" w:color="auto" w:sz="4" w:space="0"/>
              <w:bottom w:val="single" w:color="auto" w:sz="4" w:space="0"/>
            </w:tcBorders>
            <w:vAlign w:val="center"/>
          </w:tcPr>
          <w:p>
            <w:pPr>
              <w:pStyle w:val="79"/>
              <w:rPr>
                <w:rFonts w:eastAsia="黑体"/>
                <w:snapToGrid w:val="0"/>
                <w:color w:val="000000"/>
                <w:spacing w:val="-6"/>
                <w:kern w:val="21"/>
              </w:rPr>
            </w:pPr>
            <w:r>
              <w:rPr>
                <w:rFonts w:eastAsia="黑体"/>
                <w:snapToGrid w:val="0"/>
                <w:color w:val="000000"/>
                <w:spacing w:val="-6"/>
                <w:kern w:val="21"/>
              </w:rPr>
              <w:t>COD（t/a）</w:t>
            </w:r>
          </w:p>
        </w:tc>
        <w:tc>
          <w:tcPr>
            <w:tcW w:w="173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54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0.158</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857"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0.158</w:t>
            </w:r>
          </w:p>
        </w:tc>
        <w:tc>
          <w:tcPr>
            <w:tcW w:w="1467"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color w:val="000000"/>
                <w:spacing w:val="-6"/>
                <w:kern w:val="21"/>
                <w:szCs w:val="21"/>
              </w:rPr>
            </w:pPr>
            <w:r>
              <w:rPr>
                <w:rFonts w:hint="eastAsia"/>
                <w:color w:val="000000"/>
                <w:kern w:val="0"/>
                <w:szCs w:val="21"/>
                <w:lang w:bidi="ar"/>
              </w:rPr>
              <w:t>+</w:t>
            </w:r>
            <w:r>
              <w:rPr>
                <w:color w:val="000000"/>
                <w:kern w:val="0"/>
                <w:szCs w:val="21"/>
                <w:lang w:bidi="ar"/>
              </w:rPr>
              <w:t>0.158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continue"/>
            <w:tcBorders>
              <w:left w:val="single" w:color="auto" w:sz="12" w:space="0"/>
            </w:tcBorders>
            <w:vAlign w:val="center"/>
          </w:tcPr>
          <w:p>
            <w:pPr>
              <w:pStyle w:val="51"/>
              <w:spacing w:beforeLines="0" w:afterLines="0" w:line="240" w:lineRule="auto"/>
              <w:jc w:val="right"/>
              <w:rPr>
                <w:rFonts w:ascii="Times New Roman" w:eastAsia="黑体"/>
                <w:snapToGrid w:val="0"/>
                <w:color w:val="000000"/>
                <w:spacing w:val="-6"/>
                <w:kern w:val="21"/>
                <w:szCs w:val="21"/>
              </w:rPr>
            </w:pPr>
          </w:p>
        </w:tc>
        <w:tc>
          <w:tcPr>
            <w:tcW w:w="1818" w:type="dxa"/>
            <w:tcBorders>
              <w:top w:val="single" w:color="auto" w:sz="4" w:space="0"/>
              <w:bottom w:val="single" w:color="auto" w:sz="4" w:space="0"/>
            </w:tcBorders>
            <w:vAlign w:val="center"/>
          </w:tcPr>
          <w:p>
            <w:pPr>
              <w:pStyle w:val="79"/>
              <w:rPr>
                <w:rFonts w:eastAsia="黑体"/>
                <w:snapToGrid w:val="0"/>
                <w:color w:val="000000"/>
                <w:spacing w:val="-6"/>
                <w:kern w:val="21"/>
              </w:rPr>
            </w:pPr>
            <w:r>
              <w:rPr>
                <w:rFonts w:eastAsia="黑体"/>
                <w:snapToGrid w:val="0"/>
                <w:color w:val="000000"/>
                <w:spacing w:val="-6"/>
                <w:kern w:val="21"/>
              </w:rPr>
              <w:t>BOD</w:t>
            </w:r>
            <w:r>
              <w:rPr>
                <w:rFonts w:eastAsia="黑体"/>
                <w:snapToGrid w:val="0"/>
                <w:color w:val="000000"/>
                <w:spacing w:val="-6"/>
                <w:kern w:val="21"/>
                <w:vertAlign w:val="subscript"/>
              </w:rPr>
              <w:t>5</w:t>
            </w:r>
            <w:r>
              <w:rPr>
                <w:rFonts w:eastAsia="黑体"/>
                <w:snapToGrid w:val="0"/>
                <w:color w:val="000000"/>
                <w:spacing w:val="-6"/>
                <w:kern w:val="21"/>
              </w:rPr>
              <w:t>（t/a）</w:t>
            </w:r>
          </w:p>
        </w:tc>
        <w:tc>
          <w:tcPr>
            <w:tcW w:w="173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54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0.074</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857"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0.074</w:t>
            </w:r>
          </w:p>
        </w:tc>
        <w:tc>
          <w:tcPr>
            <w:tcW w:w="1467"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color w:val="000000"/>
                <w:spacing w:val="-6"/>
                <w:kern w:val="21"/>
                <w:szCs w:val="21"/>
              </w:rPr>
            </w:pPr>
            <w:r>
              <w:rPr>
                <w:rFonts w:hint="eastAsia"/>
                <w:color w:val="000000"/>
                <w:kern w:val="0"/>
                <w:szCs w:val="21"/>
                <w:lang w:bidi="ar"/>
              </w:rPr>
              <w:t>+</w:t>
            </w:r>
            <w:r>
              <w:rPr>
                <w:color w:val="000000"/>
                <w:kern w:val="0"/>
                <w:szCs w:val="21"/>
                <w:lang w:bidi="ar"/>
              </w:rPr>
              <w:t>0.074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continue"/>
            <w:tcBorders>
              <w:left w:val="single" w:color="auto" w:sz="12" w:space="0"/>
            </w:tcBorders>
            <w:vAlign w:val="center"/>
          </w:tcPr>
          <w:p>
            <w:pPr>
              <w:pStyle w:val="51"/>
              <w:spacing w:beforeLines="0" w:afterLines="0" w:line="240" w:lineRule="auto"/>
              <w:jc w:val="right"/>
              <w:rPr>
                <w:rFonts w:ascii="Times New Roman" w:eastAsia="黑体"/>
                <w:snapToGrid w:val="0"/>
                <w:color w:val="000000"/>
                <w:spacing w:val="-6"/>
                <w:kern w:val="21"/>
                <w:szCs w:val="21"/>
              </w:rPr>
            </w:pPr>
          </w:p>
        </w:tc>
        <w:tc>
          <w:tcPr>
            <w:tcW w:w="1818" w:type="dxa"/>
            <w:tcBorders>
              <w:top w:val="single" w:color="auto" w:sz="4" w:space="0"/>
              <w:bottom w:val="single" w:color="auto" w:sz="4" w:space="0"/>
            </w:tcBorders>
            <w:vAlign w:val="center"/>
          </w:tcPr>
          <w:p>
            <w:pPr>
              <w:pStyle w:val="79"/>
              <w:rPr>
                <w:rFonts w:eastAsia="黑体"/>
                <w:snapToGrid w:val="0"/>
                <w:color w:val="000000"/>
                <w:spacing w:val="-6"/>
                <w:kern w:val="21"/>
              </w:rPr>
            </w:pPr>
            <w:r>
              <w:rPr>
                <w:rFonts w:eastAsia="黑体"/>
                <w:snapToGrid w:val="0"/>
                <w:color w:val="000000"/>
                <w:spacing w:val="-6"/>
                <w:kern w:val="21"/>
              </w:rPr>
              <w:t>SS（t/a）</w:t>
            </w:r>
          </w:p>
        </w:tc>
        <w:tc>
          <w:tcPr>
            <w:tcW w:w="173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54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0.101</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857"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0.101</w:t>
            </w:r>
          </w:p>
        </w:tc>
        <w:tc>
          <w:tcPr>
            <w:tcW w:w="1467"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color w:val="000000"/>
                <w:spacing w:val="-6"/>
                <w:kern w:val="21"/>
                <w:szCs w:val="21"/>
              </w:rPr>
            </w:pPr>
            <w:r>
              <w:rPr>
                <w:rFonts w:hint="eastAsia"/>
                <w:color w:val="000000"/>
                <w:kern w:val="0"/>
                <w:szCs w:val="21"/>
                <w:lang w:bidi="ar"/>
              </w:rPr>
              <w:t>+</w:t>
            </w:r>
            <w:r>
              <w:rPr>
                <w:color w:val="000000"/>
                <w:kern w:val="0"/>
                <w:szCs w:val="21"/>
                <w:lang w:bidi="ar"/>
              </w:rPr>
              <w:t>0.101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continue"/>
            <w:tcBorders>
              <w:left w:val="single" w:color="auto" w:sz="12" w:space="0"/>
            </w:tcBorders>
            <w:vAlign w:val="center"/>
          </w:tcPr>
          <w:p>
            <w:pPr>
              <w:pStyle w:val="51"/>
              <w:spacing w:beforeLines="0" w:afterLines="0" w:line="240" w:lineRule="auto"/>
              <w:jc w:val="right"/>
              <w:rPr>
                <w:rFonts w:ascii="Times New Roman" w:eastAsia="黑体"/>
                <w:snapToGrid w:val="0"/>
                <w:color w:val="000000"/>
                <w:spacing w:val="-6"/>
                <w:kern w:val="21"/>
                <w:szCs w:val="21"/>
              </w:rPr>
            </w:pPr>
          </w:p>
        </w:tc>
        <w:tc>
          <w:tcPr>
            <w:tcW w:w="1818" w:type="dxa"/>
            <w:tcBorders>
              <w:top w:val="single" w:color="auto" w:sz="4" w:space="0"/>
              <w:bottom w:val="single" w:color="auto" w:sz="4" w:space="0"/>
            </w:tcBorders>
            <w:vAlign w:val="center"/>
          </w:tcPr>
          <w:p>
            <w:pPr>
              <w:pStyle w:val="79"/>
              <w:rPr>
                <w:rFonts w:eastAsia="黑体"/>
                <w:snapToGrid w:val="0"/>
                <w:color w:val="000000"/>
                <w:spacing w:val="-6"/>
                <w:kern w:val="21"/>
              </w:rPr>
            </w:pPr>
            <w:r>
              <w:rPr>
                <w:rFonts w:eastAsia="黑体"/>
                <w:snapToGrid w:val="0"/>
                <w:color w:val="000000"/>
                <w:spacing w:val="-6"/>
                <w:kern w:val="21"/>
              </w:rPr>
              <w:t>NH</w:t>
            </w:r>
            <w:r>
              <w:rPr>
                <w:rFonts w:eastAsia="黑体"/>
                <w:snapToGrid w:val="0"/>
                <w:color w:val="000000"/>
                <w:spacing w:val="-6"/>
                <w:kern w:val="21"/>
                <w:vertAlign w:val="subscript"/>
              </w:rPr>
              <w:t>3</w:t>
            </w:r>
            <w:r>
              <w:rPr>
                <w:rFonts w:eastAsia="黑体"/>
                <w:snapToGrid w:val="0"/>
                <w:color w:val="000000"/>
                <w:spacing w:val="-6"/>
                <w:kern w:val="21"/>
              </w:rPr>
              <w:t>-N（t/a）</w:t>
            </w:r>
          </w:p>
        </w:tc>
        <w:tc>
          <w:tcPr>
            <w:tcW w:w="173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54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0.017</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857"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0.017</w:t>
            </w:r>
          </w:p>
        </w:tc>
        <w:tc>
          <w:tcPr>
            <w:tcW w:w="1467"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color w:val="000000"/>
                <w:spacing w:val="-6"/>
                <w:kern w:val="21"/>
                <w:szCs w:val="21"/>
              </w:rPr>
            </w:pPr>
            <w:r>
              <w:rPr>
                <w:rFonts w:hint="eastAsia"/>
                <w:color w:val="000000"/>
                <w:kern w:val="0"/>
                <w:szCs w:val="21"/>
                <w:lang w:bidi="ar"/>
              </w:rPr>
              <w:t>+</w:t>
            </w:r>
            <w:r>
              <w:rPr>
                <w:color w:val="000000"/>
                <w:kern w:val="0"/>
                <w:szCs w:val="21"/>
                <w:lang w:bidi="ar"/>
              </w:rPr>
              <w:t>0.017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continue"/>
            <w:tcBorders>
              <w:left w:val="single" w:color="auto" w:sz="12" w:space="0"/>
            </w:tcBorders>
            <w:vAlign w:val="center"/>
          </w:tcPr>
          <w:p>
            <w:pPr>
              <w:pStyle w:val="51"/>
              <w:spacing w:beforeLines="0" w:afterLines="0" w:line="240" w:lineRule="auto"/>
              <w:jc w:val="right"/>
              <w:rPr>
                <w:rFonts w:ascii="Times New Roman" w:eastAsia="黑体"/>
                <w:snapToGrid w:val="0"/>
                <w:color w:val="000000"/>
                <w:spacing w:val="-6"/>
                <w:kern w:val="21"/>
                <w:szCs w:val="21"/>
              </w:rPr>
            </w:pPr>
          </w:p>
        </w:tc>
        <w:tc>
          <w:tcPr>
            <w:tcW w:w="1818" w:type="dxa"/>
            <w:tcBorders>
              <w:top w:val="single" w:color="auto" w:sz="4" w:space="0"/>
              <w:bottom w:val="single" w:color="auto" w:sz="4" w:space="0"/>
            </w:tcBorders>
            <w:vAlign w:val="center"/>
          </w:tcPr>
          <w:p>
            <w:pPr>
              <w:pStyle w:val="79"/>
              <w:rPr>
                <w:rFonts w:eastAsia="黑体"/>
                <w:snapToGrid w:val="0"/>
                <w:color w:val="000000"/>
                <w:spacing w:val="-6"/>
                <w:kern w:val="21"/>
              </w:rPr>
            </w:pPr>
            <w:r>
              <w:rPr>
                <w:rFonts w:eastAsia="黑体"/>
                <w:snapToGrid w:val="0"/>
                <w:color w:val="000000"/>
                <w:spacing w:val="-6"/>
                <w:kern w:val="21"/>
              </w:rPr>
              <w:t>TP（t/a）</w:t>
            </w:r>
          </w:p>
        </w:tc>
        <w:tc>
          <w:tcPr>
            <w:tcW w:w="173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54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0.001</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857"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0.001</w:t>
            </w:r>
          </w:p>
        </w:tc>
        <w:tc>
          <w:tcPr>
            <w:tcW w:w="1467"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color w:val="000000"/>
                <w:spacing w:val="-6"/>
                <w:kern w:val="21"/>
                <w:szCs w:val="21"/>
              </w:rPr>
            </w:pPr>
            <w:r>
              <w:rPr>
                <w:rFonts w:hint="eastAsia"/>
                <w:color w:val="000000"/>
                <w:kern w:val="0"/>
                <w:szCs w:val="21"/>
                <w:lang w:bidi="ar"/>
              </w:rPr>
              <w:t>+</w:t>
            </w:r>
            <w:r>
              <w:rPr>
                <w:color w:val="000000"/>
                <w:kern w:val="0"/>
                <w:szCs w:val="21"/>
                <w:lang w:bidi="ar"/>
              </w:rPr>
              <w:t>0.001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254" w:type="dxa"/>
            <w:vMerge w:val="continue"/>
            <w:tcBorders>
              <w:left w:val="single" w:color="auto" w:sz="12" w:space="0"/>
            </w:tcBorders>
            <w:vAlign w:val="center"/>
          </w:tcPr>
          <w:p>
            <w:pPr>
              <w:pStyle w:val="51"/>
              <w:spacing w:beforeLines="0" w:afterLines="0" w:line="240" w:lineRule="auto"/>
              <w:jc w:val="right"/>
              <w:rPr>
                <w:rFonts w:ascii="Times New Roman" w:eastAsia="黑体"/>
                <w:snapToGrid w:val="0"/>
                <w:color w:val="000000"/>
                <w:spacing w:val="-6"/>
                <w:kern w:val="21"/>
                <w:szCs w:val="21"/>
              </w:rPr>
            </w:pPr>
          </w:p>
        </w:tc>
        <w:tc>
          <w:tcPr>
            <w:tcW w:w="1818" w:type="dxa"/>
            <w:tcBorders>
              <w:top w:val="single" w:color="auto" w:sz="4" w:space="0"/>
              <w:bottom w:val="single" w:color="auto" w:sz="4" w:space="0"/>
            </w:tcBorders>
            <w:vAlign w:val="center"/>
          </w:tcPr>
          <w:p>
            <w:pPr>
              <w:pStyle w:val="79"/>
              <w:rPr>
                <w:rFonts w:eastAsia="黑体"/>
                <w:snapToGrid w:val="0"/>
                <w:color w:val="000000"/>
                <w:spacing w:val="-6"/>
                <w:kern w:val="21"/>
              </w:rPr>
            </w:pPr>
            <w:r>
              <w:rPr>
                <w:rFonts w:eastAsia="黑体"/>
                <w:snapToGrid w:val="0"/>
                <w:color w:val="000000"/>
                <w:spacing w:val="-6"/>
                <w:kern w:val="21"/>
              </w:rPr>
              <w:t>TN（t/a）</w:t>
            </w:r>
          </w:p>
        </w:tc>
        <w:tc>
          <w:tcPr>
            <w:tcW w:w="173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rFonts w:hint="eastAsia" w:eastAsia="黑体"/>
                <w:snapToGrid w:val="0"/>
                <w:color w:val="00000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549"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0.016</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857" w:type="dxa"/>
            <w:tcBorders>
              <w:top w:val="single" w:color="auto" w:sz="4" w:space="0"/>
              <w:bottom w:val="single" w:color="auto" w:sz="4" w:space="0"/>
            </w:tcBorders>
            <w:vAlign w:val="center"/>
          </w:tcPr>
          <w:p>
            <w:pPr>
              <w:widowControl/>
              <w:jc w:val="center"/>
              <w:textAlignment w:val="center"/>
              <w:rPr>
                <w:rFonts w:eastAsia="黑体"/>
                <w:snapToGrid w:val="0"/>
                <w:color w:val="000000"/>
                <w:spacing w:val="-6"/>
                <w:kern w:val="21"/>
                <w:szCs w:val="21"/>
              </w:rPr>
            </w:pPr>
            <w:r>
              <w:rPr>
                <w:color w:val="000000"/>
                <w:kern w:val="0"/>
                <w:szCs w:val="21"/>
                <w:lang w:bidi="ar"/>
              </w:rPr>
              <w:t>0.016</w:t>
            </w:r>
          </w:p>
        </w:tc>
        <w:tc>
          <w:tcPr>
            <w:tcW w:w="1467"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color w:val="000000"/>
                <w:spacing w:val="-6"/>
                <w:kern w:val="21"/>
                <w:szCs w:val="21"/>
              </w:rPr>
            </w:pPr>
            <w:r>
              <w:rPr>
                <w:rFonts w:hint="eastAsia"/>
                <w:color w:val="000000"/>
                <w:kern w:val="0"/>
                <w:szCs w:val="21"/>
                <w:lang w:bidi="ar"/>
              </w:rPr>
              <w:t>+</w:t>
            </w:r>
            <w:r>
              <w:rPr>
                <w:color w:val="000000"/>
                <w:kern w:val="0"/>
                <w:szCs w:val="21"/>
                <w:lang w:bidi="ar"/>
              </w:rPr>
              <w:t>0.016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3072" w:type="dxa"/>
            <w:gridSpan w:val="2"/>
            <w:tcBorders>
              <w:top w:val="single" w:color="auto" w:sz="4" w:space="0"/>
              <w:left w:val="single" w:color="auto" w:sz="12"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一般工业固体废物（t/a）</w:t>
            </w:r>
          </w:p>
        </w:tc>
        <w:tc>
          <w:tcPr>
            <w:tcW w:w="1739"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30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492"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549" w:type="dxa"/>
            <w:tcBorders>
              <w:top w:val="single" w:color="auto" w:sz="4" w:space="0"/>
              <w:bottom w:val="single" w:color="auto" w:sz="4" w:space="0"/>
            </w:tcBorders>
            <w:vAlign w:val="center"/>
          </w:tcPr>
          <w:p>
            <w:pPr>
              <w:pStyle w:val="51"/>
              <w:spacing w:beforeLines="0" w:afterLines="0" w:line="240" w:lineRule="auto"/>
              <w:rPr>
                <w:rFonts w:hint="eastAsia" w:ascii="Times New Roman" w:eastAsia="黑体"/>
                <w:snapToGrid w:val="0"/>
                <w:color w:val="000000"/>
                <w:spacing w:val="-6"/>
                <w:kern w:val="21"/>
                <w:szCs w:val="21"/>
                <w:lang w:eastAsia="zh-CN"/>
              </w:rPr>
            </w:pPr>
            <w:r>
              <w:rPr>
                <w:rFonts w:hint="eastAsia" w:ascii="Times New Roman" w:eastAsia="黑体"/>
                <w:snapToGrid w:val="0"/>
                <w:color w:val="000000"/>
                <w:spacing w:val="-6"/>
                <w:kern w:val="21"/>
                <w:szCs w:val="21"/>
              </w:rPr>
              <w:t>0.0</w:t>
            </w:r>
            <w:r>
              <w:rPr>
                <w:rFonts w:hint="eastAsia" w:ascii="Times New Roman" w:eastAsia="黑体"/>
                <w:snapToGrid w:val="0"/>
                <w:color w:val="000000"/>
                <w:spacing w:val="-6"/>
                <w:kern w:val="21"/>
                <w:szCs w:val="21"/>
                <w:lang w:val="en-US" w:eastAsia="zh-CN"/>
              </w:rPr>
              <w:t>6</w:t>
            </w:r>
          </w:p>
        </w:tc>
        <w:tc>
          <w:tcPr>
            <w:tcW w:w="1615" w:type="dxa"/>
            <w:tcBorders>
              <w:top w:val="single" w:color="auto" w:sz="4" w:space="0"/>
              <w:bottom w:val="single" w:color="auto" w:sz="4"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857" w:type="dxa"/>
            <w:tcBorders>
              <w:top w:val="single" w:color="auto" w:sz="4" w:space="0"/>
              <w:bottom w:val="single" w:color="auto" w:sz="4" w:space="0"/>
            </w:tcBorders>
            <w:vAlign w:val="center"/>
          </w:tcPr>
          <w:p>
            <w:pPr>
              <w:pStyle w:val="51"/>
              <w:spacing w:beforeLines="0" w:afterLines="0" w:line="240" w:lineRule="auto"/>
              <w:rPr>
                <w:rFonts w:hint="eastAsia" w:ascii="Times New Roman" w:eastAsia="黑体"/>
                <w:snapToGrid w:val="0"/>
                <w:color w:val="000000"/>
                <w:spacing w:val="-6"/>
                <w:kern w:val="21"/>
                <w:szCs w:val="21"/>
                <w:lang w:eastAsia="zh-CN"/>
              </w:rPr>
            </w:pPr>
            <w:r>
              <w:rPr>
                <w:rFonts w:hint="eastAsia" w:ascii="Times New Roman" w:eastAsia="黑体"/>
                <w:snapToGrid w:val="0"/>
                <w:color w:val="000000"/>
                <w:spacing w:val="-6"/>
                <w:kern w:val="21"/>
                <w:szCs w:val="21"/>
              </w:rPr>
              <w:t>0.0</w:t>
            </w:r>
            <w:r>
              <w:rPr>
                <w:rFonts w:hint="eastAsia" w:ascii="Times New Roman" w:eastAsia="黑体"/>
                <w:snapToGrid w:val="0"/>
                <w:color w:val="000000"/>
                <w:spacing w:val="-6"/>
                <w:kern w:val="21"/>
                <w:szCs w:val="21"/>
                <w:lang w:val="en-US" w:eastAsia="zh-CN"/>
              </w:rPr>
              <w:t>6</w:t>
            </w:r>
          </w:p>
        </w:tc>
        <w:tc>
          <w:tcPr>
            <w:tcW w:w="1467" w:type="dxa"/>
            <w:tcBorders>
              <w:top w:val="single" w:color="auto" w:sz="4" w:space="0"/>
              <w:bottom w:val="single" w:color="auto" w:sz="4" w:space="0"/>
              <w:right w:val="single" w:color="auto" w:sz="12" w:space="0"/>
            </w:tcBorders>
            <w:vAlign w:val="center"/>
          </w:tcPr>
          <w:p>
            <w:pPr>
              <w:pStyle w:val="51"/>
              <w:spacing w:beforeLines="0" w:afterLines="0" w:line="240" w:lineRule="auto"/>
              <w:rPr>
                <w:rFonts w:hint="eastAsia" w:ascii="Times New Roman" w:eastAsia="黑体"/>
                <w:snapToGrid w:val="0"/>
                <w:color w:val="000000"/>
                <w:spacing w:val="-6"/>
                <w:kern w:val="21"/>
                <w:szCs w:val="21"/>
                <w:lang w:eastAsia="zh-CN"/>
              </w:rPr>
            </w:pPr>
            <w:r>
              <w:rPr>
                <w:rFonts w:hint="eastAsia" w:ascii="Times New Roman" w:eastAsia="黑体"/>
                <w:snapToGrid w:val="0"/>
                <w:color w:val="000000"/>
                <w:spacing w:val="-6"/>
                <w:kern w:val="21"/>
                <w:szCs w:val="21"/>
              </w:rPr>
              <w:t>+0.0</w:t>
            </w:r>
            <w:r>
              <w:rPr>
                <w:rFonts w:hint="eastAsia" w:ascii="Times New Roman" w:eastAsia="黑体"/>
                <w:snapToGrid w:val="0"/>
                <w:color w:val="000000"/>
                <w:spacing w:val="-6"/>
                <w:kern w:val="21"/>
                <w:szCs w:val="21"/>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072" w:type="dxa"/>
            <w:gridSpan w:val="2"/>
            <w:tcBorders>
              <w:top w:val="single" w:color="auto" w:sz="4" w:space="0"/>
              <w:left w:val="single" w:color="auto" w:sz="12" w:space="0"/>
              <w:bottom w:val="single" w:color="auto" w:sz="12"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危险废物（t/a）</w:t>
            </w:r>
          </w:p>
        </w:tc>
        <w:tc>
          <w:tcPr>
            <w:tcW w:w="1739" w:type="dxa"/>
            <w:tcBorders>
              <w:top w:val="single" w:color="auto" w:sz="4" w:space="0"/>
              <w:bottom w:val="single" w:color="auto" w:sz="12"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Times New Roman" w:eastAsia="黑体"/>
                <w:snapToGrid w:val="0"/>
                <w:color w:val="000000"/>
                <w:spacing w:val="-6"/>
                <w:kern w:val="21"/>
                <w:szCs w:val="21"/>
              </w:rPr>
              <w:t>/</w:t>
            </w:r>
          </w:p>
        </w:tc>
        <w:tc>
          <w:tcPr>
            <w:tcW w:w="1305" w:type="dxa"/>
            <w:tcBorders>
              <w:top w:val="single" w:color="auto" w:sz="4" w:space="0"/>
              <w:bottom w:val="single" w:color="auto" w:sz="12"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492" w:type="dxa"/>
            <w:tcBorders>
              <w:top w:val="single" w:color="auto" w:sz="4" w:space="0"/>
              <w:bottom w:val="single" w:color="auto" w:sz="12" w:space="0"/>
            </w:tcBorders>
            <w:vAlign w:val="center"/>
          </w:tcPr>
          <w:p>
            <w:pPr>
              <w:pStyle w:val="51"/>
              <w:spacing w:beforeLines="0" w:afterLines="0" w:line="240" w:lineRule="auto"/>
              <w:rPr>
                <w:rFonts w:ascii="Times New Roman" w:eastAsia="黑体"/>
                <w:snapToGrid w:val="0"/>
                <w:color w:val="000000"/>
                <w:spacing w:val="-6"/>
                <w:kern w:val="21"/>
                <w:szCs w:val="21"/>
              </w:rPr>
            </w:pPr>
            <w:r>
              <w:rPr>
                <w:rFonts w:ascii="Times New Roman" w:eastAsia="黑体"/>
                <w:snapToGrid w:val="0"/>
                <w:color w:val="000000"/>
                <w:spacing w:val="-6"/>
                <w:kern w:val="21"/>
                <w:szCs w:val="21"/>
              </w:rPr>
              <w:t>/</w:t>
            </w:r>
          </w:p>
        </w:tc>
        <w:tc>
          <w:tcPr>
            <w:tcW w:w="1549" w:type="dxa"/>
            <w:tcBorders>
              <w:top w:val="single" w:color="auto" w:sz="4" w:space="0"/>
              <w:bottom w:val="single" w:color="auto" w:sz="12" w:space="0"/>
            </w:tcBorders>
            <w:vAlign w:val="center"/>
          </w:tcPr>
          <w:p>
            <w:pPr>
              <w:pStyle w:val="51"/>
              <w:spacing w:beforeLines="0" w:afterLines="0" w:line="240" w:lineRule="auto"/>
              <w:rPr>
                <w:rFonts w:hint="eastAsia" w:ascii="Times New Roman" w:eastAsia="黑体"/>
                <w:snapToGrid w:val="0"/>
                <w:color w:val="C00000"/>
                <w:spacing w:val="-6"/>
                <w:kern w:val="21"/>
                <w:szCs w:val="21"/>
                <w:lang w:eastAsia="zh-CN"/>
              </w:rPr>
            </w:pPr>
            <w:r>
              <w:rPr>
                <w:rFonts w:hint="eastAsia" w:ascii="Times New Roman" w:eastAsia="黑体"/>
                <w:snapToGrid w:val="0"/>
                <w:color w:val="C00000"/>
                <w:spacing w:val="-6"/>
                <w:kern w:val="21"/>
                <w:szCs w:val="21"/>
              </w:rPr>
              <w:t>7.</w:t>
            </w:r>
            <w:r>
              <w:rPr>
                <w:rFonts w:hint="eastAsia" w:ascii="Times New Roman" w:eastAsia="黑体"/>
                <w:snapToGrid w:val="0"/>
                <w:color w:val="C00000"/>
                <w:spacing w:val="-6"/>
                <w:kern w:val="21"/>
                <w:szCs w:val="21"/>
                <w:lang w:val="en-US" w:eastAsia="zh-CN"/>
              </w:rPr>
              <w:t>7</w:t>
            </w:r>
          </w:p>
        </w:tc>
        <w:tc>
          <w:tcPr>
            <w:tcW w:w="1615" w:type="dxa"/>
            <w:tcBorders>
              <w:top w:val="single" w:color="auto" w:sz="4" w:space="0"/>
              <w:bottom w:val="single" w:color="auto" w:sz="12" w:space="0"/>
            </w:tcBorders>
            <w:vAlign w:val="center"/>
          </w:tcPr>
          <w:p>
            <w:pPr>
              <w:pStyle w:val="51"/>
              <w:spacing w:beforeLines="0" w:afterLines="0" w:line="240" w:lineRule="auto"/>
              <w:rPr>
                <w:rFonts w:ascii="Times New Roman" w:eastAsia="黑体"/>
                <w:snapToGrid w:val="0"/>
                <w:color w:val="C00000"/>
                <w:spacing w:val="-6"/>
                <w:kern w:val="21"/>
                <w:szCs w:val="21"/>
              </w:rPr>
            </w:pPr>
            <w:r>
              <w:rPr>
                <w:rFonts w:hint="eastAsia" w:ascii="Times New Roman" w:eastAsia="黑体"/>
                <w:snapToGrid w:val="0"/>
                <w:color w:val="C00000"/>
                <w:spacing w:val="-6"/>
                <w:kern w:val="21"/>
                <w:szCs w:val="21"/>
              </w:rPr>
              <w:t>/</w:t>
            </w:r>
          </w:p>
        </w:tc>
        <w:tc>
          <w:tcPr>
            <w:tcW w:w="1857" w:type="dxa"/>
            <w:tcBorders>
              <w:top w:val="single" w:color="auto" w:sz="4" w:space="0"/>
              <w:bottom w:val="single" w:color="auto" w:sz="12" w:space="0"/>
            </w:tcBorders>
            <w:vAlign w:val="center"/>
          </w:tcPr>
          <w:p>
            <w:pPr>
              <w:pStyle w:val="51"/>
              <w:spacing w:beforeLines="0" w:afterLines="0" w:line="240" w:lineRule="auto"/>
              <w:rPr>
                <w:rFonts w:hint="eastAsia" w:ascii="Times New Roman" w:eastAsia="黑体"/>
                <w:snapToGrid w:val="0"/>
                <w:color w:val="C00000"/>
                <w:spacing w:val="-6"/>
                <w:kern w:val="21"/>
                <w:szCs w:val="21"/>
                <w:lang w:eastAsia="zh-CN"/>
              </w:rPr>
            </w:pPr>
            <w:r>
              <w:rPr>
                <w:rFonts w:hint="eastAsia" w:ascii="Times New Roman" w:eastAsia="黑体"/>
                <w:snapToGrid w:val="0"/>
                <w:color w:val="C00000"/>
                <w:spacing w:val="-6"/>
                <w:kern w:val="21"/>
                <w:szCs w:val="21"/>
              </w:rPr>
              <w:t>7.</w:t>
            </w:r>
            <w:r>
              <w:rPr>
                <w:rFonts w:hint="eastAsia" w:ascii="Times New Roman" w:eastAsia="黑体"/>
                <w:snapToGrid w:val="0"/>
                <w:color w:val="C00000"/>
                <w:spacing w:val="-6"/>
                <w:kern w:val="21"/>
                <w:szCs w:val="21"/>
                <w:lang w:val="en-US" w:eastAsia="zh-CN"/>
              </w:rPr>
              <w:t>7</w:t>
            </w:r>
          </w:p>
        </w:tc>
        <w:tc>
          <w:tcPr>
            <w:tcW w:w="1467" w:type="dxa"/>
            <w:tcBorders>
              <w:top w:val="single" w:color="auto" w:sz="4" w:space="0"/>
              <w:bottom w:val="single" w:color="auto" w:sz="12" w:space="0"/>
              <w:right w:val="single" w:color="auto" w:sz="12" w:space="0"/>
            </w:tcBorders>
            <w:vAlign w:val="center"/>
          </w:tcPr>
          <w:p>
            <w:pPr>
              <w:pStyle w:val="51"/>
              <w:spacing w:beforeLines="0" w:afterLines="0" w:line="240" w:lineRule="auto"/>
              <w:rPr>
                <w:rFonts w:hint="eastAsia" w:ascii="Times New Roman" w:eastAsia="黑体"/>
                <w:snapToGrid w:val="0"/>
                <w:color w:val="C00000"/>
                <w:spacing w:val="-6"/>
                <w:kern w:val="21"/>
                <w:szCs w:val="21"/>
                <w:lang w:eastAsia="zh-CN"/>
              </w:rPr>
            </w:pPr>
            <w:r>
              <w:rPr>
                <w:rFonts w:hint="eastAsia" w:ascii="Times New Roman" w:eastAsia="黑体"/>
                <w:snapToGrid w:val="0"/>
                <w:color w:val="C00000"/>
                <w:spacing w:val="-6"/>
                <w:kern w:val="21"/>
                <w:szCs w:val="21"/>
              </w:rPr>
              <w:t>+7.</w:t>
            </w:r>
            <w:r>
              <w:rPr>
                <w:rFonts w:hint="eastAsia" w:ascii="Times New Roman" w:eastAsia="黑体"/>
                <w:snapToGrid w:val="0"/>
                <w:color w:val="C00000"/>
                <w:spacing w:val="-6"/>
                <w:kern w:val="21"/>
                <w:szCs w:val="21"/>
                <w:lang w:val="en-US" w:eastAsia="zh-CN"/>
              </w:rPr>
              <w:t>7</w:t>
            </w:r>
          </w:p>
        </w:tc>
      </w:tr>
    </w:tbl>
    <w:p>
      <w:pPr>
        <w:pStyle w:val="51"/>
        <w:spacing w:before="192" w:beforeLines="80" w:after="24"/>
        <w:jc w:val="left"/>
        <w:rPr>
          <w:rFonts w:ascii="Times New Roman" w:eastAsia="黑体"/>
          <w:color w:val="000000"/>
        </w:rPr>
      </w:pPr>
      <w:r>
        <w:rPr>
          <w:rFonts w:ascii="Times New Roman"/>
          <w:snapToGrid w:val="0"/>
          <w:color w:val="000000"/>
          <w:kern w:val="21"/>
          <w:szCs w:val="21"/>
        </w:rPr>
        <w:t>注：</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ascii="Times New Roman"/>
          <w:color w:val="000000"/>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ascii="Times New Roman"/>
          <w:color w:val="000000"/>
          <w:szCs w:val="21"/>
        </w:rPr>
        <w:t>①</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3 \* GB3 \* MERGEFORMAT </w:instrText>
      </w:r>
      <w:r>
        <w:rPr>
          <w:rFonts w:ascii="Times New Roman"/>
          <w:snapToGrid w:val="0"/>
          <w:color w:val="000000"/>
          <w:spacing w:val="-6"/>
          <w:kern w:val="21"/>
          <w:szCs w:val="21"/>
        </w:rPr>
        <w:fldChar w:fldCharType="separate"/>
      </w:r>
      <w:r>
        <w:rPr>
          <w:rFonts w:ascii="Times New Roman"/>
          <w:color w:val="000000"/>
          <w:szCs w:val="21"/>
        </w:rPr>
        <w:t>③</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4 \* GB3 \* MERGEFORMAT </w:instrText>
      </w:r>
      <w:r>
        <w:rPr>
          <w:rFonts w:ascii="Times New Roman"/>
          <w:snapToGrid w:val="0"/>
          <w:color w:val="000000"/>
          <w:spacing w:val="-6"/>
          <w:kern w:val="21"/>
          <w:szCs w:val="21"/>
        </w:rPr>
        <w:fldChar w:fldCharType="separate"/>
      </w:r>
      <w:r>
        <w:rPr>
          <w:rFonts w:ascii="Times New Roman"/>
          <w:color w:val="000000"/>
          <w:szCs w:val="21"/>
        </w:rPr>
        <w:t>④</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5 \* GB3 \* MERGEFORMAT </w:instrText>
      </w:r>
      <w:r>
        <w:rPr>
          <w:rFonts w:ascii="Times New Roman"/>
          <w:snapToGrid w:val="0"/>
          <w:color w:val="000000"/>
          <w:spacing w:val="-16"/>
          <w:kern w:val="21"/>
          <w:szCs w:val="21"/>
        </w:rPr>
        <w:fldChar w:fldCharType="separate"/>
      </w:r>
      <w:r>
        <w:rPr>
          <w:rFonts w:ascii="Times New Roman"/>
          <w:color w:val="000000"/>
          <w:szCs w:val="21"/>
        </w:rPr>
        <w:t>⑤</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7 \* GB3 \* MERGEFORMAT </w:instrText>
      </w:r>
      <w:r>
        <w:rPr>
          <w:rFonts w:ascii="Times New Roman"/>
          <w:snapToGrid w:val="0"/>
          <w:color w:val="000000"/>
          <w:spacing w:val="-6"/>
          <w:kern w:val="21"/>
          <w:szCs w:val="21"/>
        </w:rPr>
        <w:fldChar w:fldCharType="separate"/>
      </w:r>
      <w:r>
        <w:rPr>
          <w:rFonts w:ascii="Times New Roman"/>
          <w:color w:val="000000"/>
          <w:szCs w:val="21"/>
        </w:rPr>
        <w:t>⑦</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ascii="Times New Roman"/>
          <w:color w:val="000000"/>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ascii="Times New Roman"/>
          <w:color w:val="000000"/>
          <w:szCs w:val="21"/>
        </w:rPr>
        <w:t>①</w:t>
      </w:r>
      <w:r>
        <w:rPr>
          <w:rFonts w:ascii="Times New Roman"/>
          <w:snapToGrid w:val="0"/>
          <w:color w:val="000000"/>
          <w:spacing w:val="-6"/>
          <w:kern w:val="21"/>
          <w:szCs w:val="21"/>
        </w:rPr>
        <w:fldChar w:fldCharType="end"/>
      </w:r>
    </w:p>
    <w:sectPr>
      <w:footerReference r:id="rId7" w:type="default"/>
      <w:pgSz w:w="16838" w:h="11906" w:orient="landscape"/>
      <w:pgMar w:top="1418" w:right="1418" w:bottom="1418" w:left="1418"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Arial Unicode MS"/>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Helvetica">
    <w:altName w:val="Arial"/>
    <w:panose1 w:val="020B0604020202020204"/>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end"/>
    </w:r>
  </w:p>
  <w:p>
    <w:pPr>
      <w:pStyle w:val="1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outside" w:y="1"/>
      <w:rPr>
        <w:rStyle w:val="27"/>
        <w:rFonts w:ascii="宋体" w:hAnsi="宋体"/>
        <w:sz w:val="28"/>
        <w:szCs w:val="28"/>
      </w:rPr>
    </w:pPr>
    <w:r>
      <w:rPr>
        <w:rStyle w:val="27"/>
        <w:rFonts w:hint="eastAsia" w:ascii="宋体" w:hAnsi="宋体"/>
        <w:sz w:val="28"/>
        <w:szCs w:val="28"/>
      </w:rPr>
      <w:t>—</w:t>
    </w:r>
    <w:r>
      <w:rPr>
        <w:rStyle w:val="27"/>
        <w:rFonts w:hint="eastAsia" w:ascii="宋体" w:hAnsi="宋体"/>
        <w:sz w:val="20"/>
      </w:rPr>
      <w:t xml:space="preserve">  </w:t>
    </w:r>
    <w:r>
      <w:rPr>
        <w:rFonts w:ascii="宋体" w:hAnsi="宋体"/>
        <w:sz w:val="26"/>
        <w:szCs w:val="26"/>
      </w:rPr>
      <w:fldChar w:fldCharType="begin"/>
    </w:r>
    <w:r>
      <w:rPr>
        <w:rStyle w:val="27"/>
        <w:rFonts w:ascii="宋体" w:hAnsi="宋体"/>
        <w:sz w:val="26"/>
        <w:szCs w:val="26"/>
      </w:rPr>
      <w:instrText xml:space="preserve">PAGE  </w:instrText>
    </w:r>
    <w:r>
      <w:rPr>
        <w:rFonts w:ascii="宋体" w:hAnsi="宋体"/>
        <w:sz w:val="26"/>
        <w:szCs w:val="26"/>
      </w:rPr>
      <w:fldChar w:fldCharType="separate"/>
    </w:r>
    <w:r>
      <w:rPr>
        <w:rStyle w:val="27"/>
        <w:rFonts w:ascii="宋体" w:hAnsi="宋体"/>
        <w:sz w:val="26"/>
        <w:szCs w:val="26"/>
      </w:rPr>
      <w:t>24</w:t>
    </w:r>
    <w:r>
      <w:rPr>
        <w:rFonts w:ascii="宋体" w:hAnsi="宋体"/>
        <w:sz w:val="26"/>
        <w:szCs w:val="26"/>
      </w:rPr>
      <w:fldChar w:fldCharType="end"/>
    </w:r>
    <w:r>
      <w:rPr>
        <w:rStyle w:val="27"/>
        <w:rFonts w:hint="eastAsia" w:ascii="宋体" w:hAnsi="宋体"/>
        <w:sz w:val="20"/>
      </w:rPr>
      <w:t xml:space="preserve">  </w:t>
    </w:r>
    <w:r>
      <w:rPr>
        <w:rStyle w:val="27"/>
        <w:rFonts w:hint="eastAsia" w:ascii="宋体" w:hAnsi="宋体"/>
        <w:sz w:val="28"/>
        <w:szCs w:val="28"/>
      </w:rPr>
      <w:t>—</w:t>
    </w:r>
  </w:p>
  <w:p>
    <w:pPr>
      <w:pStyle w:val="15"/>
      <w:ind w:right="360" w:firstLine="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outside" w:y="1"/>
      <w:rPr>
        <w:rStyle w:val="27"/>
        <w:rFonts w:ascii="宋体" w:hAnsi="宋体"/>
        <w:sz w:val="28"/>
        <w:szCs w:val="28"/>
      </w:rPr>
    </w:pPr>
    <w:r>
      <w:rPr>
        <w:rStyle w:val="27"/>
        <w:rFonts w:hint="eastAsia" w:ascii="宋体" w:hAnsi="宋体"/>
        <w:sz w:val="28"/>
        <w:szCs w:val="28"/>
      </w:rPr>
      <w:t>—</w:t>
    </w:r>
    <w:r>
      <w:rPr>
        <w:rStyle w:val="27"/>
        <w:rFonts w:hint="eastAsia" w:ascii="宋体" w:hAnsi="宋体"/>
        <w:sz w:val="20"/>
      </w:rPr>
      <w:t xml:space="preserve">  </w:t>
    </w:r>
    <w:r>
      <w:rPr>
        <w:rFonts w:ascii="宋体" w:hAnsi="宋体"/>
        <w:sz w:val="26"/>
        <w:szCs w:val="26"/>
      </w:rPr>
      <w:fldChar w:fldCharType="begin"/>
    </w:r>
    <w:r>
      <w:rPr>
        <w:rStyle w:val="27"/>
        <w:rFonts w:ascii="宋体" w:hAnsi="宋体"/>
        <w:sz w:val="26"/>
        <w:szCs w:val="26"/>
      </w:rPr>
      <w:instrText xml:space="preserve">PAGE  </w:instrText>
    </w:r>
    <w:r>
      <w:rPr>
        <w:rFonts w:ascii="宋体" w:hAnsi="宋体"/>
        <w:sz w:val="26"/>
        <w:szCs w:val="26"/>
      </w:rPr>
      <w:fldChar w:fldCharType="separate"/>
    </w:r>
    <w:r>
      <w:rPr>
        <w:rStyle w:val="27"/>
        <w:rFonts w:ascii="宋体" w:hAnsi="宋体"/>
        <w:sz w:val="26"/>
        <w:szCs w:val="26"/>
      </w:rPr>
      <w:t>63</w:t>
    </w:r>
    <w:r>
      <w:rPr>
        <w:rFonts w:ascii="宋体" w:hAnsi="宋体"/>
        <w:sz w:val="26"/>
        <w:szCs w:val="26"/>
      </w:rPr>
      <w:fldChar w:fldCharType="end"/>
    </w:r>
    <w:r>
      <w:rPr>
        <w:rStyle w:val="27"/>
        <w:rFonts w:hint="eastAsia" w:ascii="宋体" w:hAnsi="宋体"/>
        <w:sz w:val="20"/>
      </w:rPr>
      <w:t xml:space="preserve">  </w:t>
    </w:r>
    <w:r>
      <w:rPr>
        <w:rStyle w:val="27"/>
        <w:rFonts w:hint="eastAsia" w:ascii="宋体" w:hAnsi="宋体"/>
        <w:sz w:val="28"/>
        <w:szCs w:val="28"/>
      </w:rPr>
      <w:t>—</w:t>
    </w:r>
  </w:p>
  <w:p>
    <w:pPr>
      <w:pStyle w:val="15"/>
      <w:ind w:right="360"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277B7C"/>
    <w:multiLevelType w:val="singleLevel"/>
    <w:tmpl w:val="C2277B7C"/>
    <w:lvl w:ilvl="0" w:tentative="0">
      <w:start w:val="1"/>
      <w:numFmt w:val="chineseCounting"/>
      <w:suff w:val="nothing"/>
      <w:lvlText w:val="（%1）"/>
      <w:lvlJc w:val="left"/>
      <w:rPr>
        <w:rFonts w:hint="eastAsia"/>
      </w:rPr>
    </w:lvl>
  </w:abstractNum>
  <w:abstractNum w:abstractNumId="1">
    <w:nsid w:val="2D86F663"/>
    <w:multiLevelType w:val="singleLevel"/>
    <w:tmpl w:val="2D86F663"/>
    <w:lvl w:ilvl="0" w:tentative="0">
      <w:start w:val="2"/>
      <w:numFmt w:val="chineseCounting"/>
      <w:suff w:val="nothing"/>
      <w:lvlText w:val="（%1）"/>
      <w:lvlJc w:val="left"/>
      <w:rPr>
        <w:rFonts w:hint="eastAsia"/>
      </w:rPr>
    </w:lvl>
  </w:abstractNum>
  <w:abstractNum w:abstractNumId="2">
    <w:nsid w:val="46741172"/>
    <w:multiLevelType w:val="multilevel"/>
    <w:tmpl w:val="46741172"/>
    <w:lvl w:ilvl="0" w:tentative="0">
      <w:start w:val="1"/>
      <w:numFmt w:val="decimal"/>
      <w:lvlText w:val="表%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9C510C5"/>
    <w:multiLevelType w:val="singleLevel"/>
    <w:tmpl w:val="59C510C5"/>
    <w:lvl w:ilvl="0" w:tentative="0">
      <w:start w:val="7"/>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zNWI2NTgwYTZmOWEwY2IyODVmNzM5MjJhZmQ2OTQifQ=="/>
  </w:docVars>
  <w:rsids>
    <w:rsidRoot w:val="00A14947"/>
    <w:rsid w:val="000060B3"/>
    <w:rsid w:val="00027ACF"/>
    <w:rsid w:val="000365B1"/>
    <w:rsid w:val="0004364B"/>
    <w:rsid w:val="0005477B"/>
    <w:rsid w:val="00060F6E"/>
    <w:rsid w:val="00061B1F"/>
    <w:rsid w:val="000733C4"/>
    <w:rsid w:val="00074783"/>
    <w:rsid w:val="0008070B"/>
    <w:rsid w:val="000810AC"/>
    <w:rsid w:val="00081A02"/>
    <w:rsid w:val="00082231"/>
    <w:rsid w:val="00085718"/>
    <w:rsid w:val="00092D38"/>
    <w:rsid w:val="0009377B"/>
    <w:rsid w:val="000A20C9"/>
    <w:rsid w:val="000A4323"/>
    <w:rsid w:val="000A7E81"/>
    <w:rsid w:val="000B058F"/>
    <w:rsid w:val="000B4467"/>
    <w:rsid w:val="000B4DB9"/>
    <w:rsid w:val="000B511A"/>
    <w:rsid w:val="000C09AC"/>
    <w:rsid w:val="000C593A"/>
    <w:rsid w:val="000C767F"/>
    <w:rsid w:val="000D5A44"/>
    <w:rsid w:val="000E04A1"/>
    <w:rsid w:val="000E3ED2"/>
    <w:rsid w:val="000F7E3E"/>
    <w:rsid w:val="00127B31"/>
    <w:rsid w:val="00131F42"/>
    <w:rsid w:val="00133B48"/>
    <w:rsid w:val="001357F1"/>
    <w:rsid w:val="00136C79"/>
    <w:rsid w:val="00140293"/>
    <w:rsid w:val="00140FA8"/>
    <w:rsid w:val="00142FEB"/>
    <w:rsid w:val="00143A2D"/>
    <w:rsid w:val="00145A41"/>
    <w:rsid w:val="0015018B"/>
    <w:rsid w:val="00151675"/>
    <w:rsid w:val="001537BA"/>
    <w:rsid w:val="00157435"/>
    <w:rsid w:val="0017504D"/>
    <w:rsid w:val="0017671A"/>
    <w:rsid w:val="00177422"/>
    <w:rsid w:val="00184590"/>
    <w:rsid w:val="001870D1"/>
    <w:rsid w:val="0018772C"/>
    <w:rsid w:val="0018781E"/>
    <w:rsid w:val="0019262D"/>
    <w:rsid w:val="001A1B35"/>
    <w:rsid w:val="001A2596"/>
    <w:rsid w:val="001A48A2"/>
    <w:rsid w:val="001A56A9"/>
    <w:rsid w:val="001A5C99"/>
    <w:rsid w:val="001A6F61"/>
    <w:rsid w:val="001B72B8"/>
    <w:rsid w:val="001C69B3"/>
    <w:rsid w:val="001D5595"/>
    <w:rsid w:val="001D7874"/>
    <w:rsid w:val="001D7F22"/>
    <w:rsid w:val="001E6C45"/>
    <w:rsid w:val="001F0F17"/>
    <w:rsid w:val="001F3347"/>
    <w:rsid w:val="001F3F5D"/>
    <w:rsid w:val="001F69E4"/>
    <w:rsid w:val="002125B4"/>
    <w:rsid w:val="002155B8"/>
    <w:rsid w:val="00222427"/>
    <w:rsid w:val="00224839"/>
    <w:rsid w:val="002249B2"/>
    <w:rsid w:val="00225C77"/>
    <w:rsid w:val="00226574"/>
    <w:rsid w:val="002278EC"/>
    <w:rsid w:val="0023280E"/>
    <w:rsid w:val="002377D1"/>
    <w:rsid w:val="002506BC"/>
    <w:rsid w:val="00254345"/>
    <w:rsid w:val="00264557"/>
    <w:rsid w:val="00266A2E"/>
    <w:rsid w:val="002805AB"/>
    <w:rsid w:val="00282DF6"/>
    <w:rsid w:val="00284204"/>
    <w:rsid w:val="00291773"/>
    <w:rsid w:val="00292835"/>
    <w:rsid w:val="0029511C"/>
    <w:rsid w:val="002A168C"/>
    <w:rsid w:val="002A3DC7"/>
    <w:rsid w:val="002B3F7B"/>
    <w:rsid w:val="002B49E2"/>
    <w:rsid w:val="002B6117"/>
    <w:rsid w:val="002B7B00"/>
    <w:rsid w:val="002B7C44"/>
    <w:rsid w:val="002C0A90"/>
    <w:rsid w:val="002C2B17"/>
    <w:rsid w:val="002D3DD0"/>
    <w:rsid w:val="002E1F3A"/>
    <w:rsid w:val="002E298A"/>
    <w:rsid w:val="00301978"/>
    <w:rsid w:val="0030332C"/>
    <w:rsid w:val="003051C2"/>
    <w:rsid w:val="00312296"/>
    <w:rsid w:val="00314F0E"/>
    <w:rsid w:val="00321D8E"/>
    <w:rsid w:val="003234F1"/>
    <w:rsid w:val="00325928"/>
    <w:rsid w:val="00332863"/>
    <w:rsid w:val="0033684D"/>
    <w:rsid w:val="00337B42"/>
    <w:rsid w:val="00341B42"/>
    <w:rsid w:val="0034348F"/>
    <w:rsid w:val="003437D9"/>
    <w:rsid w:val="0034796B"/>
    <w:rsid w:val="00356653"/>
    <w:rsid w:val="0035743F"/>
    <w:rsid w:val="00357BE2"/>
    <w:rsid w:val="0036170C"/>
    <w:rsid w:val="00366E0F"/>
    <w:rsid w:val="00371B1C"/>
    <w:rsid w:val="00376D08"/>
    <w:rsid w:val="00381A72"/>
    <w:rsid w:val="00384676"/>
    <w:rsid w:val="00384D81"/>
    <w:rsid w:val="00386226"/>
    <w:rsid w:val="00390857"/>
    <w:rsid w:val="003912EA"/>
    <w:rsid w:val="003A0E6A"/>
    <w:rsid w:val="003A4BF3"/>
    <w:rsid w:val="003B178B"/>
    <w:rsid w:val="003B420D"/>
    <w:rsid w:val="003C4A85"/>
    <w:rsid w:val="003C6C16"/>
    <w:rsid w:val="003D10E2"/>
    <w:rsid w:val="003D794D"/>
    <w:rsid w:val="003E3058"/>
    <w:rsid w:val="003E76A9"/>
    <w:rsid w:val="003F010D"/>
    <w:rsid w:val="003F0809"/>
    <w:rsid w:val="003F6A8C"/>
    <w:rsid w:val="003F755C"/>
    <w:rsid w:val="00406F01"/>
    <w:rsid w:val="00416D50"/>
    <w:rsid w:val="00416FD5"/>
    <w:rsid w:val="00417360"/>
    <w:rsid w:val="00417772"/>
    <w:rsid w:val="00420E6A"/>
    <w:rsid w:val="00425A9E"/>
    <w:rsid w:val="00426D6B"/>
    <w:rsid w:val="00431E6C"/>
    <w:rsid w:val="00432144"/>
    <w:rsid w:val="00433CE7"/>
    <w:rsid w:val="004522AB"/>
    <w:rsid w:val="00452738"/>
    <w:rsid w:val="004527B8"/>
    <w:rsid w:val="00456091"/>
    <w:rsid w:val="00466321"/>
    <w:rsid w:val="00484B9B"/>
    <w:rsid w:val="004855F6"/>
    <w:rsid w:val="0048661E"/>
    <w:rsid w:val="00494670"/>
    <w:rsid w:val="004A3823"/>
    <w:rsid w:val="004D73FE"/>
    <w:rsid w:val="004E6946"/>
    <w:rsid w:val="004F1AD8"/>
    <w:rsid w:val="005039CB"/>
    <w:rsid w:val="0050558F"/>
    <w:rsid w:val="00506286"/>
    <w:rsid w:val="00510813"/>
    <w:rsid w:val="00511990"/>
    <w:rsid w:val="00511DE0"/>
    <w:rsid w:val="00514870"/>
    <w:rsid w:val="00514B9B"/>
    <w:rsid w:val="00517F02"/>
    <w:rsid w:val="00524303"/>
    <w:rsid w:val="005258A2"/>
    <w:rsid w:val="005401AE"/>
    <w:rsid w:val="00540F91"/>
    <w:rsid w:val="00542E07"/>
    <w:rsid w:val="00545424"/>
    <w:rsid w:val="00554A7B"/>
    <w:rsid w:val="005556D4"/>
    <w:rsid w:val="0055572C"/>
    <w:rsid w:val="00556776"/>
    <w:rsid w:val="0056106A"/>
    <w:rsid w:val="005720AE"/>
    <w:rsid w:val="005803EF"/>
    <w:rsid w:val="00592780"/>
    <w:rsid w:val="00594D77"/>
    <w:rsid w:val="005953A8"/>
    <w:rsid w:val="005969E4"/>
    <w:rsid w:val="005A06B7"/>
    <w:rsid w:val="005A1759"/>
    <w:rsid w:val="005A43E0"/>
    <w:rsid w:val="005A68A7"/>
    <w:rsid w:val="005B4028"/>
    <w:rsid w:val="005C09F7"/>
    <w:rsid w:val="005C0AA9"/>
    <w:rsid w:val="005C1F1E"/>
    <w:rsid w:val="005D36AB"/>
    <w:rsid w:val="005F041B"/>
    <w:rsid w:val="005F1CC5"/>
    <w:rsid w:val="006032C4"/>
    <w:rsid w:val="00613211"/>
    <w:rsid w:val="0061553D"/>
    <w:rsid w:val="00617CC3"/>
    <w:rsid w:val="00624FEA"/>
    <w:rsid w:val="006377A6"/>
    <w:rsid w:val="00637A3D"/>
    <w:rsid w:val="006411EF"/>
    <w:rsid w:val="006665BC"/>
    <w:rsid w:val="00666D19"/>
    <w:rsid w:val="00672225"/>
    <w:rsid w:val="006748B8"/>
    <w:rsid w:val="006775C3"/>
    <w:rsid w:val="0069290A"/>
    <w:rsid w:val="0069775A"/>
    <w:rsid w:val="00697813"/>
    <w:rsid w:val="006A3EE8"/>
    <w:rsid w:val="006A72BF"/>
    <w:rsid w:val="006A7EAC"/>
    <w:rsid w:val="006B03F2"/>
    <w:rsid w:val="006B0F6F"/>
    <w:rsid w:val="006B37DC"/>
    <w:rsid w:val="006B4F68"/>
    <w:rsid w:val="006C0592"/>
    <w:rsid w:val="006C272E"/>
    <w:rsid w:val="006C524B"/>
    <w:rsid w:val="006C5479"/>
    <w:rsid w:val="006D13B5"/>
    <w:rsid w:val="006E12FF"/>
    <w:rsid w:val="006E2A21"/>
    <w:rsid w:val="006E607E"/>
    <w:rsid w:val="006E767A"/>
    <w:rsid w:val="006F43E3"/>
    <w:rsid w:val="00706C5D"/>
    <w:rsid w:val="00720242"/>
    <w:rsid w:val="00732922"/>
    <w:rsid w:val="0075162E"/>
    <w:rsid w:val="00754034"/>
    <w:rsid w:val="007551AA"/>
    <w:rsid w:val="00756556"/>
    <w:rsid w:val="007618C4"/>
    <w:rsid w:val="00767980"/>
    <w:rsid w:val="00770B19"/>
    <w:rsid w:val="0077463F"/>
    <w:rsid w:val="007836EA"/>
    <w:rsid w:val="00784CDA"/>
    <w:rsid w:val="007906C4"/>
    <w:rsid w:val="007940EA"/>
    <w:rsid w:val="007967E8"/>
    <w:rsid w:val="007A2170"/>
    <w:rsid w:val="007A22BF"/>
    <w:rsid w:val="007A3323"/>
    <w:rsid w:val="007B69C3"/>
    <w:rsid w:val="007B72B8"/>
    <w:rsid w:val="007B7A58"/>
    <w:rsid w:val="007C0B7C"/>
    <w:rsid w:val="007C21B5"/>
    <w:rsid w:val="007E42F4"/>
    <w:rsid w:val="007E4BD2"/>
    <w:rsid w:val="00801393"/>
    <w:rsid w:val="00802F88"/>
    <w:rsid w:val="0081293E"/>
    <w:rsid w:val="00815465"/>
    <w:rsid w:val="00815BDF"/>
    <w:rsid w:val="00817E9A"/>
    <w:rsid w:val="00825B06"/>
    <w:rsid w:val="008306BD"/>
    <w:rsid w:val="00831A80"/>
    <w:rsid w:val="00833743"/>
    <w:rsid w:val="008340A4"/>
    <w:rsid w:val="0084211F"/>
    <w:rsid w:val="0087135F"/>
    <w:rsid w:val="00872D94"/>
    <w:rsid w:val="00880364"/>
    <w:rsid w:val="0088619C"/>
    <w:rsid w:val="00886A21"/>
    <w:rsid w:val="00891592"/>
    <w:rsid w:val="00891E9E"/>
    <w:rsid w:val="008A08D6"/>
    <w:rsid w:val="008A2F68"/>
    <w:rsid w:val="008B4FA6"/>
    <w:rsid w:val="008B5282"/>
    <w:rsid w:val="008B6F0F"/>
    <w:rsid w:val="008B7C17"/>
    <w:rsid w:val="008C2D01"/>
    <w:rsid w:val="008C40E6"/>
    <w:rsid w:val="008D0F7A"/>
    <w:rsid w:val="008D4105"/>
    <w:rsid w:val="008D68E4"/>
    <w:rsid w:val="008E0506"/>
    <w:rsid w:val="008E0CFF"/>
    <w:rsid w:val="008E5D6B"/>
    <w:rsid w:val="008E76F0"/>
    <w:rsid w:val="008F15FE"/>
    <w:rsid w:val="008F2D29"/>
    <w:rsid w:val="008F5187"/>
    <w:rsid w:val="008F60D8"/>
    <w:rsid w:val="00902727"/>
    <w:rsid w:val="0090312B"/>
    <w:rsid w:val="00903F62"/>
    <w:rsid w:val="0091736D"/>
    <w:rsid w:val="009224FE"/>
    <w:rsid w:val="0093037A"/>
    <w:rsid w:val="009375DF"/>
    <w:rsid w:val="0094154D"/>
    <w:rsid w:val="00950F0C"/>
    <w:rsid w:val="0095155F"/>
    <w:rsid w:val="00954429"/>
    <w:rsid w:val="009563CE"/>
    <w:rsid w:val="009759FB"/>
    <w:rsid w:val="00975F00"/>
    <w:rsid w:val="00976328"/>
    <w:rsid w:val="0097680D"/>
    <w:rsid w:val="00976C28"/>
    <w:rsid w:val="00976C3D"/>
    <w:rsid w:val="00982438"/>
    <w:rsid w:val="0098404C"/>
    <w:rsid w:val="00985283"/>
    <w:rsid w:val="00995992"/>
    <w:rsid w:val="009A03E5"/>
    <w:rsid w:val="009A0F3B"/>
    <w:rsid w:val="009A1BB4"/>
    <w:rsid w:val="009A2628"/>
    <w:rsid w:val="009A3200"/>
    <w:rsid w:val="009B0897"/>
    <w:rsid w:val="009B7BD9"/>
    <w:rsid w:val="009C7DD5"/>
    <w:rsid w:val="009D6C95"/>
    <w:rsid w:val="009E0578"/>
    <w:rsid w:val="009E227D"/>
    <w:rsid w:val="009E5019"/>
    <w:rsid w:val="009F465F"/>
    <w:rsid w:val="00A04F1B"/>
    <w:rsid w:val="00A0501B"/>
    <w:rsid w:val="00A05686"/>
    <w:rsid w:val="00A14947"/>
    <w:rsid w:val="00A15B0B"/>
    <w:rsid w:val="00A30370"/>
    <w:rsid w:val="00A32A83"/>
    <w:rsid w:val="00A368DB"/>
    <w:rsid w:val="00A423AA"/>
    <w:rsid w:val="00A45C30"/>
    <w:rsid w:val="00A52331"/>
    <w:rsid w:val="00A53EC6"/>
    <w:rsid w:val="00A55C0F"/>
    <w:rsid w:val="00A8713F"/>
    <w:rsid w:val="00A90BA1"/>
    <w:rsid w:val="00A96F30"/>
    <w:rsid w:val="00A97A9A"/>
    <w:rsid w:val="00AA0671"/>
    <w:rsid w:val="00AA2531"/>
    <w:rsid w:val="00AB1E09"/>
    <w:rsid w:val="00AB4A26"/>
    <w:rsid w:val="00AB5330"/>
    <w:rsid w:val="00AB655F"/>
    <w:rsid w:val="00AB7747"/>
    <w:rsid w:val="00AC14CE"/>
    <w:rsid w:val="00AC2A56"/>
    <w:rsid w:val="00AC52ED"/>
    <w:rsid w:val="00AD055E"/>
    <w:rsid w:val="00AD47A7"/>
    <w:rsid w:val="00AD514E"/>
    <w:rsid w:val="00AF0CBF"/>
    <w:rsid w:val="00AF11CE"/>
    <w:rsid w:val="00AF257F"/>
    <w:rsid w:val="00AF33CF"/>
    <w:rsid w:val="00AF4D50"/>
    <w:rsid w:val="00AF6179"/>
    <w:rsid w:val="00B114FF"/>
    <w:rsid w:val="00B1295A"/>
    <w:rsid w:val="00B20A45"/>
    <w:rsid w:val="00B22C5C"/>
    <w:rsid w:val="00B24F30"/>
    <w:rsid w:val="00B31ABF"/>
    <w:rsid w:val="00B32754"/>
    <w:rsid w:val="00B33BE3"/>
    <w:rsid w:val="00B53B5D"/>
    <w:rsid w:val="00B6055E"/>
    <w:rsid w:val="00B6317D"/>
    <w:rsid w:val="00B64816"/>
    <w:rsid w:val="00B7723F"/>
    <w:rsid w:val="00B77DC7"/>
    <w:rsid w:val="00B80534"/>
    <w:rsid w:val="00B8433C"/>
    <w:rsid w:val="00B87491"/>
    <w:rsid w:val="00B90F28"/>
    <w:rsid w:val="00BA29E9"/>
    <w:rsid w:val="00BA2AC3"/>
    <w:rsid w:val="00BA7142"/>
    <w:rsid w:val="00BA7773"/>
    <w:rsid w:val="00BB1DBB"/>
    <w:rsid w:val="00BB237C"/>
    <w:rsid w:val="00BB41A3"/>
    <w:rsid w:val="00BB5DFF"/>
    <w:rsid w:val="00BC32DC"/>
    <w:rsid w:val="00BC35B6"/>
    <w:rsid w:val="00BC3763"/>
    <w:rsid w:val="00BD1B51"/>
    <w:rsid w:val="00BD4596"/>
    <w:rsid w:val="00BD7D14"/>
    <w:rsid w:val="00BD7D79"/>
    <w:rsid w:val="00BE1405"/>
    <w:rsid w:val="00BE312D"/>
    <w:rsid w:val="00BE77F4"/>
    <w:rsid w:val="00BF1C20"/>
    <w:rsid w:val="00C10578"/>
    <w:rsid w:val="00C135BC"/>
    <w:rsid w:val="00C15C95"/>
    <w:rsid w:val="00C2596A"/>
    <w:rsid w:val="00C27537"/>
    <w:rsid w:val="00C328FE"/>
    <w:rsid w:val="00C33507"/>
    <w:rsid w:val="00C348BF"/>
    <w:rsid w:val="00C359A8"/>
    <w:rsid w:val="00C40A84"/>
    <w:rsid w:val="00C4409D"/>
    <w:rsid w:val="00C44E72"/>
    <w:rsid w:val="00C45A06"/>
    <w:rsid w:val="00C47E5B"/>
    <w:rsid w:val="00C50140"/>
    <w:rsid w:val="00C61E4B"/>
    <w:rsid w:val="00C64520"/>
    <w:rsid w:val="00C6453A"/>
    <w:rsid w:val="00C64BFF"/>
    <w:rsid w:val="00C704E9"/>
    <w:rsid w:val="00C763C9"/>
    <w:rsid w:val="00C80057"/>
    <w:rsid w:val="00C82232"/>
    <w:rsid w:val="00C82913"/>
    <w:rsid w:val="00C866DC"/>
    <w:rsid w:val="00C972B1"/>
    <w:rsid w:val="00CA1B83"/>
    <w:rsid w:val="00CA2CCE"/>
    <w:rsid w:val="00CA43FD"/>
    <w:rsid w:val="00CA5B89"/>
    <w:rsid w:val="00CA7EF8"/>
    <w:rsid w:val="00CC04F9"/>
    <w:rsid w:val="00CC489B"/>
    <w:rsid w:val="00CD2BCD"/>
    <w:rsid w:val="00CD3A4C"/>
    <w:rsid w:val="00CE10E9"/>
    <w:rsid w:val="00CE2910"/>
    <w:rsid w:val="00CE5393"/>
    <w:rsid w:val="00CF36BE"/>
    <w:rsid w:val="00CF5C79"/>
    <w:rsid w:val="00CF6000"/>
    <w:rsid w:val="00D003F3"/>
    <w:rsid w:val="00D0364F"/>
    <w:rsid w:val="00D06834"/>
    <w:rsid w:val="00D308ED"/>
    <w:rsid w:val="00D36D86"/>
    <w:rsid w:val="00D428AA"/>
    <w:rsid w:val="00D46638"/>
    <w:rsid w:val="00D50A34"/>
    <w:rsid w:val="00D53EFA"/>
    <w:rsid w:val="00D543C2"/>
    <w:rsid w:val="00D57BBE"/>
    <w:rsid w:val="00D74A01"/>
    <w:rsid w:val="00D76310"/>
    <w:rsid w:val="00D94851"/>
    <w:rsid w:val="00D94A7C"/>
    <w:rsid w:val="00D95896"/>
    <w:rsid w:val="00DA2540"/>
    <w:rsid w:val="00DB2983"/>
    <w:rsid w:val="00DB5370"/>
    <w:rsid w:val="00DC04E5"/>
    <w:rsid w:val="00DC1257"/>
    <w:rsid w:val="00DC2B9C"/>
    <w:rsid w:val="00DC3DC0"/>
    <w:rsid w:val="00DC5B2B"/>
    <w:rsid w:val="00DC6D6A"/>
    <w:rsid w:val="00DD114C"/>
    <w:rsid w:val="00DD318D"/>
    <w:rsid w:val="00DD5CD6"/>
    <w:rsid w:val="00DE5251"/>
    <w:rsid w:val="00DF2E12"/>
    <w:rsid w:val="00DF514A"/>
    <w:rsid w:val="00DF6690"/>
    <w:rsid w:val="00DF6804"/>
    <w:rsid w:val="00DF7B00"/>
    <w:rsid w:val="00E0358D"/>
    <w:rsid w:val="00E04323"/>
    <w:rsid w:val="00E070A2"/>
    <w:rsid w:val="00E2656A"/>
    <w:rsid w:val="00E412D0"/>
    <w:rsid w:val="00E46527"/>
    <w:rsid w:val="00E52616"/>
    <w:rsid w:val="00E56322"/>
    <w:rsid w:val="00E60982"/>
    <w:rsid w:val="00E62C62"/>
    <w:rsid w:val="00E654C1"/>
    <w:rsid w:val="00E65D97"/>
    <w:rsid w:val="00E72A5A"/>
    <w:rsid w:val="00E73354"/>
    <w:rsid w:val="00E81F29"/>
    <w:rsid w:val="00E9242D"/>
    <w:rsid w:val="00E93094"/>
    <w:rsid w:val="00EA5478"/>
    <w:rsid w:val="00EB2386"/>
    <w:rsid w:val="00EB5255"/>
    <w:rsid w:val="00EB5C47"/>
    <w:rsid w:val="00EB60B2"/>
    <w:rsid w:val="00ED0639"/>
    <w:rsid w:val="00EF4755"/>
    <w:rsid w:val="00EF631C"/>
    <w:rsid w:val="00EF7135"/>
    <w:rsid w:val="00F027DB"/>
    <w:rsid w:val="00F14A7A"/>
    <w:rsid w:val="00F22985"/>
    <w:rsid w:val="00F25C63"/>
    <w:rsid w:val="00F3383E"/>
    <w:rsid w:val="00F465A7"/>
    <w:rsid w:val="00F50B7C"/>
    <w:rsid w:val="00F550E6"/>
    <w:rsid w:val="00F73DE5"/>
    <w:rsid w:val="00F74345"/>
    <w:rsid w:val="00F80A0A"/>
    <w:rsid w:val="00F82B19"/>
    <w:rsid w:val="00F84FD5"/>
    <w:rsid w:val="00F9212D"/>
    <w:rsid w:val="00F965DA"/>
    <w:rsid w:val="00FA406A"/>
    <w:rsid w:val="00FB2F35"/>
    <w:rsid w:val="00FB503A"/>
    <w:rsid w:val="00FB516C"/>
    <w:rsid w:val="00FD0236"/>
    <w:rsid w:val="00FD03C7"/>
    <w:rsid w:val="00FD18F4"/>
    <w:rsid w:val="00FD54DB"/>
    <w:rsid w:val="00FD619F"/>
    <w:rsid w:val="00FE1F37"/>
    <w:rsid w:val="01140713"/>
    <w:rsid w:val="011952D6"/>
    <w:rsid w:val="01223B75"/>
    <w:rsid w:val="01245820"/>
    <w:rsid w:val="0124735F"/>
    <w:rsid w:val="01290F7E"/>
    <w:rsid w:val="012E474A"/>
    <w:rsid w:val="01340A5A"/>
    <w:rsid w:val="013B6FE3"/>
    <w:rsid w:val="01454539"/>
    <w:rsid w:val="015B68B8"/>
    <w:rsid w:val="015C50C7"/>
    <w:rsid w:val="015D1E09"/>
    <w:rsid w:val="015F6D7C"/>
    <w:rsid w:val="01657C13"/>
    <w:rsid w:val="016B2292"/>
    <w:rsid w:val="016B6FF2"/>
    <w:rsid w:val="01705A8C"/>
    <w:rsid w:val="017C0B3C"/>
    <w:rsid w:val="018C5411"/>
    <w:rsid w:val="0190767C"/>
    <w:rsid w:val="01A147A8"/>
    <w:rsid w:val="01A15AB4"/>
    <w:rsid w:val="01A57819"/>
    <w:rsid w:val="01A64EB5"/>
    <w:rsid w:val="01B64F75"/>
    <w:rsid w:val="01BE07EC"/>
    <w:rsid w:val="01DD2E27"/>
    <w:rsid w:val="01E01353"/>
    <w:rsid w:val="01E37315"/>
    <w:rsid w:val="01E5245C"/>
    <w:rsid w:val="01F52625"/>
    <w:rsid w:val="01FB5AD4"/>
    <w:rsid w:val="02026981"/>
    <w:rsid w:val="021B207A"/>
    <w:rsid w:val="02206D30"/>
    <w:rsid w:val="02211298"/>
    <w:rsid w:val="02212075"/>
    <w:rsid w:val="023F66B6"/>
    <w:rsid w:val="02441ED7"/>
    <w:rsid w:val="02697173"/>
    <w:rsid w:val="02697903"/>
    <w:rsid w:val="02721F47"/>
    <w:rsid w:val="027520D7"/>
    <w:rsid w:val="027D2AA6"/>
    <w:rsid w:val="028406EF"/>
    <w:rsid w:val="029F04D4"/>
    <w:rsid w:val="02AE789B"/>
    <w:rsid w:val="02C43B26"/>
    <w:rsid w:val="02CC09AA"/>
    <w:rsid w:val="02D464F3"/>
    <w:rsid w:val="02D559E8"/>
    <w:rsid w:val="02D71110"/>
    <w:rsid w:val="02F23886"/>
    <w:rsid w:val="02F67057"/>
    <w:rsid w:val="02F7052F"/>
    <w:rsid w:val="02F96569"/>
    <w:rsid w:val="030932BD"/>
    <w:rsid w:val="03134CCC"/>
    <w:rsid w:val="03165668"/>
    <w:rsid w:val="0337117D"/>
    <w:rsid w:val="0369786F"/>
    <w:rsid w:val="03713799"/>
    <w:rsid w:val="037621EB"/>
    <w:rsid w:val="03766C97"/>
    <w:rsid w:val="037B7C74"/>
    <w:rsid w:val="038669AE"/>
    <w:rsid w:val="038C6A65"/>
    <w:rsid w:val="038F0C31"/>
    <w:rsid w:val="03946A95"/>
    <w:rsid w:val="039765CA"/>
    <w:rsid w:val="03A103F3"/>
    <w:rsid w:val="03A6050D"/>
    <w:rsid w:val="03B6062C"/>
    <w:rsid w:val="03C508DD"/>
    <w:rsid w:val="03CA4515"/>
    <w:rsid w:val="03DE5CFE"/>
    <w:rsid w:val="03EA7B21"/>
    <w:rsid w:val="03F0756B"/>
    <w:rsid w:val="03F365E1"/>
    <w:rsid w:val="03F7785A"/>
    <w:rsid w:val="03FE2673"/>
    <w:rsid w:val="040760C9"/>
    <w:rsid w:val="040C4619"/>
    <w:rsid w:val="04111311"/>
    <w:rsid w:val="041B106D"/>
    <w:rsid w:val="04574EF4"/>
    <w:rsid w:val="045F23CF"/>
    <w:rsid w:val="046256A1"/>
    <w:rsid w:val="046B5A3A"/>
    <w:rsid w:val="04756E6E"/>
    <w:rsid w:val="04955554"/>
    <w:rsid w:val="049B6C18"/>
    <w:rsid w:val="04A34ED3"/>
    <w:rsid w:val="04B04F1A"/>
    <w:rsid w:val="04B162CF"/>
    <w:rsid w:val="04C9676E"/>
    <w:rsid w:val="04D36A36"/>
    <w:rsid w:val="04DF19B8"/>
    <w:rsid w:val="052B66D7"/>
    <w:rsid w:val="052B7A6D"/>
    <w:rsid w:val="0543240B"/>
    <w:rsid w:val="05441091"/>
    <w:rsid w:val="055B5140"/>
    <w:rsid w:val="05613A10"/>
    <w:rsid w:val="056301BE"/>
    <w:rsid w:val="056B315A"/>
    <w:rsid w:val="05981E8C"/>
    <w:rsid w:val="05A47E48"/>
    <w:rsid w:val="05A73B3E"/>
    <w:rsid w:val="05AB19FE"/>
    <w:rsid w:val="05B03187"/>
    <w:rsid w:val="05B97510"/>
    <w:rsid w:val="05BF02FC"/>
    <w:rsid w:val="05CE3B9D"/>
    <w:rsid w:val="05DD030E"/>
    <w:rsid w:val="05EA1E95"/>
    <w:rsid w:val="05F83EAE"/>
    <w:rsid w:val="05F841D4"/>
    <w:rsid w:val="05FC340C"/>
    <w:rsid w:val="061454D5"/>
    <w:rsid w:val="061B3ADE"/>
    <w:rsid w:val="0620622C"/>
    <w:rsid w:val="0624532A"/>
    <w:rsid w:val="06282A7B"/>
    <w:rsid w:val="062C142C"/>
    <w:rsid w:val="063820BE"/>
    <w:rsid w:val="063E7D85"/>
    <w:rsid w:val="06404987"/>
    <w:rsid w:val="064B1F2F"/>
    <w:rsid w:val="064C2AEA"/>
    <w:rsid w:val="06615D88"/>
    <w:rsid w:val="06633A69"/>
    <w:rsid w:val="06663A73"/>
    <w:rsid w:val="068332A1"/>
    <w:rsid w:val="068F76EB"/>
    <w:rsid w:val="06981DFC"/>
    <w:rsid w:val="06B1104C"/>
    <w:rsid w:val="06B51F6B"/>
    <w:rsid w:val="06B70F10"/>
    <w:rsid w:val="06BA3ED7"/>
    <w:rsid w:val="06BB45F9"/>
    <w:rsid w:val="06C71164"/>
    <w:rsid w:val="06C923B8"/>
    <w:rsid w:val="06CC5DD7"/>
    <w:rsid w:val="06D73F5B"/>
    <w:rsid w:val="06DB0D39"/>
    <w:rsid w:val="06E30840"/>
    <w:rsid w:val="06EE181F"/>
    <w:rsid w:val="06F06853"/>
    <w:rsid w:val="06F10E6F"/>
    <w:rsid w:val="06F75B63"/>
    <w:rsid w:val="06F93849"/>
    <w:rsid w:val="07057CF7"/>
    <w:rsid w:val="070F7934"/>
    <w:rsid w:val="071B4823"/>
    <w:rsid w:val="07236CC2"/>
    <w:rsid w:val="07255AC4"/>
    <w:rsid w:val="07293586"/>
    <w:rsid w:val="07295285"/>
    <w:rsid w:val="072B51FE"/>
    <w:rsid w:val="072D6D8D"/>
    <w:rsid w:val="07336AF3"/>
    <w:rsid w:val="073A32DB"/>
    <w:rsid w:val="07636392"/>
    <w:rsid w:val="076662F0"/>
    <w:rsid w:val="07681719"/>
    <w:rsid w:val="076932D4"/>
    <w:rsid w:val="07770C56"/>
    <w:rsid w:val="078F7EC9"/>
    <w:rsid w:val="07922BA1"/>
    <w:rsid w:val="079C5C21"/>
    <w:rsid w:val="079E2AA0"/>
    <w:rsid w:val="07AC54B2"/>
    <w:rsid w:val="07C82848"/>
    <w:rsid w:val="07DB75E3"/>
    <w:rsid w:val="07DD03F6"/>
    <w:rsid w:val="07DD6BCF"/>
    <w:rsid w:val="07E701E4"/>
    <w:rsid w:val="080E7535"/>
    <w:rsid w:val="080F1CEF"/>
    <w:rsid w:val="08126B94"/>
    <w:rsid w:val="08296444"/>
    <w:rsid w:val="082B5CAA"/>
    <w:rsid w:val="083A5143"/>
    <w:rsid w:val="083E1FB5"/>
    <w:rsid w:val="08501867"/>
    <w:rsid w:val="08601111"/>
    <w:rsid w:val="0863069D"/>
    <w:rsid w:val="08777026"/>
    <w:rsid w:val="08983360"/>
    <w:rsid w:val="08B15BB3"/>
    <w:rsid w:val="08B4671D"/>
    <w:rsid w:val="08BD007C"/>
    <w:rsid w:val="08C63DEA"/>
    <w:rsid w:val="08CB06B4"/>
    <w:rsid w:val="08D209AE"/>
    <w:rsid w:val="08E104C7"/>
    <w:rsid w:val="08EE0EA4"/>
    <w:rsid w:val="08FA79D8"/>
    <w:rsid w:val="08FC5EB1"/>
    <w:rsid w:val="090715AF"/>
    <w:rsid w:val="090E5726"/>
    <w:rsid w:val="091B3761"/>
    <w:rsid w:val="092217DD"/>
    <w:rsid w:val="09257CAA"/>
    <w:rsid w:val="092D04BF"/>
    <w:rsid w:val="093611AB"/>
    <w:rsid w:val="093A7294"/>
    <w:rsid w:val="09474A67"/>
    <w:rsid w:val="094F0662"/>
    <w:rsid w:val="095B14F9"/>
    <w:rsid w:val="095B3CB5"/>
    <w:rsid w:val="09606AB8"/>
    <w:rsid w:val="09660E3C"/>
    <w:rsid w:val="098D3AAA"/>
    <w:rsid w:val="09994998"/>
    <w:rsid w:val="09A53B17"/>
    <w:rsid w:val="09A57FA2"/>
    <w:rsid w:val="09A71A8D"/>
    <w:rsid w:val="09B00D1F"/>
    <w:rsid w:val="09B90DE1"/>
    <w:rsid w:val="09BE5538"/>
    <w:rsid w:val="09C05962"/>
    <w:rsid w:val="09C61020"/>
    <w:rsid w:val="09DE6BC1"/>
    <w:rsid w:val="09F414B5"/>
    <w:rsid w:val="09F64EB8"/>
    <w:rsid w:val="0A092CE7"/>
    <w:rsid w:val="0A263993"/>
    <w:rsid w:val="0A29013D"/>
    <w:rsid w:val="0A2A48FD"/>
    <w:rsid w:val="0A2B5B4B"/>
    <w:rsid w:val="0A2D3AC2"/>
    <w:rsid w:val="0A356C6B"/>
    <w:rsid w:val="0A474DF3"/>
    <w:rsid w:val="0A5D4F32"/>
    <w:rsid w:val="0A684E72"/>
    <w:rsid w:val="0A7118DD"/>
    <w:rsid w:val="0A794063"/>
    <w:rsid w:val="0A7F6F9C"/>
    <w:rsid w:val="0A8179DD"/>
    <w:rsid w:val="0AA4677F"/>
    <w:rsid w:val="0AA755DF"/>
    <w:rsid w:val="0AA76F06"/>
    <w:rsid w:val="0AAB7D62"/>
    <w:rsid w:val="0AAC16D8"/>
    <w:rsid w:val="0AB32195"/>
    <w:rsid w:val="0AC14217"/>
    <w:rsid w:val="0ACD66CB"/>
    <w:rsid w:val="0AE86184"/>
    <w:rsid w:val="0AF01DAA"/>
    <w:rsid w:val="0AFD7277"/>
    <w:rsid w:val="0B02784B"/>
    <w:rsid w:val="0B0B2EF1"/>
    <w:rsid w:val="0B120D44"/>
    <w:rsid w:val="0B124E03"/>
    <w:rsid w:val="0B1C0B04"/>
    <w:rsid w:val="0B304DED"/>
    <w:rsid w:val="0B374BDF"/>
    <w:rsid w:val="0B3F740A"/>
    <w:rsid w:val="0B4C5423"/>
    <w:rsid w:val="0B7C5FC0"/>
    <w:rsid w:val="0B9459EF"/>
    <w:rsid w:val="0BAA7754"/>
    <w:rsid w:val="0BAD5CBE"/>
    <w:rsid w:val="0BD27BF6"/>
    <w:rsid w:val="0BD3096C"/>
    <w:rsid w:val="0BDA237C"/>
    <w:rsid w:val="0BE8330F"/>
    <w:rsid w:val="0C021726"/>
    <w:rsid w:val="0C0E7CD0"/>
    <w:rsid w:val="0C146324"/>
    <w:rsid w:val="0C150655"/>
    <w:rsid w:val="0C1A5D3D"/>
    <w:rsid w:val="0C1D042F"/>
    <w:rsid w:val="0C353695"/>
    <w:rsid w:val="0C3B3C7D"/>
    <w:rsid w:val="0C50647C"/>
    <w:rsid w:val="0C6B3C19"/>
    <w:rsid w:val="0C6D7396"/>
    <w:rsid w:val="0C977E83"/>
    <w:rsid w:val="0C9B4CD3"/>
    <w:rsid w:val="0C9B6146"/>
    <w:rsid w:val="0CA5084E"/>
    <w:rsid w:val="0CA54C7F"/>
    <w:rsid w:val="0CAB2EAE"/>
    <w:rsid w:val="0CB04CDC"/>
    <w:rsid w:val="0CB673A5"/>
    <w:rsid w:val="0CBB2219"/>
    <w:rsid w:val="0CCC49A8"/>
    <w:rsid w:val="0CE20AB9"/>
    <w:rsid w:val="0CF47755"/>
    <w:rsid w:val="0D107CA5"/>
    <w:rsid w:val="0D340274"/>
    <w:rsid w:val="0D3A134A"/>
    <w:rsid w:val="0D4D1181"/>
    <w:rsid w:val="0D4F38DD"/>
    <w:rsid w:val="0D5B6FBA"/>
    <w:rsid w:val="0D621C7D"/>
    <w:rsid w:val="0D803996"/>
    <w:rsid w:val="0D8366EA"/>
    <w:rsid w:val="0D892D1C"/>
    <w:rsid w:val="0DAD095A"/>
    <w:rsid w:val="0DBC5EC0"/>
    <w:rsid w:val="0DCE1F63"/>
    <w:rsid w:val="0DD21475"/>
    <w:rsid w:val="0DEF4490"/>
    <w:rsid w:val="0DF75D8E"/>
    <w:rsid w:val="0E0E1F1B"/>
    <w:rsid w:val="0E275BC3"/>
    <w:rsid w:val="0E3F7B88"/>
    <w:rsid w:val="0E437BF4"/>
    <w:rsid w:val="0E4624EB"/>
    <w:rsid w:val="0E46369D"/>
    <w:rsid w:val="0E624293"/>
    <w:rsid w:val="0E634BFC"/>
    <w:rsid w:val="0E73034D"/>
    <w:rsid w:val="0E7B7086"/>
    <w:rsid w:val="0E7C4189"/>
    <w:rsid w:val="0E8E24DF"/>
    <w:rsid w:val="0E9F2A40"/>
    <w:rsid w:val="0EB33938"/>
    <w:rsid w:val="0EC0525B"/>
    <w:rsid w:val="0EC87E8E"/>
    <w:rsid w:val="0EEC3786"/>
    <w:rsid w:val="0F001141"/>
    <w:rsid w:val="0F0A3043"/>
    <w:rsid w:val="0F13775A"/>
    <w:rsid w:val="0F31140C"/>
    <w:rsid w:val="0F385144"/>
    <w:rsid w:val="0F477818"/>
    <w:rsid w:val="0F4B00F1"/>
    <w:rsid w:val="0F4B21CF"/>
    <w:rsid w:val="0F5B42A5"/>
    <w:rsid w:val="0F5F3EF3"/>
    <w:rsid w:val="0F5F45FE"/>
    <w:rsid w:val="0F6F0879"/>
    <w:rsid w:val="0F7A11C1"/>
    <w:rsid w:val="0F844614"/>
    <w:rsid w:val="0F9A112B"/>
    <w:rsid w:val="0F9D63B7"/>
    <w:rsid w:val="0FAC62F4"/>
    <w:rsid w:val="0FB57BD8"/>
    <w:rsid w:val="0FBA6766"/>
    <w:rsid w:val="0FCE08C0"/>
    <w:rsid w:val="0FD61F76"/>
    <w:rsid w:val="0FD71441"/>
    <w:rsid w:val="0FF54971"/>
    <w:rsid w:val="0FF578E2"/>
    <w:rsid w:val="100E2F32"/>
    <w:rsid w:val="10115326"/>
    <w:rsid w:val="1030584F"/>
    <w:rsid w:val="10376C27"/>
    <w:rsid w:val="10380ADD"/>
    <w:rsid w:val="104C1DDD"/>
    <w:rsid w:val="10647FA4"/>
    <w:rsid w:val="106D2F64"/>
    <w:rsid w:val="108109C1"/>
    <w:rsid w:val="10862995"/>
    <w:rsid w:val="109A103F"/>
    <w:rsid w:val="10B63710"/>
    <w:rsid w:val="10BC2FD2"/>
    <w:rsid w:val="10C01BF6"/>
    <w:rsid w:val="10D14A45"/>
    <w:rsid w:val="10EE041B"/>
    <w:rsid w:val="10EE4D05"/>
    <w:rsid w:val="10F10820"/>
    <w:rsid w:val="10FA4E5F"/>
    <w:rsid w:val="11113305"/>
    <w:rsid w:val="111C2F7A"/>
    <w:rsid w:val="111E740D"/>
    <w:rsid w:val="11240289"/>
    <w:rsid w:val="1124568F"/>
    <w:rsid w:val="11261FE1"/>
    <w:rsid w:val="11271BD3"/>
    <w:rsid w:val="112E24B7"/>
    <w:rsid w:val="11340E9E"/>
    <w:rsid w:val="113C0951"/>
    <w:rsid w:val="115220E4"/>
    <w:rsid w:val="115B7872"/>
    <w:rsid w:val="1166456A"/>
    <w:rsid w:val="11665CA1"/>
    <w:rsid w:val="11731931"/>
    <w:rsid w:val="11746D2E"/>
    <w:rsid w:val="11A227BD"/>
    <w:rsid w:val="11B36353"/>
    <w:rsid w:val="11E17588"/>
    <w:rsid w:val="11F1314C"/>
    <w:rsid w:val="11F24FF2"/>
    <w:rsid w:val="12051B32"/>
    <w:rsid w:val="121867FF"/>
    <w:rsid w:val="12276B02"/>
    <w:rsid w:val="1228286A"/>
    <w:rsid w:val="12422894"/>
    <w:rsid w:val="12446724"/>
    <w:rsid w:val="124620BC"/>
    <w:rsid w:val="127235C4"/>
    <w:rsid w:val="12827A23"/>
    <w:rsid w:val="128A280B"/>
    <w:rsid w:val="129B5346"/>
    <w:rsid w:val="12B5763F"/>
    <w:rsid w:val="12C809C5"/>
    <w:rsid w:val="12CA472C"/>
    <w:rsid w:val="12D35C91"/>
    <w:rsid w:val="12DA69AC"/>
    <w:rsid w:val="12EF7CAE"/>
    <w:rsid w:val="12F3330B"/>
    <w:rsid w:val="130C2ACA"/>
    <w:rsid w:val="132A700B"/>
    <w:rsid w:val="13361081"/>
    <w:rsid w:val="13400E81"/>
    <w:rsid w:val="13487DFD"/>
    <w:rsid w:val="13560AD9"/>
    <w:rsid w:val="135D2F98"/>
    <w:rsid w:val="136923F6"/>
    <w:rsid w:val="13773E32"/>
    <w:rsid w:val="13780B77"/>
    <w:rsid w:val="137A11C3"/>
    <w:rsid w:val="137D0901"/>
    <w:rsid w:val="138121BA"/>
    <w:rsid w:val="13933E9E"/>
    <w:rsid w:val="13951726"/>
    <w:rsid w:val="13B449A0"/>
    <w:rsid w:val="13BB7359"/>
    <w:rsid w:val="13BE4BAC"/>
    <w:rsid w:val="13CC16C1"/>
    <w:rsid w:val="13CE17CE"/>
    <w:rsid w:val="13D20B11"/>
    <w:rsid w:val="13E646D8"/>
    <w:rsid w:val="13E85B8B"/>
    <w:rsid w:val="13F71492"/>
    <w:rsid w:val="13F94CC8"/>
    <w:rsid w:val="13FD3F89"/>
    <w:rsid w:val="140D7AD4"/>
    <w:rsid w:val="14182837"/>
    <w:rsid w:val="141F050A"/>
    <w:rsid w:val="142C59E0"/>
    <w:rsid w:val="14302FE9"/>
    <w:rsid w:val="14396509"/>
    <w:rsid w:val="14405EDB"/>
    <w:rsid w:val="1441490D"/>
    <w:rsid w:val="1449289F"/>
    <w:rsid w:val="14885DFD"/>
    <w:rsid w:val="14A66146"/>
    <w:rsid w:val="14B90832"/>
    <w:rsid w:val="14C24D26"/>
    <w:rsid w:val="14C31437"/>
    <w:rsid w:val="14C62672"/>
    <w:rsid w:val="14D42C05"/>
    <w:rsid w:val="14DD2C3C"/>
    <w:rsid w:val="14F17D29"/>
    <w:rsid w:val="14FB620A"/>
    <w:rsid w:val="150A5AED"/>
    <w:rsid w:val="15190440"/>
    <w:rsid w:val="152319B9"/>
    <w:rsid w:val="152B068A"/>
    <w:rsid w:val="153017B8"/>
    <w:rsid w:val="15381E7F"/>
    <w:rsid w:val="153B56C8"/>
    <w:rsid w:val="155512B3"/>
    <w:rsid w:val="155A4F2D"/>
    <w:rsid w:val="15606864"/>
    <w:rsid w:val="15644156"/>
    <w:rsid w:val="156E020F"/>
    <w:rsid w:val="15857392"/>
    <w:rsid w:val="15931389"/>
    <w:rsid w:val="1599577C"/>
    <w:rsid w:val="15A95C65"/>
    <w:rsid w:val="15B13EC8"/>
    <w:rsid w:val="15C636D4"/>
    <w:rsid w:val="15CA232E"/>
    <w:rsid w:val="15D849FF"/>
    <w:rsid w:val="15E474D4"/>
    <w:rsid w:val="16087E1D"/>
    <w:rsid w:val="160B0E98"/>
    <w:rsid w:val="16182AA5"/>
    <w:rsid w:val="16403D0D"/>
    <w:rsid w:val="16472CFB"/>
    <w:rsid w:val="166A3DC1"/>
    <w:rsid w:val="167639AE"/>
    <w:rsid w:val="168C127E"/>
    <w:rsid w:val="168F208C"/>
    <w:rsid w:val="169400C7"/>
    <w:rsid w:val="169F3D04"/>
    <w:rsid w:val="16C43A83"/>
    <w:rsid w:val="16CE5A2C"/>
    <w:rsid w:val="16E60B80"/>
    <w:rsid w:val="16EA05AB"/>
    <w:rsid w:val="16EB33BC"/>
    <w:rsid w:val="16FA1390"/>
    <w:rsid w:val="170621CA"/>
    <w:rsid w:val="170C5EA5"/>
    <w:rsid w:val="171A4344"/>
    <w:rsid w:val="171B558E"/>
    <w:rsid w:val="171F32CC"/>
    <w:rsid w:val="17201A42"/>
    <w:rsid w:val="172B5346"/>
    <w:rsid w:val="17367EE8"/>
    <w:rsid w:val="17381DF3"/>
    <w:rsid w:val="17386342"/>
    <w:rsid w:val="174463A5"/>
    <w:rsid w:val="175023B2"/>
    <w:rsid w:val="17701D14"/>
    <w:rsid w:val="17735226"/>
    <w:rsid w:val="1782278B"/>
    <w:rsid w:val="17844461"/>
    <w:rsid w:val="178A7B94"/>
    <w:rsid w:val="178B36A8"/>
    <w:rsid w:val="179C5EC5"/>
    <w:rsid w:val="179E10CD"/>
    <w:rsid w:val="179E1FE4"/>
    <w:rsid w:val="17A17E70"/>
    <w:rsid w:val="17AA0B78"/>
    <w:rsid w:val="17AE5CB3"/>
    <w:rsid w:val="17B90D48"/>
    <w:rsid w:val="17C01ACF"/>
    <w:rsid w:val="17C55AB3"/>
    <w:rsid w:val="17CD3AD5"/>
    <w:rsid w:val="17DA13AA"/>
    <w:rsid w:val="17EB13F8"/>
    <w:rsid w:val="17EC73B8"/>
    <w:rsid w:val="17F148CC"/>
    <w:rsid w:val="18073791"/>
    <w:rsid w:val="18266857"/>
    <w:rsid w:val="182B4962"/>
    <w:rsid w:val="183E3A46"/>
    <w:rsid w:val="184341B2"/>
    <w:rsid w:val="18463EA2"/>
    <w:rsid w:val="1850043D"/>
    <w:rsid w:val="185C23DD"/>
    <w:rsid w:val="18803747"/>
    <w:rsid w:val="188D7F55"/>
    <w:rsid w:val="1898240C"/>
    <w:rsid w:val="189F624C"/>
    <w:rsid w:val="18A24E51"/>
    <w:rsid w:val="18A25D60"/>
    <w:rsid w:val="18BE1767"/>
    <w:rsid w:val="18C20BCB"/>
    <w:rsid w:val="18DF5470"/>
    <w:rsid w:val="19152C0C"/>
    <w:rsid w:val="191F35FD"/>
    <w:rsid w:val="19403057"/>
    <w:rsid w:val="195347F5"/>
    <w:rsid w:val="19792216"/>
    <w:rsid w:val="198026A4"/>
    <w:rsid w:val="198510E9"/>
    <w:rsid w:val="19A82FA8"/>
    <w:rsid w:val="19AB4CBC"/>
    <w:rsid w:val="19C1180B"/>
    <w:rsid w:val="19D05AAD"/>
    <w:rsid w:val="19D21371"/>
    <w:rsid w:val="19D46D22"/>
    <w:rsid w:val="19E4399E"/>
    <w:rsid w:val="19EB7192"/>
    <w:rsid w:val="19F4192E"/>
    <w:rsid w:val="19FA306B"/>
    <w:rsid w:val="1A004DAB"/>
    <w:rsid w:val="1A07132A"/>
    <w:rsid w:val="1A10246B"/>
    <w:rsid w:val="1A136006"/>
    <w:rsid w:val="1A157031"/>
    <w:rsid w:val="1A177539"/>
    <w:rsid w:val="1A1A622C"/>
    <w:rsid w:val="1A1C66C0"/>
    <w:rsid w:val="1A1F2283"/>
    <w:rsid w:val="1A2B0521"/>
    <w:rsid w:val="1A3B0EED"/>
    <w:rsid w:val="1A413F29"/>
    <w:rsid w:val="1A42393B"/>
    <w:rsid w:val="1A4C0769"/>
    <w:rsid w:val="1A4D5EE0"/>
    <w:rsid w:val="1A5A2F04"/>
    <w:rsid w:val="1A601381"/>
    <w:rsid w:val="1A6A70DD"/>
    <w:rsid w:val="1A735BD8"/>
    <w:rsid w:val="1A8856F2"/>
    <w:rsid w:val="1A8F6907"/>
    <w:rsid w:val="1AA77AAB"/>
    <w:rsid w:val="1AAD45DE"/>
    <w:rsid w:val="1AC83D49"/>
    <w:rsid w:val="1AD44E00"/>
    <w:rsid w:val="1ADC5CFE"/>
    <w:rsid w:val="1AE91F65"/>
    <w:rsid w:val="1AF55D59"/>
    <w:rsid w:val="1B046F80"/>
    <w:rsid w:val="1B1E1AD6"/>
    <w:rsid w:val="1B302991"/>
    <w:rsid w:val="1B3267B5"/>
    <w:rsid w:val="1B3D1D08"/>
    <w:rsid w:val="1B40161D"/>
    <w:rsid w:val="1B441859"/>
    <w:rsid w:val="1B5B5EB7"/>
    <w:rsid w:val="1B646797"/>
    <w:rsid w:val="1B6606B1"/>
    <w:rsid w:val="1B681466"/>
    <w:rsid w:val="1B6A300F"/>
    <w:rsid w:val="1B751567"/>
    <w:rsid w:val="1B761665"/>
    <w:rsid w:val="1B851135"/>
    <w:rsid w:val="1B904E6B"/>
    <w:rsid w:val="1B9055A3"/>
    <w:rsid w:val="1B9132FD"/>
    <w:rsid w:val="1B946081"/>
    <w:rsid w:val="1BB41044"/>
    <w:rsid w:val="1BC56DD0"/>
    <w:rsid w:val="1BD12F83"/>
    <w:rsid w:val="1BD13F3D"/>
    <w:rsid w:val="1BE84FAA"/>
    <w:rsid w:val="1BEE6166"/>
    <w:rsid w:val="1BF35282"/>
    <w:rsid w:val="1BFB6723"/>
    <w:rsid w:val="1C105CC9"/>
    <w:rsid w:val="1C1928A6"/>
    <w:rsid w:val="1C1B0FFC"/>
    <w:rsid w:val="1C2647A3"/>
    <w:rsid w:val="1C296E38"/>
    <w:rsid w:val="1C321C7C"/>
    <w:rsid w:val="1C340FF9"/>
    <w:rsid w:val="1C373B1A"/>
    <w:rsid w:val="1C381846"/>
    <w:rsid w:val="1C430BE7"/>
    <w:rsid w:val="1C4B4353"/>
    <w:rsid w:val="1C5660DE"/>
    <w:rsid w:val="1C593B4D"/>
    <w:rsid w:val="1C595777"/>
    <w:rsid w:val="1C5E7925"/>
    <w:rsid w:val="1C626AD0"/>
    <w:rsid w:val="1C69637E"/>
    <w:rsid w:val="1C6B1DFE"/>
    <w:rsid w:val="1C6C7287"/>
    <w:rsid w:val="1C7A4972"/>
    <w:rsid w:val="1C881C3A"/>
    <w:rsid w:val="1C8D5B89"/>
    <w:rsid w:val="1C922DCC"/>
    <w:rsid w:val="1C950126"/>
    <w:rsid w:val="1C996ED0"/>
    <w:rsid w:val="1C9F1DDC"/>
    <w:rsid w:val="1CA268DF"/>
    <w:rsid w:val="1CB77498"/>
    <w:rsid w:val="1CBD5A8A"/>
    <w:rsid w:val="1CC1421B"/>
    <w:rsid w:val="1CCE0869"/>
    <w:rsid w:val="1CF20A2F"/>
    <w:rsid w:val="1CFD070F"/>
    <w:rsid w:val="1D0A462B"/>
    <w:rsid w:val="1D203372"/>
    <w:rsid w:val="1D253D99"/>
    <w:rsid w:val="1D2A13C9"/>
    <w:rsid w:val="1D355DE2"/>
    <w:rsid w:val="1D401F85"/>
    <w:rsid w:val="1D4178BA"/>
    <w:rsid w:val="1D46695F"/>
    <w:rsid w:val="1D5E0A3D"/>
    <w:rsid w:val="1D5F6196"/>
    <w:rsid w:val="1D611380"/>
    <w:rsid w:val="1D6132A5"/>
    <w:rsid w:val="1D7C1A2F"/>
    <w:rsid w:val="1D8A65AB"/>
    <w:rsid w:val="1D8E56D5"/>
    <w:rsid w:val="1D9F27B1"/>
    <w:rsid w:val="1DB9422D"/>
    <w:rsid w:val="1DCB3425"/>
    <w:rsid w:val="1DDA5189"/>
    <w:rsid w:val="1E0F522A"/>
    <w:rsid w:val="1E1625D7"/>
    <w:rsid w:val="1E27057B"/>
    <w:rsid w:val="1E2D3DF2"/>
    <w:rsid w:val="1E361916"/>
    <w:rsid w:val="1E37568C"/>
    <w:rsid w:val="1E427763"/>
    <w:rsid w:val="1E4542CC"/>
    <w:rsid w:val="1E497981"/>
    <w:rsid w:val="1E4E15E4"/>
    <w:rsid w:val="1E597CC6"/>
    <w:rsid w:val="1E6A78A2"/>
    <w:rsid w:val="1E736E9F"/>
    <w:rsid w:val="1E7A43DA"/>
    <w:rsid w:val="1E8E4598"/>
    <w:rsid w:val="1E9843CA"/>
    <w:rsid w:val="1EA03416"/>
    <w:rsid w:val="1EA04837"/>
    <w:rsid w:val="1EAD0A2E"/>
    <w:rsid w:val="1EC77E88"/>
    <w:rsid w:val="1ECF0816"/>
    <w:rsid w:val="1EEC441E"/>
    <w:rsid w:val="1EFB7BB3"/>
    <w:rsid w:val="1F2E5690"/>
    <w:rsid w:val="1F39115D"/>
    <w:rsid w:val="1F5534F3"/>
    <w:rsid w:val="1F5A4DB2"/>
    <w:rsid w:val="1F677E84"/>
    <w:rsid w:val="1F6F2B4D"/>
    <w:rsid w:val="1F8E536C"/>
    <w:rsid w:val="1F976B74"/>
    <w:rsid w:val="1F9C0333"/>
    <w:rsid w:val="1F9C2DD2"/>
    <w:rsid w:val="1FA82BE6"/>
    <w:rsid w:val="1FA90A79"/>
    <w:rsid w:val="1FAC6073"/>
    <w:rsid w:val="1FCD71CE"/>
    <w:rsid w:val="1FCE31E3"/>
    <w:rsid w:val="1FCF45AD"/>
    <w:rsid w:val="1FD57BBB"/>
    <w:rsid w:val="1FDE5AA6"/>
    <w:rsid w:val="1FE622F1"/>
    <w:rsid w:val="1FE623EE"/>
    <w:rsid w:val="1FE7539E"/>
    <w:rsid w:val="1FFA57F0"/>
    <w:rsid w:val="20016FBD"/>
    <w:rsid w:val="20072141"/>
    <w:rsid w:val="2016664D"/>
    <w:rsid w:val="2019234D"/>
    <w:rsid w:val="201D25F8"/>
    <w:rsid w:val="202312F5"/>
    <w:rsid w:val="202477CF"/>
    <w:rsid w:val="20263926"/>
    <w:rsid w:val="202B2980"/>
    <w:rsid w:val="204D2A1C"/>
    <w:rsid w:val="205A2C47"/>
    <w:rsid w:val="20666C96"/>
    <w:rsid w:val="20671BE0"/>
    <w:rsid w:val="208337BA"/>
    <w:rsid w:val="20963CB8"/>
    <w:rsid w:val="209F54C1"/>
    <w:rsid w:val="20A81A1B"/>
    <w:rsid w:val="20A8717A"/>
    <w:rsid w:val="20B07FB6"/>
    <w:rsid w:val="20B646FB"/>
    <w:rsid w:val="20BA7648"/>
    <w:rsid w:val="20BC2519"/>
    <w:rsid w:val="20C21B46"/>
    <w:rsid w:val="20CA7392"/>
    <w:rsid w:val="20CF75CC"/>
    <w:rsid w:val="20D72039"/>
    <w:rsid w:val="20DD650E"/>
    <w:rsid w:val="20DD74DA"/>
    <w:rsid w:val="20EA22D2"/>
    <w:rsid w:val="20F06F99"/>
    <w:rsid w:val="20FA64FA"/>
    <w:rsid w:val="21091649"/>
    <w:rsid w:val="21187B7C"/>
    <w:rsid w:val="211F1E10"/>
    <w:rsid w:val="21277136"/>
    <w:rsid w:val="213B74B1"/>
    <w:rsid w:val="21572671"/>
    <w:rsid w:val="215A2310"/>
    <w:rsid w:val="215B4D59"/>
    <w:rsid w:val="215C0CE5"/>
    <w:rsid w:val="216C6B65"/>
    <w:rsid w:val="217229AB"/>
    <w:rsid w:val="2174081D"/>
    <w:rsid w:val="217B0546"/>
    <w:rsid w:val="21847913"/>
    <w:rsid w:val="218812DB"/>
    <w:rsid w:val="218C2AFA"/>
    <w:rsid w:val="218C6847"/>
    <w:rsid w:val="218F47F3"/>
    <w:rsid w:val="21973F77"/>
    <w:rsid w:val="219D56AB"/>
    <w:rsid w:val="21AD5CF7"/>
    <w:rsid w:val="21B47B14"/>
    <w:rsid w:val="21B5098F"/>
    <w:rsid w:val="21BF75AB"/>
    <w:rsid w:val="21C141AA"/>
    <w:rsid w:val="21CC1F6D"/>
    <w:rsid w:val="21D442BF"/>
    <w:rsid w:val="21DE318A"/>
    <w:rsid w:val="21E801A3"/>
    <w:rsid w:val="21EF5B80"/>
    <w:rsid w:val="21FF2FFB"/>
    <w:rsid w:val="2217260A"/>
    <w:rsid w:val="22205A5A"/>
    <w:rsid w:val="224526D1"/>
    <w:rsid w:val="224610C5"/>
    <w:rsid w:val="224865CB"/>
    <w:rsid w:val="22576990"/>
    <w:rsid w:val="225E0711"/>
    <w:rsid w:val="226673D4"/>
    <w:rsid w:val="22754537"/>
    <w:rsid w:val="22782811"/>
    <w:rsid w:val="22795C60"/>
    <w:rsid w:val="228465DE"/>
    <w:rsid w:val="228B1272"/>
    <w:rsid w:val="229662EA"/>
    <w:rsid w:val="22B05739"/>
    <w:rsid w:val="22B35C26"/>
    <w:rsid w:val="22B73BDE"/>
    <w:rsid w:val="22B85A17"/>
    <w:rsid w:val="22CC7F31"/>
    <w:rsid w:val="22D24207"/>
    <w:rsid w:val="22F47480"/>
    <w:rsid w:val="22FA7779"/>
    <w:rsid w:val="23123311"/>
    <w:rsid w:val="23213086"/>
    <w:rsid w:val="23236E32"/>
    <w:rsid w:val="23275881"/>
    <w:rsid w:val="23336A12"/>
    <w:rsid w:val="233D21DC"/>
    <w:rsid w:val="236D01DC"/>
    <w:rsid w:val="23776438"/>
    <w:rsid w:val="23855466"/>
    <w:rsid w:val="238D3905"/>
    <w:rsid w:val="239509AA"/>
    <w:rsid w:val="2398782E"/>
    <w:rsid w:val="239F1A46"/>
    <w:rsid w:val="23A90503"/>
    <w:rsid w:val="23B1073F"/>
    <w:rsid w:val="23B42CE3"/>
    <w:rsid w:val="23B74B6B"/>
    <w:rsid w:val="23BE5ACF"/>
    <w:rsid w:val="23C66C8A"/>
    <w:rsid w:val="23CE20A2"/>
    <w:rsid w:val="23D12B15"/>
    <w:rsid w:val="23D8630C"/>
    <w:rsid w:val="23DE1C48"/>
    <w:rsid w:val="23FA0EFF"/>
    <w:rsid w:val="23FE5D79"/>
    <w:rsid w:val="240210CD"/>
    <w:rsid w:val="240526B7"/>
    <w:rsid w:val="240D536E"/>
    <w:rsid w:val="242D5E74"/>
    <w:rsid w:val="24304922"/>
    <w:rsid w:val="24473611"/>
    <w:rsid w:val="24510853"/>
    <w:rsid w:val="245B0A86"/>
    <w:rsid w:val="246247C1"/>
    <w:rsid w:val="24714169"/>
    <w:rsid w:val="24736ED2"/>
    <w:rsid w:val="24915FCA"/>
    <w:rsid w:val="24A614BF"/>
    <w:rsid w:val="24A85062"/>
    <w:rsid w:val="24B9321D"/>
    <w:rsid w:val="24BA79C2"/>
    <w:rsid w:val="24BF09F7"/>
    <w:rsid w:val="24CB7E07"/>
    <w:rsid w:val="24CF4968"/>
    <w:rsid w:val="24FA371F"/>
    <w:rsid w:val="24FE15B7"/>
    <w:rsid w:val="25141767"/>
    <w:rsid w:val="2517747F"/>
    <w:rsid w:val="251A737F"/>
    <w:rsid w:val="25203E86"/>
    <w:rsid w:val="252D53FE"/>
    <w:rsid w:val="25375E9A"/>
    <w:rsid w:val="2538127F"/>
    <w:rsid w:val="256612EA"/>
    <w:rsid w:val="25721AB6"/>
    <w:rsid w:val="25761C64"/>
    <w:rsid w:val="258914B8"/>
    <w:rsid w:val="25B41ED2"/>
    <w:rsid w:val="25C16591"/>
    <w:rsid w:val="25CB23C5"/>
    <w:rsid w:val="25E73D48"/>
    <w:rsid w:val="25EC2D81"/>
    <w:rsid w:val="25FA7C38"/>
    <w:rsid w:val="25FC4587"/>
    <w:rsid w:val="25FF3078"/>
    <w:rsid w:val="261001D9"/>
    <w:rsid w:val="2622252A"/>
    <w:rsid w:val="26350A41"/>
    <w:rsid w:val="263F2D13"/>
    <w:rsid w:val="264A5ECC"/>
    <w:rsid w:val="264D28A0"/>
    <w:rsid w:val="2653341A"/>
    <w:rsid w:val="26640E37"/>
    <w:rsid w:val="26660F08"/>
    <w:rsid w:val="267656DF"/>
    <w:rsid w:val="26974E85"/>
    <w:rsid w:val="26A908CA"/>
    <w:rsid w:val="26A93E8F"/>
    <w:rsid w:val="26C718E1"/>
    <w:rsid w:val="26D31A8E"/>
    <w:rsid w:val="26D96204"/>
    <w:rsid w:val="26F05338"/>
    <w:rsid w:val="270253E1"/>
    <w:rsid w:val="270F0928"/>
    <w:rsid w:val="270F36BC"/>
    <w:rsid w:val="272A6CD8"/>
    <w:rsid w:val="274A1DA7"/>
    <w:rsid w:val="274C2296"/>
    <w:rsid w:val="274D283F"/>
    <w:rsid w:val="275E654C"/>
    <w:rsid w:val="277057A2"/>
    <w:rsid w:val="27751931"/>
    <w:rsid w:val="277519D2"/>
    <w:rsid w:val="2779481D"/>
    <w:rsid w:val="278516C5"/>
    <w:rsid w:val="27877C80"/>
    <w:rsid w:val="279A642A"/>
    <w:rsid w:val="27C677F6"/>
    <w:rsid w:val="27D81388"/>
    <w:rsid w:val="27DB7F09"/>
    <w:rsid w:val="27E220F8"/>
    <w:rsid w:val="28077A90"/>
    <w:rsid w:val="28221B7F"/>
    <w:rsid w:val="282910EA"/>
    <w:rsid w:val="28477772"/>
    <w:rsid w:val="28494D42"/>
    <w:rsid w:val="284F1FC3"/>
    <w:rsid w:val="28607840"/>
    <w:rsid w:val="286355AD"/>
    <w:rsid w:val="287E7B28"/>
    <w:rsid w:val="288361FA"/>
    <w:rsid w:val="28914629"/>
    <w:rsid w:val="28A3039B"/>
    <w:rsid w:val="28A73E37"/>
    <w:rsid w:val="28BD1A84"/>
    <w:rsid w:val="28BF2E93"/>
    <w:rsid w:val="28C30ADD"/>
    <w:rsid w:val="28CB4F8E"/>
    <w:rsid w:val="28E160D6"/>
    <w:rsid w:val="28F04EB0"/>
    <w:rsid w:val="290947E1"/>
    <w:rsid w:val="29142BB7"/>
    <w:rsid w:val="29206EB8"/>
    <w:rsid w:val="292C42C8"/>
    <w:rsid w:val="293145D7"/>
    <w:rsid w:val="293D7C1E"/>
    <w:rsid w:val="29487234"/>
    <w:rsid w:val="294B71E7"/>
    <w:rsid w:val="294D5264"/>
    <w:rsid w:val="29554151"/>
    <w:rsid w:val="29584862"/>
    <w:rsid w:val="29595666"/>
    <w:rsid w:val="295B3521"/>
    <w:rsid w:val="295E729E"/>
    <w:rsid w:val="295F5373"/>
    <w:rsid w:val="29636EE2"/>
    <w:rsid w:val="29874881"/>
    <w:rsid w:val="29896C94"/>
    <w:rsid w:val="29945A64"/>
    <w:rsid w:val="299570E4"/>
    <w:rsid w:val="29A27A35"/>
    <w:rsid w:val="29AD3124"/>
    <w:rsid w:val="29B24CB1"/>
    <w:rsid w:val="29C30139"/>
    <w:rsid w:val="29DC28BC"/>
    <w:rsid w:val="29E325E0"/>
    <w:rsid w:val="29EB5382"/>
    <w:rsid w:val="29F12BEC"/>
    <w:rsid w:val="29F80C48"/>
    <w:rsid w:val="2A1C29F6"/>
    <w:rsid w:val="2A1E333B"/>
    <w:rsid w:val="2A2111FF"/>
    <w:rsid w:val="2A2D458A"/>
    <w:rsid w:val="2A36534E"/>
    <w:rsid w:val="2A3932AE"/>
    <w:rsid w:val="2A3A7A66"/>
    <w:rsid w:val="2A3E588B"/>
    <w:rsid w:val="2A420DDA"/>
    <w:rsid w:val="2A42208E"/>
    <w:rsid w:val="2A452503"/>
    <w:rsid w:val="2A690A53"/>
    <w:rsid w:val="2A6A1532"/>
    <w:rsid w:val="2A742763"/>
    <w:rsid w:val="2A756624"/>
    <w:rsid w:val="2A7E3448"/>
    <w:rsid w:val="2A8A745B"/>
    <w:rsid w:val="2A8F6B88"/>
    <w:rsid w:val="2A904580"/>
    <w:rsid w:val="2A942FB6"/>
    <w:rsid w:val="2AA50EFC"/>
    <w:rsid w:val="2AAD24DE"/>
    <w:rsid w:val="2AB76B0C"/>
    <w:rsid w:val="2ABE7E69"/>
    <w:rsid w:val="2ACD462A"/>
    <w:rsid w:val="2AD02D83"/>
    <w:rsid w:val="2AD107E6"/>
    <w:rsid w:val="2AD77E50"/>
    <w:rsid w:val="2ADC12E4"/>
    <w:rsid w:val="2AE17FDE"/>
    <w:rsid w:val="2AE64059"/>
    <w:rsid w:val="2B016D70"/>
    <w:rsid w:val="2B0F218D"/>
    <w:rsid w:val="2B1E0458"/>
    <w:rsid w:val="2B2C2790"/>
    <w:rsid w:val="2B590D17"/>
    <w:rsid w:val="2B5B028B"/>
    <w:rsid w:val="2B63407D"/>
    <w:rsid w:val="2B6D4286"/>
    <w:rsid w:val="2B721BDD"/>
    <w:rsid w:val="2B8544D3"/>
    <w:rsid w:val="2B8E4691"/>
    <w:rsid w:val="2B91392E"/>
    <w:rsid w:val="2B9743AD"/>
    <w:rsid w:val="2B9F6A8E"/>
    <w:rsid w:val="2BA47C2A"/>
    <w:rsid w:val="2BA936A8"/>
    <w:rsid w:val="2BAE5020"/>
    <w:rsid w:val="2BB63A3A"/>
    <w:rsid w:val="2BC30369"/>
    <w:rsid w:val="2BDC0E10"/>
    <w:rsid w:val="2BEB6DA9"/>
    <w:rsid w:val="2C0B34B0"/>
    <w:rsid w:val="2C0C7DD2"/>
    <w:rsid w:val="2C204FF0"/>
    <w:rsid w:val="2C260761"/>
    <w:rsid w:val="2C2F57E9"/>
    <w:rsid w:val="2C2F7158"/>
    <w:rsid w:val="2C315A5A"/>
    <w:rsid w:val="2C4B1C25"/>
    <w:rsid w:val="2C4C7E4D"/>
    <w:rsid w:val="2C4D1DA3"/>
    <w:rsid w:val="2C565BD5"/>
    <w:rsid w:val="2C6D0059"/>
    <w:rsid w:val="2C712950"/>
    <w:rsid w:val="2C824D27"/>
    <w:rsid w:val="2C85737E"/>
    <w:rsid w:val="2CAB47C4"/>
    <w:rsid w:val="2CAB4B09"/>
    <w:rsid w:val="2CC83FD6"/>
    <w:rsid w:val="2CD30950"/>
    <w:rsid w:val="2CD723FE"/>
    <w:rsid w:val="2CE14A53"/>
    <w:rsid w:val="2CE34EF1"/>
    <w:rsid w:val="2CED5719"/>
    <w:rsid w:val="2CF72663"/>
    <w:rsid w:val="2D1669E8"/>
    <w:rsid w:val="2D2732F3"/>
    <w:rsid w:val="2D592501"/>
    <w:rsid w:val="2D623437"/>
    <w:rsid w:val="2D67461C"/>
    <w:rsid w:val="2D8471EB"/>
    <w:rsid w:val="2D8A6046"/>
    <w:rsid w:val="2D986831"/>
    <w:rsid w:val="2D9E56F5"/>
    <w:rsid w:val="2DA55E14"/>
    <w:rsid w:val="2DB02B80"/>
    <w:rsid w:val="2DB32808"/>
    <w:rsid w:val="2DB61ABF"/>
    <w:rsid w:val="2DC65E2A"/>
    <w:rsid w:val="2DCA2C72"/>
    <w:rsid w:val="2DE11530"/>
    <w:rsid w:val="2DE666D4"/>
    <w:rsid w:val="2DF52498"/>
    <w:rsid w:val="2DFA00BA"/>
    <w:rsid w:val="2DFC7555"/>
    <w:rsid w:val="2DFE32A4"/>
    <w:rsid w:val="2E232336"/>
    <w:rsid w:val="2E296FB1"/>
    <w:rsid w:val="2E2D2C7D"/>
    <w:rsid w:val="2E2E72B2"/>
    <w:rsid w:val="2E367E8D"/>
    <w:rsid w:val="2E4674FC"/>
    <w:rsid w:val="2E4D1577"/>
    <w:rsid w:val="2E667F96"/>
    <w:rsid w:val="2E8226AB"/>
    <w:rsid w:val="2E836E5A"/>
    <w:rsid w:val="2E8516BB"/>
    <w:rsid w:val="2E8A00F0"/>
    <w:rsid w:val="2E8E6F7B"/>
    <w:rsid w:val="2E8F72E3"/>
    <w:rsid w:val="2E9821AD"/>
    <w:rsid w:val="2E9E06A6"/>
    <w:rsid w:val="2EB55968"/>
    <w:rsid w:val="2EC1089B"/>
    <w:rsid w:val="2EC479D2"/>
    <w:rsid w:val="2EDB39B9"/>
    <w:rsid w:val="2EED1BC0"/>
    <w:rsid w:val="2EF038AE"/>
    <w:rsid w:val="2EF15F4B"/>
    <w:rsid w:val="2EFD0ED9"/>
    <w:rsid w:val="2F0568F3"/>
    <w:rsid w:val="2F1A219A"/>
    <w:rsid w:val="2F2D0BD0"/>
    <w:rsid w:val="2F382528"/>
    <w:rsid w:val="2F485C43"/>
    <w:rsid w:val="2F581C6C"/>
    <w:rsid w:val="2F6C54D3"/>
    <w:rsid w:val="2F721949"/>
    <w:rsid w:val="2F81601B"/>
    <w:rsid w:val="2F9E1CE5"/>
    <w:rsid w:val="2FA04364"/>
    <w:rsid w:val="2FA16C68"/>
    <w:rsid w:val="2FAB28B5"/>
    <w:rsid w:val="2FAF3C98"/>
    <w:rsid w:val="2FB14A33"/>
    <w:rsid w:val="2FC526B8"/>
    <w:rsid w:val="2FCF4DC1"/>
    <w:rsid w:val="2FD065E6"/>
    <w:rsid w:val="2FD30F44"/>
    <w:rsid w:val="2FD96870"/>
    <w:rsid w:val="2FDA1B9F"/>
    <w:rsid w:val="2FDC4E44"/>
    <w:rsid w:val="2FE0175E"/>
    <w:rsid w:val="2FEC2CD3"/>
    <w:rsid w:val="2FEE4BE4"/>
    <w:rsid w:val="2FF0761D"/>
    <w:rsid w:val="2FF73D62"/>
    <w:rsid w:val="2FFE6B3F"/>
    <w:rsid w:val="30095A08"/>
    <w:rsid w:val="300E7EE0"/>
    <w:rsid w:val="302259F5"/>
    <w:rsid w:val="302F5CC6"/>
    <w:rsid w:val="30313232"/>
    <w:rsid w:val="30346CC3"/>
    <w:rsid w:val="30515FFE"/>
    <w:rsid w:val="30580BC9"/>
    <w:rsid w:val="30595CEE"/>
    <w:rsid w:val="307827BA"/>
    <w:rsid w:val="307A5B03"/>
    <w:rsid w:val="30A25F0E"/>
    <w:rsid w:val="30AF4EE2"/>
    <w:rsid w:val="30BC0FF1"/>
    <w:rsid w:val="30CE3163"/>
    <w:rsid w:val="30D47DFE"/>
    <w:rsid w:val="30ED5F42"/>
    <w:rsid w:val="30EF107B"/>
    <w:rsid w:val="30F25500"/>
    <w:rsid w:val="310446E2"/>
    <w:rsid w:val="3109307F"/>
    <w:rsid w:val="311E2ED7"/>
    <w:rsid w:val="312A290C"/>
    <w:rsid w:val="31435BAD"/>
    <w:rsid w:val="314E19F0"/>
    <w:rsid w:val="31551ECE"/>
    <w:rsid w:val="315619EE"/>
    <w:rsid w:val="315C449C"/>
    <w:rsid w:val="31733EDF"/>
    <w:rsid w:val="3183186B"/>
    <w:rsid w:val="318E7E74"/>
    <w:rsid w:val="31940D47"/>
    <w:rsid w:val="3194289D"/>
    <w:rsid w:val="31963315"/>
    <w:rsid w:val="31A01217"/>
    <w:rsid w:val="31A70133"/>
    <w:rsid w:val="31A850A5"/>
    <w:rsid w:val="31B82709"/>
    <w:rsid w:val="31CA00F4"/>
    <w:rsid w:val="31CE7711"/>
    <w:rsid w:val="31D05482"/>
    <w:rsid w:val="31D4793E"/>
    <w:rsid w:val="31DC774E"/>
    <w:rsid w:val="31E53186"/>
    <w:rsid w:val="31E568AC"/>
    <w:rsid w:val="31E645B2"/>
    <w:rsid w:val="31EA0434"/>
    <w:rsid w:val="31EA24AB"/>
    <w:rsid w:val="31F47483"/>
    <w:rsid w:val="31F47FFC"/>
    <w:rsid w:val="31FD7C38"/>
    <w:rsid w:val="32074B23"/>
    <w:rsid w:val="32106093"/>
    <w:rsid w:val="3211647D"/>
    <w:rsid w:val="3222395D"/>
    <w:rsid w:val="32314D8B"/>
    <w:rsid w:val="32400B34"/>
    <w:rsid w:val="324F5225"/>
    <w:rsid w:val="325E2BAB"/>
    <w:rsid w:val="327012A1"/>
    <w:rsid w:val="32726C15"/>
    <w:rsid w:val="32824216"/>
    <w:rsid w:val="328B689F"/>
    <w:rsid w:val="329E6876"/>
    <w:rsid w:val="32A80688"/>
    <w:rsid w:val="32AC4DF2"/>
    <w:rsid w:val="32DD13A5"/>
    <w:rsid w:val="32DF5385"/>
    <w:rsid w:val="32EE3827"/>
    <w:rsid w:val="32EE3994"/>
    <w:rsid w:val="32F56081"/>
    <w:rsid w:val="330257C9"/>
    <w:rsid w:val="3308789D"/>
    <w:rsid w:val="330E572E"/>
    <w:rsid w:val="331430AF"/>
    <w:rsid w:val="33191008"/>
    <w:rsid w:val="331B7260"/>
    <w:rsid w:val="33202BF6"/>
    <w:rsid w:val="333015F2"/>
    <w:rsid w:val="333F783C"/>
    <w:rsid w:val="33457009"/>
    <w:rsid w:val="334B6320"/>
    <w:rsid w:val="33520841"/>
    <w:rsid w:val="335E40F3"/>
    <w:rsid w:val="336F0DBE"/>
    <w:rsid w:val="33707536"/>
    <w:rsid w:val="337955D1"/>
    <w:rsid w:val="33921F3A"/>
    <w:rsid w:val="33B96812"/>
    <w:rsid w:val="33BF0415"/>
    <w:rsid w:val="33D53E3C"/>
    <w:rsid w:val="33D7587B"/>
    <w:rsid w:val="33D934D4"/>
    <w:rsid w:val="33DC1B90"/>
    <w:rsid w:val="33E82FC0"/>
    <w:rsid w:val="33F12782"/>
    <w:rsid w:val="33FE2F6A"/>
    <w:rsid w:val="340A726A"/>
    <w:rsid w:val="340E07E5"/>
    <w:rsid w:val="340F4D3C"/>
    <w:rsid w:val="34177DBB"/>
    <w:rsid w:val="341F027C"/>
    <w:rsid w:val="341F40ED"/>
    <w:rsid w:val="34235BF7"/>
    <w:rsid w:val="34351E49"/>
    <w:rsid w:val="343D752F"/>
    <w:rsid w:val="3457226A"/>
    <w:rsid w:val="345E52ED"/>
    <w:rsid w:val="346A7183"/>
    <w:rsid w:val="346B3893"/>
    <w:rsid w:val="3473507F"/>
    <w:rsid w:val="34923507"/>
    <w:rsid w:val="34A569A1"/>
    <w:rsid w:val="34A85B58"/>
    <w:rsid w:val="34AB5427"/>
    <w:rsid w:val="34AE59F2"/>
    <w:rsid w:val="34C12538"/>
    <w:rsid w:val="34C25CB8"/>
    <w:rsid w:val="34CC153D"/>
    <w:rsid w:val="34D20F62"/>
    <w:rsid w:val="34DC5672"/>
    <w:rsid w:val="34F0615C"/>
    <w:rsid w:val="35047282"/>
    <w:rsid w:val="350B25D0"/>
    <w:rsid w:val="351216E7"/>
    <w:rsid w:val="35267B94"/>
    <w:rsid w:val="35295792"/>
    <w:rsid w:val="352C0E67"/>
    <w:rsid w:val="352F74B4"/>
    <w:rsid w:val="35362BA1"/>
    <w:rsid w:val="35372D3A"/>
    <w:rsid w:val="353B06B5"/>
    <w:rsid w:val="355A4BF8"/>
    <w:rsid w:val="355A5A92"/>
    <w:rsid w:val="355B2710"/>
    <w:rsid w:val="355F77A6"/>
    <w:rsid w:val="356130D4"/>
    <w:rsid w:val="3568541D"/>
    <w:rsid w:val="3575785E"/>
    <w:rsid w:val="358C5FA8"/>
    <w:rsid w:val="3590728A"/>
    <w:rsid w:val="35AE6556"/>
    <w:rsid w:val="35B93DB9"/>
    <w:rsid w:val="35C15DF1"/>
    <w:rsid w:val="35C4175C"/>
    <w:rsid w:val="35CD01F1"/>
    <w:rsid w:val="35CE2F97"/>
    <w:rsid w:val="35D06206"/>
    <w:rsid w:val="35D30327"/>
    <w:rsid w:val="35EA33C7"/>
    <w:rsid w:val="35EB79DF"/>
    <w:rsid w:val="35F66CCA"/>
    <w:rsid w:val="35F96799"/>
    <w:rsid w:val="35FE60E4"/>
    <w:rsid w:val="360073AB"/>
    <w:rsid w:val="36074A7F"/>
    <w:rsid w:val="36153780"/>
    <w:rsid w:val="36166454"/>
    <w:rsid w:val="361A5473"/>
    <w:rsid w:val="3620469C"/>
    <w:rsid w:val="362B012F"/>
    <w:rsid w:val="36512172"/>
    <w:rsid w:val="36527AD9"/>
    <w:rsid w:val="365A1A31"/>
    <w:rsid w:val="36603F8B"/>
    <w:rsid w:val="366E3120"/>
    <w:rsid w:val="36712709"/>
    <w:rsid w:val="367457DF"/>
    <w:rsid w:val="368D6CBD"/>
    <w:rsid w:val="36921B65"/>
    <w:rsid w:val="36923549"/>
    <w:rsid w:val="36AB1B13"/>
    <w:rsid w:val="36AB3EA1"/>
    <w:rsid w:val="36AF60D1"/>
    <w:rsid w:val="36B32D41"/>
    <w:rsid w:val="36B75FBF"/>
    <w:rsid w:val="36B86EAD"/>
    <w:rsid w:val="36BD0C45"/>
    <w:rsid w:val="36D66CB8"/>
    <w:rsid w:val="36DC5031"/>
    <w:rsid w:val="36E77119"/>
    <w:rsid w:val="36F23C91"/>
    <w:rsid w:val="36F75D93"/>
    <w:rsid w:val="36FD7F0F"/>
    <w:rsid w:val="370A6053"/>
    <w:rsid w:val="370B4974"/>
    <w:rsid w:val="370C4677"/>
    <w:rsid w:val="37122AF2"/>
    <w:rsid w:val="37161A89"/>
    <w:rsid w:val="372F2693"/>
    <w:rsid w:val="37517E6F"/>
    <w:rsid w:val="37703C53"/>
    <w:rsid w:val="377B7886"/>
    <w:rsid w:val="377F577A"/>
    <w:rsid w:val="3785293B"/>
    <w:rsid w:val="378F0F41"/>
    <w:rsid w:val="37916B5A"/>
    <w:rsid w:val="37993671"/>
    <w:rsid w:val="37B14DDF"/>
    <w:rsid w:val="37D747A7"/>
    <w:rsid w:val="37DA540E"/>
    <w:rsid w:val="37E00298"/>
    <w:rsid w:val="37E11891"/>
    <w:rsid w:val="37E827F8"/>
    <w:rsid w:val="37FA799C"/>
    <w:rsid w:val="37FB5FFA"/>
    <w:rsid w:val="380F4618"/>
    <w:rsid w:val="3820186F"/>
    <w:rsid w:val="38351591"/>
    <w:rsid w:val="384A5AF3"/>
    <w:rsid w:val="384E38BF"/>
    <w:rsid w:val="38503FBD"/>
    <w:rsid w:val="385D0CD0"/>
    <w:rsid w:val="38720CF2"/>
    <w:rsid w:val="388D7388"/>
    <w:rsid w:val="388E3078"/>
    <w:rsid w:val="38963173"/>
    <w:rsid w:val="38B302F9"/>
    <w:rsid w:val="38B86A17"/>
    <w:rsid w:val="38D344B8"/>
    <w:rsid w:val="38D74B44"/>
    <w:rsid w:val="38EB50D0"/>
    <w:rsid w:val="38EE64A6"/>
    <w:rsid w:val="38F12CD3"/>
    <w:rsid w:val="38F94775"/>
    <w:rsid w:val="38FC026B"/>
    <w:rsid w:val="39037210"/>
    <w:rsid w:val="390D7488"/>
    <w:rsid w:val="392971ED"/>
    <w:rsid w:val="392C6674"/>
    <w:rsid w:val="39323D56"/>
    <w:rsid w:val="39325651"/>
    <w:rsid w:val="394B790A"/>
    <w:rsid w:val="39681C02"/>
    <w:rsid w:val="398355DF"/>
    <w:rsid w:val="39846709"/>
    <w:rsid w:val="399A3620"/>
    <w:rsid w:val="39A62050"/>
    <w:rsid w:val="39A97D66"/>
    <w:rsid w:val="39AF5595"/>
    <w:rsid w:val="39B4323E"/>
    <w:rsid w:val="39B6337C"/>
    <w:rsid w:val="39BA6517"/>
    <w:rsid w:val="39C224E0"/>
    <w:rsid w:val="39C6058E"/>
    <w:rsid w:val="39C61624"/>
    <w:rsid w:val="39CF121B"/>
    <w:rsid w:val="39D11F3B"/>
    <w:rsid w:val="39EB15F6"/>
    <w:rsid w:val="3A0B1DF3"/>
    <w:rsid w:val="3A167586"/>
    <w:rsid w:val="3A2F6760"/>
    <w:rsid w:val="3A3919CA"/>
    <w:rsid w:val="3A7206DC"/>
    <w:rsid w:val="3A740C9F"/>
    <w:rsid w:val="3A872856"/>
    <w:rsid w:val="3A8F78FD"/>
    <w:rsid w:val="3A9354FB"/>
    <w:rsid w:val="3AA00DD4"/>
    <w:rsid w:val="3AAC0695"/>
    <w:rsid w:val="3AC97AAA"/>
    <w:rsid w:val="3ACB168A"/>
    <w:rsid w:val="3AD47E3F"/>
    <w:rsid w:val="3AD578BE"/>
    <w:rsid w:val="3ADC7534"/>
    <w:rsid w:val="3B15203A"/>
    <w:rsid w:val="3B17652B"/>
    <w:rsid w:val="3B1C46AE"/>
    <w:rsid w:val="3B26576F"/>
    <w:rsid w:val="3B3763D1"/>
    <w:rsid w:val="3B4778E2"/>
    <w:rsid w:val="3B494F9B"/>
    <w:rsid w:val="3B60252F"/>
    <w:rsid w:val="3B89782D"/>
    <w:rsid w:val="3B91535D"/>
    <w:rsid w:val="3B992965"/>
    <w:rsid w:val="3B9A27D1"/>
    <w:rsid w:val="3B9C5E70"/>
    <w:rsid w:val="3BA41960"/>
    <w:rsid w:val="3BBA6E61"/>
    <w:rsid w:val="3BBF7547"/>
    <w:rsid w:val="3BC40631"/>
    <w:rsid w:val="3BE26846"/>
    <w:rsid w:val="3C07291B"/>
    <w:rsid w:val="3C0B1241"/>
    <w:rsid w:val="3C0C3193"/>
    <w:rsid w:val="3C15539D"/>
    <w:rsid w:val="3C2A7D26"/>
    <w:rsid w:val="3C2B5A30"/>
    <w:rsid w:val="3C2D47FA"/>
    <w:rsid w:val="3C2F6E1E"/>
    <w:rsid w:val="3C3D62A7"/>
    <w:rsid w:val="3C4333FA"/>
    <w:rsid w:val="3C4F64BA"/>
    <w:rsid w:val="3C575941"/>
    <w:rsid w:val="3C655E40"/>
    <w:rsid w:val="3C680D06"/>
    <w:rsid w:val="3C747AE7"/>
    <w:rsid w:val="3C813A65"/>
    <w:rsid w:val="3CAD7BA4"/>
    <w:rsid w:val="3CB404E9"/>
    <w:rsid w:val="3CCA02C3"/>
    <w:rsid w:val="3CCA034E"/>
    <w:rsid w:val="3CCE7A82"/>
    <w:rsid w:val="3CDA245A"/>
    <w:rsid w:val="3CE16140"/>
    <w:rsid w:val="3CEC3936"/>
    <w:rsid w:val="3CF4392B"/>
    <w:rsid w:val="3CFB2FAD"/>
    <w:rsid w:val="3D047B7B"/>
    <w:rsid w:val="3D094377"/>
    <w:rsid w:val="3D0E7036"/>
    <w:rsid w:val="3D1028FB"/>
    <w:rsid w:val="3D1E06B7"/>
    <w:rsid w:val="3D73514F"/>
    <w:rsid w:val="3DAA6621"/>
    <w:rsid w:val="3DB67807"/>
    <w:rsid w:val="3DBC290D"/>
    <w:rsid w:val="3DDB45C6"/>
    <w:rsid w:val="3DF511B8"/>
    <w:rsid w:val="3E13029B"/>
    <w:rsid w:val="3E28203B"/>
    <w:rsid w:val="3E4151A4"/>
    <w:rsid w:val="3E96583C"/>
    <w:rsid w:val="3EA82F9F"/>
    <w:rsid w:val="3EC14AB9"/>
    <w:rsid w:val="3EDA0523"/>
    <w:rsid w:val="3EDB3A33"/>
    <w:rsid w:val="3EE53A81"/>
    <w:rsid w:val="3EEA4FF3"/>
    <w:rsid w:val="3EED2553"/>
    <w:rsid w:val="3F1057AC"/>
    <w:rsid w:val="3F1F3FEF"/>
    <w:rsid w:val="3F2618DF"/>
    <w:rsid w:val="3F316A6F"/>
    <w:rsid w:val="3F396AF0"/>
    <w:rsid w:val="3F515BAB"/>
    <w:rsid w:val="3F713A37"/>
    <w:rsid w:val="3F7A367C"/>
    <w:rsid w:val="3F8857AA"/>
    <w:rsid w:val="3F944C03"/>
    <w:rsid w:val="3F961F5F"/>
    <w:rsid w:val="3F962C67"/>
    <w:rsid w:val="3FCE2D50"/>
    <w:rsid w:val="3FE17F1E"/>
    <w:rsid w:val="3FE80C9D"/>
    <w:rsid w:val="3FF04EF7"/>
    <w:rsid w:val="3FF058D7"/>
    <w:rsid w:val="3FFE7A44"/>
    <w:rsid w:val="40027501"/>
    <w:rsid w:val="4015385D"/>
    <w:rsid w:val="401F15F8"/>
    <w:rsid w:val="401F1D12"/>
    <w:rsid w:val="40221B60"/>
    <w:rsid w:val="40287A5A"/>
    <w:rsid w:val="402B35DF"/>
    <w:rsid w:val="40414C0B"/>
    <w:rsid w:val="40426387"/>
    <w:rsid w:val="40457F0C"/>
    <w:rsid w:val="406B0215"/>
    <w:rsid w:val="407A6407"/>
    <w:rsid w:val="407B43BC"/>
    <w:rsid w:val="40814AC4"/>
    <w:rsid w:val="4088519E"/>
    <w:rsid w:val="40A722C5"/>
    <w:rsid w:val="40B57759"/>
    <w:rsid w:val="40C648FD"/>
    <w:rsid w:val="40DE2879"/>
    <w:rsid w:val="40E9489B"/>
    <w:rsid w:val="41056503"/>
    <w:rsid w:val="4106089E"/>
    <w:rsid w:val="414305EC"/>
    <w:rsid w:val="41435869"/>
    <w:rsid w:val="414E6D89"/>
    <w:rsid w:val="41580865"/>
    <w:rsid w:val="416D57FC"/>
    <w:rsid w:val="41700F54"/>
    <w:rsid w:val="41945910"/>
    <w:rsid w:val="41AB4B85"/>
    <w:rsid w:val="41AF650A"/>
    <w:rsid w:val="41BF0053"/>
    <w:rsid w:val="41D04E6E"/>
    <w:rsid w:val="41DD43D9"/>
    <w:rsid w:val="41E82CC7"/>
    <w:rsid w:val="41F4623D"/>
    <w:rsid w:val="41F77007"/>
    <w:rsid w:val="4200449D"/>
    <w:rsid w:val="42062A73"/>
    <w:rsid w:val="420856EB"/>
    <w:rsid w:val="421F7CDA"/>
    <w:rsid w:val="422B6695"/>
    <w:rsid w:val="423A3BCC"/>
    <w:rsid w:val="424708AB"/>
    <w:rsid w:val="424E57D2"/>
    <w:rsid w:val="425114CE"/>
    <w:rsid w:val="42590E0D"/>
    <w:rsid w:val="42641B13"/>
    <w:rsid w:val="426D186E"/>
    <w:rsid w:val="4271611D"/>
    <w:rsid w:val="42737DA0"/>
    <w:rsid w:val="427C773B"/>
    <w:rsid w:val="428F310F"/>
    <w:rsid w:val="428F4EBB"/>
    <w:rsid w:val="42932444"/>
    <w:rsid w:val="42A05753"/>
    <w:rsid w:val="42A52FCD"/>
    <w:rsid w:val="42A73169"/>
    <w:rsid w:val="42AC11C8"/>
    <w:rsid w:val="42AF0E3F"/>
    <w:rsid w:val="42B26C49"/>
    <w:rsid w:val="42C361AD"/>
    <w:rsid w:val="42C7485C"/>
    <w:rsid w:val="42CD66F7"/>
    <w:rsid w:val="42D26BC3"/>
    <w:rsid w:val="42DF21FF"/>
    <w:rsid w:val="42EC3307"/>
    <w:rsid w:val="42F0199D"/>
    <w:rsid w:val="42FD6D9C"/>
    <w:rsid w:val="43004BFA"/>
    <w:rsid w:val="430075AA"/>
    <w:rsid w:val="4303661A"/>
    <w:rsid w:val="430D52FD"/>
    <w:rsid w:val="43234C5C"/>
    <w:rsid w:val="43266966"/>
    <w:rsid w:val="433A6FE6"/>
    <w:rsid w:val="43480868"/>
    <w:rsid w:val="434E4C58"/>
    <w:rsid w:val="4350713C"/>
    <w:rsid w:val="436653E0"/>
    <w:rsid w:val="43A51329"/>
    <w:rsid w:val="43A7763B"/>
    <w:rsid w:val="43B064AA"/>
    <w:rsid w:val="43B45EC5"/>
    <w:rsid w:val="43C4431A"/>
    <w:rsid w:val="43CB2052"/>
    <w:rsid w:val="43D1436B"/>
    <w:rsid w:val="43D35104"/>
    <w:rsid w:val="43EC1BF2"/>
    <w:rsid w:val="43ED48C3"/>
    <w:rsid w:val="43EE5EB3"/>
    <w:rsid w:val="43EF3C97"/>
    <w:rsid w:val="43F22CEF"/>
    <w:rsid w:val="43FE4BA5"/>
    <w:rsid w:val="44014C53"/>
    <w:rsid w:val="44021D6A"/>
    <w:rsid w:val="440D6316"/>
    <w:rsid w:val="441117C2"/>
    <w:rsid w:val="442F22F3"/>
    <w:rsid w:val="444A34D7"/>
    <w:rsid w:val="444B551C"/>
    <w:rsid w:val="44641089"/>
    <w:rsid w:val="4467501D"/>
    <w:rsid w:val="4469344B"/>
    <w:rsid w:val="446E503B"/>
    <w:rsid w:val="447556D0"/>
    <w:rsid w:val="447A140A"/>
    <w:rsid w:val="4493319F"/>
    <w:rsid w:val="449773FC"/>
    <w:rsid w:val="44AE6EEA"/>
    <w:rsid w:val="44B951CC"/>
    <w:rsid w:val="44BA2A2D"/>
    <w:rsid w:val="44CA19F8"/>
    <w:rsid w:val="44CD14E0"/>
    <w:rsid w:val="44F20B0B"/>
    <w:rsid w:val="45000BDA"/>
    <w:rsid w:val="45057A82"/>
    <w:rsid w:val="450F49C7"/>
    <w:rsid w:val="452D5019"/>
    <w:rsid w:val="452E5F4C"/>
    <w:rsid w:val="45460001"/>
    <w:rsid w:val="45462BC7"/>
    <w:rsid w:val="455D53AC"/>
    <w:rsid w:val="45601D22"/>
    <w:rsid w:val="45612018"/>
    <w:rsid w:val="45783301"/>
    <w:rsid w:val="457C2402"/>
    <w:rsid w:val="45874D1C"/>
    <w:rsid w:val="458946E9"/>
    <w:rsid w:val="458C4D3B"/>
    <w:rsid w:val="458F492B"/>
    <w:rsid w:val="459C584A"/>
    <w:rsid w:val="45A47C0E"/>
    <w:rsid w:val="45A95887"/>
    <w:rsid w:val="45CB3768"/>
    <w:rsid w:val="45CB7491"/>
    <w:rsid w:val="45E044CF"/>
    <w:rsid w:val="45E362AC"/>
    <w:rsid w:val="45E45B6A"/>
    <w:rsid w:val="45E508D3"/>
    <w:rsid w:val="45EF1A65"/>
    <w:rsid w:val="45F53058"/>
    <w:rsid w:val="45FF55DC"/>
    <w:rsid w:val="46006AB3"/>
    <w:rsid w:val="46015A1D"/>
    <w:rsid w:val="460746D7"/>
    <w:rsid w:val="460F558D"/>
    <w:rsid w:val="46170044"/>
    <w:rsid w:val="46201C6B"/>
    <w:rsid w:val="463B7116"/>
    <w:rsid w:val="46524384"/>
    <w:rsid w:val="4653370C"/>
    <w:rsid w:val="46577FD6"/>
    <w:rsid w:val="467349C7"/>
    <w:rsid w:val="46747978"/>
    <w:rsid w:val="4676253E"/>
    <w:rsid w:val="46782F6E"/>
    <w:rsid w:val="46835A49"/>
    <w:rsid w:val="46A300EA"/>
    <w:rsid w:val="46A711DA"/>
    <w:rsid w:val="46AF17FE"/>
    <w:rsid w:val="46B717B2"/>
    <w:rsid w:val="46D955A7"/>
    <w:rsid w:val="46E0403D"/>
    <w:rsid w:val="46EA5E90"/>
    <w:rsid w:val="46EB0C36"/>
    <w:rsid w:val="46F24885"/>
    <w:rsid w:val="46F920EB"/>
    <w:rsid w:val="46FA61CA"/>
    <w:rsid w:val="47133957"/>
    <w:rsid w:val="47173D68"/>
    <w:rsid w:val="473D0BAD"/>
    <w:rsid w:val="47541A1E"/>
    <w:rsid w:val="47814639"/>
    <w:rsid w:val="4785245A"/>
    <w:rsid w:val="47970A02"/>
    <w:rsid w:val="479852FB"/>
    <w:rsid w:val="47A07E0C"/>
    <w:rsid w:val="47A15DD2"/>
    <w:rsid w:val="47BD4B04"/>
    <w:rsid w:val="47C56C25"/>
    <w:rsid w:val="47CC7AA5"/>
    <w:rsid w:val="47EB3A8A"/>
    <w:rsid w:val="47FF4AD3"/>
    <w:rsid w:val="481177E8"/>
    <w:rsid w:val="48364179"/>
    <w:rsid w:val="484F3113"/>
    <w:rsid w:val="48531B40"/>
    <w:rsid w:val="48535082"/>
    <w:rsid w:val="48584679"/>
    <w:rsid w:val="48597CD5"/>
    <w:rsid w:val="4861133B"/>
    <w:rsid w:val="4870272E"/>
    <w:rsid w:val="48744245"/>
    <w:rsid w:val="489B17CB"/>
    <w:rsid w:val="48A63BED"/>
    <w:rsid w:val="48AD67F6"/>
    <w:rsid w:val="48BC2773"/>
    <w:rsid w:val="48BE6175"/>
    <w:rsid w:val="48CC0514"/>
    <w:rsid w:val="48E6292F"/>
    <w:rsid w:val="48EE0F58"/>
    <w:rsid w:val="48F24EEC"/>
    <w:rsid w:val="48F95BBC"/>
    <w:rsid w:val="49136202"/>
    <w:rsid w:val="4918166B"/>
    <w:rsid w:val="491F6C9C"/>
    <w:rsid w:val="49357E79"/>
    <w:rsid w:val="49472E01"/>
    <w:rsid w:val="494B328E"/>
    <w:rsid w:val="4959475B"/>
    <w:rsid w:val="49607918"/>
    <w:rsid w:val="497152D8"/>
    <w:rsid w:val="497314ED"/>
    <w:rsid w:val="49781115"/>
    <w:rsid w:val="498014BC"/>
    <w:rsid w:val="49983D4E"/>
    <w:rsid w:val="499A05BA"/>
    <w:rsid w:val="49C114EF"/>
    <w:rsid w:val="49C56B74"/>
    <w:rsid w:val="49C825A1"/>
    <w:rsid w:val="49D4264B"/>
    <w:rsid w:val="49DC7715"/>
    <w:rsid w:val="49E7194F"/>
    <w:rsid w:val="49E827DA"/>
    <w:rsid w:val="4A023139"/>
    <w:rsid w:val="4A133351"/>
    <w:rsid w:val="4A344F32"/>
    <w:rsid w:val="4A373DF0"/>
    <w:rsid w:val="4A45619C"/>
    <w:rsid w:val="4A457EE8"/>
    <w:rsid w:val="4A622C44"/>
    <w:rsid w:val="4A7B576F"/>
    <w:rsid w:val="4A9E5BB9"/>
    <w:rsid w:val="4AAA1F3B"/>
    <w:rsid w:val="4AAF5970"/>
    <w:rsid w:val="4AB41A7F"/>
    <w:rsid w:val="4AC4452E"/>
    <w:rsid w:val="4AE204A2"/>
    <w:rsid w:val="4AEE103E"/>
    <w:rsid w:val="4AF561A9"/>
    <w:rsid w:val="4AFC6E84"/>
    <w:rsid w:val="4B1304D7"/>
    <w:rsid w:val="4B170504"/>
    <w:rsid w:val="4B19475E"/>
    <w:rsid w:val="4B1C4B4D"/>
    <w:rsid w:val="4B1E3DB2"/>
    <w:rsid w:val="4B3E6CA5"/>
    <w:rsid w:val="4B476278"/>
    <w:rsid w:val="4B6236AC"/>
    <w:rsid w:val="4B904DAE"/>
    <w:rsid w:val="4B9C432F"/>
    <w:rsid w:val="4BC76DC2"/>
    <w:rsid w:val="4BEF3DA3"/>
    <w:rsid w:val="4C0575F5"/>
    <w:rsid w:val="4C133994"/>
    <w:rsid w:val="4C373813"/>
    <w:rsid w:val="4C415DCE"/>
    <w:rsid w:val="4C4A0649"/>
    <w:rsid w:val="4C6530C5"/>
    <w:rsid w:val="4C6824F6"/>
    <w:rsid w:val="4C6A0000"/>
    <w:rsid w:val="4C6D52E0"/>
    <w:rsid w:val="4C7E5ECA"/>
    <w:rsid w:val="4C874E03"/>
    <w:rsid w:val="4C876AA5"/>
    <w:rsid w:val="4C8A1CDC"/>
    <w:rsid w:val="4C915965"/>
    <w:rsid w:val="4CA15301"/>
    <w:rsid w:val="4CAF16A8"/>
    <w:rsid w:val="4CB80FF2"/>
    <w:rsid w:val="4CD33C4B"/>
    <w:rsid w:val="4CDD318E"/>
    <w:rsid w:val="4CDF331E"/>
    <w:rsid w:val="4CE5562D"/>
    <w:rsid w:val="4CEF3096"/>
    <w:rsid w:val="4CF60B01"/>
    <w:rsid w:val="4CFA3C1F"/>
    <w:rsid w:val="4D0E00FB"/>
    <w:rsid w:val="4D0E2795"/>
    <w:rsid w:val="4D176606"/>
    <w:rsid w:val="4D3C0239"/>
    <w:rsid w:val="4D433DCC"/>
    <w:rsid w:val="4D5D13FD"/>
    <w:rsid w:val="4D6F0538"/>
    <w:rsid w:val="4D866CC3"/>
    <w:rsid w:val="4D987BDB"/>
    <w:rsid w:val="4D9E03E5"/>
    <w:rsid w:val="4DB120D2"/>
    <w:rsid w:val="4DB62172"/>
    <w:rsid w:val="4DC458EB"/>
    <w:rsid w:val="4DC86066"/>
    <w:rsid w:val="4DCD2184"/>
    <w:rsid w:val="4DD74D0F"/>
    <w:rsid w:val="4DDF2976"/>
    <w:rsid w:val="4DE711FB"/>
    <w:rsid w:val="4DEC4FB0"/>
    <w:rsid w:val="4DF87DEF"/>
    <w:rsid w:val="4E075D8A"/>
    <w:rsid w:val="4E0D4F02"/>
    <w:rsid w:val="4E1A74AB"/>
    <w:rsid w:val="4E1B4F45"/>
    <w:rsid w:val="4E1F304A"/>
    <w:rsid w:val="4E255B7B"/>
    <w:rsid w:val="4E3162AA"/>
    <w:rsid w:val="4E3449A7"/>
    <w:rsid w:val="4E385455"/>
    <w:rsid w:val="4E3B638F"/>
    <w:rsid w:val="4E4F6D63"/>
    <w:rsid w:val="4E533062"/>
    <w:rsid w:val="4E5A17E0"/>
    <w:rsid w:val="4E5C618F"/>
    <w:rsid w:val="4E6146DC"/>
    <w:rsid w:val="4E682ACC"/>
    <w:rsid w:val="4E6B173A"/>
    <w:rsid w:val="4E722F5E"/>
    <w:rsid w:val="4E7718A9"/>
    <w:rsid w:val="4E877901"/>
    <w:rsid w:val="4E8B2669"/>
    <w:rsid w:val="4E921BE0"/>
    <w:rsid w:val="4EA14778"/>
    <w:rsid w:val="4EAE0D6F"/>
    <w:rsid w:val="4EB27064"/>
    <w:rsid w:val="4EC00FAD"/>
    <w:rsid w:val="4EC278E5"/>
    <w:rsid w:val="4ECE4E22"/>
    <w:rsid w:val="4EE94FAC"/>
    <w:rsid w:val="4EF21EF2"/>
    <w:rsid w:val="4EF23682"/>
    <w:rsid w:val="4EFF5C7C"/>
    <w:rsid w:val="4F003CAA"/>
    <w:rsid w:val="4F035F30"/>
    <w:rsid w:val="4F043F74"/>
    <w:rsid w:val="4F07780E"/>
    <w:rsid w:val="4F35023E"/>
    <w:rsid w:val="4F41753D"/>
    <w:rsid w:val="4F494F0B"/>
    <w:rsid w:val="4F495F3B"/>
    <w:rsid w:val="4F4C0D36"/>
    <w:rsid w:val="4F5E29DD"/>
    <w:rsid w:val="4F5E7CD7"/>
    <w:rsid w:val="4F6F4F5E"/>
    <w:rsid w:val="4F7C7ABF"/>
    <w:rsid w:val="4F892E34"/>
    <w:rsid w:val="4F98087D"/>
    <w:rsid w:val="4F9843DC"/>
    <w:rsid w:val="4F9F3982"/>
    <w:rsid w:val="4FAB7F92"/>
    <w:rsid w:val="4FB5699B"/>
    <w:rsid w:val="4FBC446F"/>
    <w:rsid w:val="4FBF4D40"/>
    <w:rsid w:val="4FC62A8C"/>
    <w:rsid w:val="4FC77E0C"/>
    <w:rsid w:val="4FCC38E0"/>
    <w:rsid w:val="4FE20F0D"/>
    <w:rsid w:val="4FE51552"/>
    <w:rsid w:val="501B4B2A"/>
    <w:rsid w:val="50227ECE"/>
    <w:rsid w:val="5024613A"/>
    <w:rsid w:val="502C0E4E"/>
    <w:rsid w:val="502E515A"/>
    <w:rsid w:val="50337BE5"/>
    <w:rsid w:val="5036654A"/>
    <w:rsid w:val="503867CE"/>
    <w:rsid w:val="50412562"/>
    <w:rsid w:val="50504C4B"/>
    <w:rsid w:val="50552E06"/>
    <w:rsid w:val="505A4D7A"/>
    <w:rsid w:val="506B0276"/>
    <w:rsid w:val="506B09FA"/>
    <w:rsid w:val="50814840"/>
    <w:rsid w:val="508811E2"/>
    <w:rsid w:val="508A7BA1"/>
    <w:rsid w:val="509B791A"/>
    <w:rsid w:val="509C6E7C"/>
    <w:rsid w:val="50AD7586"/>
    <w:rsid w:val="50B37A49"/>
    <w:rsid w:val="50D96F92"/>
    <w:rsid w:val="50DA30A9"/>
    <w:rsid w:val="50DA5FF0"/>
    <w:rsid w:val="50DF37F6"/>
    <w:rsid w:val="50E77025"/>
    <w:rsid w:val="50EF1DEB"/>
    <w:rsid w:val="50F10879"/>
    <w:rsid w:val="50F23737"/>
    <w:rsid w:val="50F7036B"/>
    <w:rsid w:val="50FD6054"/>
    <w:rsid w:val="5116758D"/>
    <w:rsid w:val="51393730"/>
    <w:rsid w:val="51395AF2"/>
    <w:rsid w:val="514562C3"/>
    <w:rsid w:val="514F1BAD"/>
    <w:rsid w:val="515512D4"/>
    <w:rsid w:val="5162104E"/>
    <w:rsid w:val="5165224C"/>
    <w:rsid w:val="51662CE6"/>
    <w:rsid w:val="516C2417"/>
    <w:rsid w:val="516D2A39"/>
    <w:rsid w:val="516D6A09"/>
    <w:rsid w:val="51802796"/>
    <w:rsid w:val="518777A6"/>
    <w:rsid w:val="518C36C7"/>
    <w:rsid w:val="51985D48"/>
    <w:rsid w:val="519A5C9A"/>
    <w:rsid w:val="519B2FAE"/>
    <w:rsid w:val="51A83D4E"/>
    <w:rsid w:val="51B77057"/>
    <w:rsid w:val="51C516D8"/>
    <w:rsid w:val="51C56BE9"/>
    <w:rsid w:val="51CC5C50"/>
    <w:rsid w:val="51ED51C3"/>
    <w:rsid w:val="51FC6742"/>
    <w:rsid w:val="520063AE"/>
    <w:rsid w:val="5220539C"/>
    <w:rsid w:val="52256A70"/>
    <w:rsid w:val="524560D9"/>
    <w:rsid w:val="525E1115"/>
    <w:rsid w:val="526F3D0D"/>
    <w:rsid w:val="528D5995"/>
    <w:rsid w:val="52907952"/>
    <w:rsid w:val="529D1378"/>
    <w:rsid w:val="529D758A"/>
    <w:rsid w:val="52BD790D"/>
    <w:rsid w:val="52DD43C8"/>
    <w:rsid w:val="52FB4CED"/>
    <w:rsid w:val="532F2C62"/>
    <w:rsid w:val="535B7A3B"/>
    <w:rsid w:val="53773B88"/>
    <w:rsid w:val="539A10F4"/>
    <w:rsid w:val="53A039CC"/>
    <w:rsid w:val="53A1505A"/>
    <w:rsid w:val="53AE4841"/>
    <w:rsid w:val="53B1210F"/>
    <w:rsid w:val="53CC1F07"/>
    <w:rsid w:val="53D52BAB"/>
    <w:rsid w:val="53D84D97"/>
    <w:rsid w:val="54004B8E"/>
    <w:rsid w:val="54012BCA"/>
    <w:rsid w:val="54050D54"/>
    <w:rsid w:val="54063E08"/>
    <w:rsid w:val="541479EE"/>
    <w:rsid w:val="541B6C47"/>
    <w:rsid w:val="542436A1"/>
    <w:rsid w:val="543437E8"/>
    <w:rsid w:val="54365691"/>
    <w:rsid w:val="54367B0D"/>
    <w:rsid w:val="543B3067"/>
    <w:rsid w:val="543C7B17"/>
    <w:rsid w:val="54427370"/>
    <w:rsid w:val="544425F8"/>
    <w:rsid w:val="544D19CE"/>
    <w:rsid w:val="546F60AB"/>
    <w:rsid w:val="548F14A0"/>
    <w:rsid w:val="54923D83"/>
    <w:rsid w:val="549B0003"/>
    <w:rsid w:val="54A801B0"/>
    <w:rsid w:val="54AB07EC"/>
    <w:rsid w:val="54D11DDD"/>
    <w:rsid w:val="54DE0589"/>
    <w:rsid w:val="54E158F9"/>
    <w:rsid w:val="54F73313"/>
    <w:rsid w:val="54F80955"/>
    <w:rsid w:val="54FD3CA5"/>
    <w:rsid w:val="551A30BB"/>
    <w:rsid w:val="55266BD0"/>
    <w:rsid w:val="55273E3D"/>
    <w:rsid w:val="553607FA"/>
    <w:rsid w:val="55376790"/>
    <w:rsid w:val="55443B8A"/>
    <w:rsid w:val="555170A7"/>
    <w:rsid w:val="55525CA4"/>
    <w:rsid w:val="55594793"/>
    <w:rsid w:val="555F276C"/>
    <w:rsid w:val="556A0D22"/>
    <w:rsid w:val="55716843"/>
    <w:rsid w:val="5587536D"/>
    <w:rsid w:val="558C6EBB"/>
    <w:rsid w:val="55904673"/>
    <w:rsid w:val="55975033"/>
    <w:rsid w:val="559B174B"/>
    <w:rsid w:val="55BB4ADB"/>
    <w:rsid w:val="55CB2A7B"/>
    <w:rsid w:val="55CE0CF4"/>
    <w:rsid w:val="55D216E3"/>
    <w:rsid w:val="55D34EC3"/>
    <w:rsid w:val="55D70EAA"/>
    <w:rsid w:val="55E9341B"/>
    <w:rsid w:val="55EB6BF7"/>
    <w:rsid w:val="55F31DFD"/>
    <w:rsid w:val="56171A4F"/>
    <w:rsid w:val="562E7748"/>
    <w:rsid w:val="563D212D"/>
    <w:rsid w:val="564C5CC1"/>
    <w:rsid w:val="56632CB0"/>
    <w:rsid w:val="5663625F"/>
    <w:rsid w:val="56644F6E"/>
    <w:rsid w:val="567464E2"/>
    <w:rsid w:val="567F1B65"/>
    <w:rsid w:val="568E2A56"/>
    <w:rsid w:val="56914C89"/>
    <w:rsid w:val="569F0781"/>
    <w:rsid w:val="56B005CB"/>
    <w:rsid w:val="56B22A9C"/>
    <w:rsid w:val="56B97E5C"/>
    <w:rsid w:val="56BB3527"/>
    <w:rsid w:val="56D10083"/>
    <w:rsid w:val="56ED4B48"/>
    <w:rsid w:val="56F32A31"/>
    <w:rsid w:val="570134BA"/>
    <w:rsid w:val="57020422"/>
    <w:rsid w:val="5702211A"/>
    <w:rsid w:val="570568E0"/>
    <w:rsid w:val="570A545C"/>
    <w:rsid w:val="57194397"/>
    <w:rsid w:val="573023DD"/>
    <w:rsid w:val="57345C66"/>
    <w:rsid w:val="57417C25"/>
    <w:rsid w:val="57427754"/>
    <w:rsid w:val="574445B2"/>
    <w:rsid w:val="5748269C"/>
    <w:rsid w:val="574A1C67"/>
    <w:rsid w:val="575350C2"/>
    <w:rsid w:val="575A4E6A"/>
    <w:rsid w:val="577B5DDC"/>
    <w:rsid w:val="577E64AD"/>
    <w:rsid w:val="577E740B"/>
    <w:rsid w:val="578343A5"/>
    <w:rsid w:val="578F37B1"/>
    <w:rsid w:val="57924F9E"/>
    <w:rsid w:val="57B6622D"/>
    <w:rsid w:val="57B72A76"/>
    <w:rsid w:val="57B77AC4"/>
    <w:rsid w:val="57BD4DA5"/>
    <w:rsid w:val="57C3426C"/>
    <w:rsid w:val="57CE1F93"/>
    <w:rsid w:val="57D73775"/>
    <w:rsid w:val="57EB3845"/>
    <w:rsid w:val="57F7473D"/>
    <w:rsid w:val="580D5A09"/>
    <w:rsid w:val="5814282F"/>
    <w:rsid w:val="58201313"/>
    <w:rsid w:val="583021F2"/>
    <w:rsid w:val="5845456D"/>
    <w:rsid w:val="58472EBF"/>
    <w:rsid w:val="584B3D4B"/>
    <w:rsid w:val="584C5454"/>
    <w:rsid w:val="584D7ACE"/>
    <w:rsid w:val="584F4DA0"/>
    <w:rsid w:val="588350A1"/>
    <w:rsid w:val="588743D1"/>
    <w:rsid w:val="5887701A"/>
    <w:rsid w:val="589450C4"/>
    <w:rsid w:val="58A3532E"/>
    <w:rsid w:val="58A36A4F"/>
    <w:rsid w:val="58AA0892"/>
    <w:rsid w:val="58B2453A"/>
    <w:rsid w:val="58B7253D"/>
    <w:rsid w:val="58B83A8F"/>
    <w:rsid w:val="58BC3122"/>
    <w:rsid w:val="58BE5ADC"/>
    <w:rsid w:val="58CE123A"/>
    <w:rsid w:val="58FF1D75"/>
    <w:rsid w:val="5901559D"/>
    <w:rsid w:val="5903103C"/>
    <w:rsid w:val="590C1208"/>
    <w:rsid w:val="591075D9"/>
    <w:rsid w:val="59137650"/>
    <w:rsid w:val="592A069B"/>
    <w:rsid w:val="592D6EF0"/>
    <w:rsid w:val="594033AB"/>
    <w:rsid w:val="595A2607"/>
    <w:rsid w:val="595F7A3B"/>
    <w:rsid w:val="597F3073"/>
    <w:rsid w:val="598B1013"/>
    <w:rsid w:val="599439CD"/>
    <w:rsid w:val="5997369D"/>
    <w:rsid w:val="59A1215B"/>
    <w:rsid w:val="59A6736C"/>
    <w:rsid w:val="59A907D0"/>
    <w:rsid w:val="59AB6C9C"/>
    <w:rsid w:val="59B11552"/>
    <w:rsid w:val="59BC5062"/>
    <w:rsid w:val="59C0439F"/>
    <w:rsid w:val="59C43F8B"/>
    <w:rsid w:val="59C82EB1"/>
    <w:rsid w:val="59CA02DF"/>
    <w:rsid w:val="59CA2AC4"/>
    <w:rsid w:val="59CB0AF0"/>
    <w:rsid w:val="59D31166"/>
    <w:rsid w:val="59DD614E"/>
    <w:rsid w:val="59E71824"/>
    <w:rsid w:val="59E76BFA"/>
    <w:rsid w:val="5A017369"/>
    <w:rsid w:val="5A090A8F"/>
    <w:rsid w:val="5A1B3911"/>
    <w:rsid w:val="5A2B5CD0"/>
    <w:rsid w:val="5A367793"/>
    <w:rsid w:val="5A38025B"/>
    <w:rsid w:val="5A6062DA"/>
    <w:rsid w:val="5A6159A3"/>
    <w:rsid w:val="5A6A6A96"/>
    <w:rsid w:val="5A6B29C3"/>
    <w:rsid w:val="5A773AE9"/>
    <w:rsid w:val="5A991872"/>
    <w:rsid w:val="5AA06F53"/>
    <w:rsid w:val="5AB0207E"/>
    <w:rsid w:val="5AB60277"/>
    <w:rsid w:val="5ABE2233"/>
    <w:rsid w:val="5AC97827"/>
    <w:rsid w:val="5ACA2D57"/>
    <w:rsid w:val="5AD30782"/>
    <w:rsid w:val="5AFA662F"/>
    <w:rsid w:val="5B1407EB"/>
    <w:rsid w:val="5B2665C3"/>
    <w:rsid w:val="5B484E08"/>
    <w:rsid w:val="5B54623B"/>
    <w:rsid w:val="5B64433E"/>
    <w:rsid w:val="5B730795"/>
    <w:rsid w:val="5B797326"/>
    <w:rsid w:val="5B7976B8"/>
    <w:rsid w:val="5B9F54BD"/>
    <w:rsid w:val="5BA115E3"/>
    <w:rsid w:val="5BD4044B"/>
    <w:rsid w:val="5BDF5D95"/>
    <w:rsid w:val="5BED7DE0"/>
    <w:rsid w:val="5BFE7528"/>
    <w:rsid w:val="5C094475"/>
    <w:rsid w:val="5C126A6D"/>
    <w:rsid w:val="5C245371"/>
    <w:rsid w:val="5C2E6B49"/>
    <w:rsid w:val="5C357F72"/>
    <w:rsid w:val="5C391776"/>
    <w:rsid w:val="5C40375D"/>
    <w:rsid w:val="5C457AFE"/>
    <w:rsid w:val="5C487355"/>
    <w:rsid w:val="5C5218DF"/>
    <w:rsid w:val="5C592D4F"/>
    <w:rsid w:val="5C6551E2"/>
    <w:rsid w:val="5C664559"/>
    <w:rsid w:val="5C763EB8"/>
    <w:rsid w:val="5C97011F"/>
    <w:rsid w:val="5CA45687"/>
    <w:rsid w:val="5CA6628A"/>
    <w:rsid w:val="5CAF2E4C"/>
    <w:rsid w:val="5CB16EEB"/>
    <w:rsid w:val="5CC501A6"/>
    <w:rsid w:val="5CCE36CE"/>
    <w:rsid w:val="5CD214B6"/>
    <w:rsid w:val="5CD7452A"/>
    <w:rsid w:val="5CD97003"/>
    <w:rsid w:val="5CE73CAE"/>
    <w:rsid w:val="5CF14047"/>
    <w:rsid w:val="5CFA26CC"/>
    <w:rsid w:val="5D001F09"/>
    <w:rsid w:val="5D2B6202"/>
    <w:rsid w:val="5D3A4790"/>
    <w:rsid w:val="5D406139"/>
    <w:rsid w:val="5D58564C"/>
    <w:rsid w:val="5D823BC1"/>
    <w:rsid w:val="5D9038A7"/>
    <w:rsid w:val="5D9A6865"/>
    <w:rsid w:val="5D9B19A8"/>
    <w:rsid w:val="5DA82956"/>
    <w:rsid w:val="5DB5127E"/>
    <w:rsid w:val="5DD03176"/>
    <w:rsid w:val="5DF14C8C"/>
    <w:rsid w:val="5DFF2CB5"/>
    <w:rsid w:val="5E0A3C73"/>
    <w:rsid w:val="5E196A2E"/>
    <w:rsid w:val="5E1E36D7"/>
    <w:rsid w:val="5E242409"/>
    <w:rsid w:val="5E243A27"/>
    <w:rsid w:val="5E2467F1"/>
    <w:rsid w:val="5E3C0D11"/>
    <w:rsid w:val="5E4E49F0"/>
    <w:rsid w:val="5E5442D0"/>
    <w:rsid w:val="5E5D6283"/>
    <w:rsid w:val="5E6A45C5"/>
    <w:rsid w:val="5E6E6723"/>
    <w:rsid w:val="5E892EA4"/>
    <w:rsid w:val="5E8E1EC0"/>
    <w:rsid w:val="5E942389"/>
    <w:rsid w:val="5E981800"/>
    <w:rsid w:val="5E9D3F29"/>
    <w:rsid w:val="5EC51411"/>
    <w:rsid w:val="5EDA0AE5"/>
    <w:rsid w:val="5EE06CE5"/>
    <w:rsid w:val="5EE74733"/>
    <w:rsid w:val="5EEA0E97"/>
    <w:rsid w:val="5F044D47"/>
    <w:rsid w:val="5F073081"/>
    <w:rsid w:val="5F08322C"/>
    <w:rsid w:val="5F1356B1"/>
    <w:rsid w:val="5F1A2B43"/>
    <w:rsid w:val="5F340892"/>
    <w:rsid w:val="5F3533AD"/>
    <w:rsid w:val="5F5E28F1"/>
    <w:rsid w:val="5F6319D5"/>
    <w:rsid w:val="5F650912"/>
    <w:rsid w:val="5F661E6F"/>
    <w:rsid w:val="5F6C2E83"/>
    <w:rsid w:val="5F8423F9"/>
    <w:rsid w:val="5F884F41"/>
    <w:rsid w:val="5F887582"/>
    <w:rsid w:val="5F8C53BA"/>
    <w:rsid w:val="5F9439FA"/>
    <w:rsid w:val="5F9455B6"/>
    <w:rsid w:val="5F99736A"/>
    <w:rsid w:val="5FB21040"/>
    <w:rsid w:val="5FB837BB"/>
    <w:rsid w:val="5FBB46FD"/>
    <w:rsid w:val="5FC11D28"/>
    <w:rsid w:val="5FC87780"/>
    <w:rsid w:val="5FD65D99"/>
    <w:rsid w:val="5FFC1A2A"/>
    <w:rsid w:val="6003380C"/>
    <w:rsid w:val="601F0DFB"/>
    <w:rsid w:val="602038C2"/>
    <w:rsid w:val="60303FF1"/>
    <w:rsid w:val="604619B3"/>
    <w:rsid w:val="604F3F00"/>
    <w:rsid w:val="60512FCD"/>
    <w:rsid w:val="605258D2"/>
    <w:rsid w:val="60701B2A"/>
    <w:rsid w:val="607A4BFD"/>
    <w:rsid w:val="607E4274"/>
    <w:rsid w:val="607F71C8"/>
    <w:rsid w:val="60852261"/>
    <w:rsid w:val="608B6059"/>
    <w:rsid w:val="60A34A2E"/>
    <w:rsid w:val="60B11ED1"/>
    <w:rsid w:val="60B95B55"/>
    <w:rsid w:val="60BF063F"/>
    <w:rsid w:val="60C63585"/>
    <w:rsid w:val="60CC405A"/>
    <w:rsid w:val="60DC4B62"/>
    <w:rsid w:val="60E138C0"/>
    <w:rsid w:val="60E95638"/>
    <w:rsid w:val="6111286C"/>
    <w:rsid w:val="61134F83"/>
    <w:rsid w:val="61235A57"/>
    <w:rsid w:val="612E0471"/>
    <w:rsid w:val="6141140B"/>
    <w:rsid w:val="615A56DB"/>
    <w:rsid w:val="616B08CE"/>
    <w:rsid w:val="61700C02"/>
    <w:rsid w:val="6171608A"/>
    <w:rsid w:val="61767EBF"/>
    <w:rsid w:val="61796343"/>
    <w:rsid w:val="6194378A"/>
    <w:rsid w:val="61997898"/>
    <w:rsid w:val="61C75FC5"/>
    <w:rsid w:val="61DF182F"/>
    <w:rsid w:val="61E215D8"/>
    <w:rsid w:val="61EA5719"/>
    <w:rsid w:val="61F81618"/>
    <w:rsid w:val="61FB77FC"/>
    <w:rsid w:val="6202155C"/>
    <w:rsid w:val="620317EE"/>
    <w:rsid w:val="620631DC"/>
    <w:rsid w:val="621536EF"/>
    <w:rsid w:val="621B3775"/>
    <w:rsid w:val="621D4CA8"/>
    <w:rsid w:val="621E68C3"/>
    <w:rsid w:val="622569CE"/>
    <w:rsid w:val="62323744"/>
    <w:rsid w:val="62335446"/>
    <w:rsid w:val="62364782"/>
    <w:rsid w:val="6237723A"/>
    <w:rsid w:val="623C4CED"/>
    <w:rsid w:val="624E4E70"/>
    <w:rsid w:val="625C6F94"/>
    <w:rsid w:val="62604088"/>
    <w:rsid w:val="62606A49"/>
    <w:rsid w:val="626B5F3C"/>
    <w:rsid w:val="626D056F"/>
    <w:rsid w:val="626E2A1E"/>
    <w:rsid w:val="62742C57"/>
    <w:rsid w:val="627E68A7"/>
    <w:rsid w:val="62810BF0"/>
    <w:rsid w:val="62840880"/>
    <w:rsid w:val="62873995"/>
    <w:rsid w:val="62890706"/>
    <w:rsid w:val="628F5EBC"/>
    <w:rsid w:val="629339D6"/>
    <w:rsid w:val="62A03F19"/>
    <w:rsid w:val="62AF0F6A"/>
    <w:rsid w:val="62B81639"/>
    <w:rsid w:val="62BC31A0"/>
    <w:rsid w:val="62BD1276"/>
    <w:rsid w:val="62C47FB5"/>
    <w:rsid w:val="62CD6C36"/>
    <w:rsid w:val="62F839B4"/>
    <w:rsid w:val="62F9519D"/>
    <w:rsid w:val="630625C3"/>
    <w:rsid w:val="63090B03"/>
    <w:rsid w:val="630932E8"/>
    <w:rsid w:val="631C6167"/>
    <w:rsid w:val="63260CA2"/>
    <w:rsid w:val="632868FC"/>
    <w:rsid w:val="6329061E"/>
    <w:rsid w:val="633A079D"/>
    <w:rsid w:val="633A211C"/>
    <w:rsid w:val="633A3560"/>
    <w:rsid w:val="635000F2"/>
    <w:rsid w:val="63535D52"/>
    <w:rsid w:val="638E4970"/>
    <w:rsid w:val="6394356A"/>
    <w:rsid w:val="63996D3A"/>
    <w:rsid w:val="63AA7768"/>
    <w:rsid w:val="63AE492E"/>
    <w:rsid w:val="63B80135"/>
    <w:rsid w:val="63C61B2C"/>
    <w:rsid w:val="63C72432"/>
    <w:rsid w:val="63D324F2"/>
    <w:rsid w:val="63D40BE9"/>
    <w:rsid w:val="63E478DC"/>
    <w:rsid w:val="63F222CB"/>
    <w:rsid w:val="63FE7A46"/>
    <w:rsid w:val="64102431"/>
    <w:rsid w:val="642203BE"/>
    <w:rsid w:val="642B7898"/>
    <w:rsid w:val="64303CE6"/>
    <w:rsid w:val="64376CDF"/>
    <w:rsid w:val="64474DDA"/>
    <w:rsid w:val="64527372"/>
    <w:rsid w:val="64557FD1"/>
    <w:rsid w:val="646C648D"/>
    <w:rsid w:val="64792D6D"/>
    <w:rsid w:val="647978F2"/>
    <w:rsid w:val="648C75D4"/>
    <w:rsid w:val="64983A57"/>
    <w:rsid w:val="64A5243A"/>
    <w:rsid w:val="64B006AE"/>
    <w:rsid w:val="64C46CEB"/>
    <w:rsid w:val="64D24A38"/>
    <w:rsid w:val="64E72C37"/>
    <w:rsid w:val="64E831B8"/>
    <w:rsid w:val="64E9194F"/>
    <w:rsid w:val="64F52761"/>
    <w:rsid w:val="64F531DE"/>
    <w:rsid w:val="650D0B59"/>
    <w:rsid w:val="65253B9C"/>
    <w:rsid w:val="652D0FCF"/>
    <w:rsid w:val="65354984"/>
    <w:rsid w:val="65364A21"/>
    <w:rsid w:val="65373578"/>
    <w:rsid w:val="653B746D"/>
    <w:rsid w:val="65443BB4"/>
    <w:rsid w:val="654A2275"/>
    <w:rsid w:val="6558029C"/>
    <w:rsid w:val="655E5CDB"/>
    <w:rsid w:val="656D1296"/>
    <w:rsid w:val="658068ED"/>
    <w:rsid w:val="658D6207"/>
    <w:rsid w:val="65907DB7"/>
    <w:rsid w:val="6597398A"/>
    <w:rsid w:val="659B3216"/>
    <w:rsid w:val="659D1C82"/>
    <w:rsid w:val="65AC64D5"/>
    <w:rsid w:val="65D8039C"/>
    <w:rsid w:val="65EB4C5D"/>
    <w:rsid w:val="65EE6424"/>
    <w:rsid w:val="65FD5B6B"/>
    <w:rsid w:val="65FF712A"/>
    <w:rsid w:val="66022845"/>
    <w:rsid w:val="660A5425"/>
    <w:rsid w:val="660F1C73"/>
    <w:rsid w:val="6611613F"/>
    <w:rsid w:val="6625546C"/>
    <w:rsid w:val="663739BF"/>
    <w:rsid w:val="663B7FF9"/>
    <w:rsid w:val="663D7D82"/>
    <w:rsid w:val="664C0CB5"/>
    <w:rsid w:val="665A192D"/>
    <w:rsid w:val="667C1017"/>
    <w:rsid w:val="669E3547"/>
    <w:rsid w:val="66AA6889"/>
    <w:rsid w:val="66AD0B72"/>
    <w:rsid w:val="66BD1BEF"/>
    <w:rsid w:val="66BF7115"/>
    <w:rsid w:val="66CB594C"/>
    <w:rsid w:val="66D1122A"/>
    <w:rsid w:val="66D74E26"/>
    <w:rsid w:val="66DE15B7"/>
    <w:rsid w:val="66E1181F"/>
    <w:rsid w:val="66F05A09"/>
    <w:rsid w:val="66F140D8"/>
    <w:rsid w:val="66F219CE"/>
    <w:rsid w:val="66F56927"/>
    <w:rsid w:val="67007F2C"/>
    <w:rsid w:val="670403A8"/>
    <w:rsid w:val="67070EDB"/>
    <w:rsid w:val="670C2B19"/>
    <w:rsid w:val="671D2ACD"/>
    <w:rsid w:val="671F124A"/>
    <w:rsid w:val="672A4BF8"/>
    <w:rsid w:val="674420EF"/>
    <w:rsid w:val="67481435"/>
    <w:rsid w:val="67513297"/>
    <w:rsid w:val="67513B90"/>
    <w:rsid w:val="67525FA9"/>
    <w:rsid w:val="676444AB"/>
    <w:rsid w:val="6765286A"/>
    <w:rsid w:val="67693C80"/>
    <w:rsid w:val="676E61FD"/>
    <w:rsid w:val="67792CE4"/>
    <w:rsid w:val="677A33C6"/>
    <w:rsid w:val="67937C7E"/>
    <w:rsid w:val="67AA2BD3"/>
    <w:rsid w:val="67BA51E3"/>
    <w:rsid w:val="67CD7D14"/>
    <w:rsid w:val="67D404C4"/>
    <w:rsid w:val="67D655FB"/>
    <w:rsid w:val="67D77302"/>
    <w:rsid w:val="67DA3934"/>
    <w:rsid w:val="67DF3302"/>
    <w:rsid w:val="681F6961"/>
    <w:rsid w:val="682D1CE5"/>
    <w:rsid w:val="682D2EF5"/>
    <w:rsid w:val="682E2B54"/>
    <w:rsid w:val="68307350"/>
    <w:rsid w:val="683E0236"/>
    <w:rsid w:val="68450DF7"/>
    <w:rsid w:val="684D668A"/>
    <w:rsid w:val="68581DA5"/>
    <w:rsid w:val="68610A2F"/>
    <w:rsid w:val="68686AEA"/>
    <w:rsid w:val="68805514"/>
    <w:rsid w:val="68970364"/>
    <w:rsid w:val="68B91071"/>
    <w:rsid w:val="68BB1F40"/>
    <w:rsid w:val="68D269FF"/>
    <w:rsid w:val="68DD74D8"/>
    <w:rsid w:val="68E54691"/>
    <w:rsid w:val="68E97532"/>
    <w:rsid w:val="68EC52F2"/>
    <w:rsid w:val="68EC61A0"/>
    <w:rsid w:val="68F347BF"/>
    <w:rsid w:val="690217D9"/>
    <w:rsid w:val="690B1F2C"/>
    <w:rsid w:val="690E4BCD"/>
    <w:rsid w:val="6911176C"/>
    <w:rsid w:val="69130EF4"/>
    <w:rsid w:val="69284D87"/>
    <w:rsid w:val="692876E6"/>
    <w:rsid w:val="69297413"/>
    <w:rsid w:val="69316639"/>
    <w:rsid w:val="69316E2F"/>
    <w:rsid w:val="693353D0"/>
    <w:rsid w:val="693B6068"/>
    <w:rsid w:val="694E2071"/>
    <w:rsid w:val="69503847"/>
    <w:rsid w:val="6958641C"/>
    <w:rsid w:val="695B52D0"/>
    <w:rsid w:val="695D2230"/>
    <w:rsid w:val="69686E8F"/>
    <w:rsid w:val="697342F3"/>
    <w:rsid w:val="69766163"/>
    <w:rsid w:val="697A3B33"/>
    <w:rsid w:val="69877EDF"/>
    <w:rsid w:val="69992DCD"/>
    <w:rsid w:val="69A23C59"/>
    <w:rsid w:val="69A60A85"/>
    <w:rsid w:val="69C44D3C"/>
    <w:rsid w:val="69C84345"/>
    <w:rsid w:val="69D1788B"/>
    <w:rsid w:val="69D378E3"/>
    <w:rsid w:val="69D44760"/>
    <w:rsid w:val="69D606D3"/>
    <w:rsid w:val="69F83793"/>
    <w:rsid w:val="6A103ABF"/>
    <w:rsid w:val="6A2607B7"/>
    <w:rsid w:val="6A2B79AF"/>
    <w:rsid w:val="6A520EC7"/>
    <w:rsid w:val="6A5407B4"/>
    <w:rsid w:val="6A6B2ABF"/>
    <w:rsid w:val="6A734A13"/>
    <w:rsid w:val="6A7F4960"/>
    <w:rsid w:val="6A8304F1"/>
    <w:rsid w:val="6A860BED"/>
    <w:rsid w:val="6A8A077F"/>
    <w:rsid w:val="6A8C33CB"/>
    <w:rsid w:val="6A923C8A"/>
    <w:rsid w:val="6AA03961"/>
    <w:rsid w:val="6AA227D7"/>
    <w:rsid w:val="6AA54E2D"/>
    <w:rsid w:val="6AB05C3C"/>
    <w:rsid w:val="6AC030AF"/>
    <w:rsid w:val="6AD36262"/>
    <w:rsid w:val="6AE363F5"/>
    <w:rsid w:val="6AE430F8"/>
    <w:rsid w:val="6AE66BA3"/>
    <w:rsid w:val="6AE74C8B"/>
    <w:rsid w:val="6AEE00CC"/>
    <w:rsid w:val="6AF51334"/>
    <w:rsid w:val="6AF87E20"/>
    <w:rsid w:val="6B043D2E"/>
    <w:rsid w:val="6B0C4594"/>
    <w:rsid w:val="6B134C3F"/>
    <w:rsid w:val="6B175264"/>
    <w:rsid w:val="6B281456"/>
    <w:rsid w:val="6B322639"/>
    <w:rsid w:val="6B37065B"/>
    <w:rsid w:val="6B50223C"/>
    <w:rsid w:val="6B65177E"/>
    <w:rsid w:val="6B67230C"/>
    <w:rsid w:val="6B672F90"/>
    <w:rsid w:val="6B785262"/>
    <w:rsid w:val="6B8034DB"/>
    <w:rsid w:val="6B8061F3"/>
    <w:rsid w:val="6B920253"/>
    <w:rsid w:val="6B98354A"/>
    <w:rsid w:val="6B9931E1"/>
    <w:rsid w:val="6B9D1833"/>
    <w:rsid w:val="6B9E25CD"/>
    <w:rsid w:val="6BA01579"/>
    <w:rsid w:val="6BA76740"/>
    <w:rsid w:val="6BBF0E62"/>
    <w:rsid w:val="6BD00EFF"/>
    <w:rsid w:val="6BE02A42"/>
    <w:rsid w:val="6BEC0658"/>
    <w:rsid w:val="6BEC2120"/>
    <w:rsid w:val="6BED33F6"/>
    <w:rsid w:val="6BF4344F"/>
    <w:rsid w:val="6BFC3CCA"/>
    <w:rsid w:val="6C00658C"/>
    <w:rsid w:val="6C145EBC"/>
    <w:rsid w:val="6C1D4BD4"/>
    <w:rsid w:val="6C227701"/>
    <w:rsid w:val="6C2E50BB"/>
    <w:rsid w:val="6C315D70"/>
    <w:rsid w:val="6C373265"/>
    <w:rsid w:val="6C41026E"/>
    <w:rsid w:val="6C45393F"/>
    <w:rsid w:val="6C4D78E4"/>
    <w:rsid w:val="6C636C38"/>
    <w:rsid w:val="6C6375BD"/>
    <w:rsid w:val="6C6D7E13"/>
    <w:rsid w:val="6C773A0B"/>
    <w:rsid w:val="6C7B5998"/>
    <w:rsid w:val="6C8D2A73"/>
    <w:rsid w:val="6C9B68C9"/>
    <w:rsid w:val="6CAB5C2B"/>
    <w:rsid w:val="6CBE0FA0"/>
    <w:rsid w:val="6CC70C4C"/>
    <w:rsid w:val="6CDD7088"/>
    <w:rsid w:val="6CF24EE7"/>
    <w:rsid w:val="6CFF1CAB"/>
    <w:rsid w:val="6D025D8B"/>
    <w:rsid w:val="6D0313BA"/>
    <w:rsid w:val="6D096082"/>
    <w:rsid w:val="6D211251"/>
    <w:rsid w:val="6D433097"/>
    <w:rsid w:val="6D4C39CD"/>
    <w:rsid w:val="6D5F525C"/>
    <w:rsid w:val="6D6C7932"/>
    <w:rsid w:val="6D734241"/>
    <w:rsid w:val="6D855002"/>
    <w:rsid w:val="6DB34098"/>
    <w:rsid w:val="6DB545B6"/>
    <w:rsid w:val="6DBB19CC"/>
    <w:rsid w:val="6DC53222"/>
    <w:rsid w:val="6DC72E87"/>
    <w:rsid w:val="6DD13436"/>
    <w:rsid w:val="6DD82DF1"/>
    <w:rsid w:val="6DE02FB4"/>
    <w:rsid w:val="6DFD0A17"/>
    <w:rsid w:val="6E080427"/>
    <w:rsid w:val="6E0839FA"/>
    <w:rsid w:val="6E0973B0"/>
    <w:rsid w:val="6E0E0933"/>
    <w:rsid w:val="6E22687C"/>
    <w:rsid w:val="6E231C9F"/>
    <w:rsid w:val="6E311425"/>
    <w:rsid w:val="6E355785"/>
    <w:rsid w:val="6E3D1EE3"/>
    <w:rsid w:val="6E3F6482"/>
    <w:rsid w:val="6E514CED"/>
    <w:rsid w:val="6E5201AC"/>
    <w:rsid w:val="6E551192"/>
    <w:rsid w:val="6E5D131E"/>
    <w:rsid w:val="6E6575EB"/>
    <w:rsid w:val="6E7B64DD"/>
    <w:rsid w:val="6E831091"/>
    <w:rsid w:val="6E84241A"/>
    <w:rsid w:val="6E8C00FD"/>
    <w:rsid w:val="6E983819"/>
    <w:rsid w:val="6E9B0205"/>
    <w:rsid w:val="6E9B10B5"/>
    <w:rsid w:val="6EA50D26"/>
    <w:rsid w:val="6EA93F85"/>
    <w:rsid w:val="6EAF4C4A"/>
    <w:rsid w:val="6EB37E33"/>
    <w:rsid w:val="6EB563D5"/>
    <w:rsid w:val="6ED665AF"/>
    <w:rsid w:val="6ED92677"/>
    <w:rsid w:val="6EF16D07"/>
    <w:rsid w:val="6EF32D94"/>
    <w:rsid w:val="6F0A6C8D"/>
    <w:rsid w:val="6F225983"/>
    <w:rsid w:val="6F2266A5"/>
    <w:rsid w:val="6F3137B0"/>
    <w:rsid w:val="6F341FB2"/>
    <w:rsid w:val="6F4170F4"/>
    <w:rsid w:val="6F424BC6"/>
    <w:rsid w:val="6F47265C"/>
    <w:rsid w:val="6F4B6A37"/>
    <w:rsid w:val="6F524A62"/>
    <w:rsid w:val="6F567E27"/>
    <w:rsid w:val="6F675F11"/>
    <w:rsid w:val="6F770E32"/>
    <w:rsid w:val="6F7C1270"/>
    <w:rsid w:val="6F8639CC"/>
    <w:rsid w:val="6F895032"/>
    <w:rsid w:val="6F8E5A12"/>
    <w:rsid w:val="6F942A2F"/>
    <w:rsid w:val="6FB16C97"/>
    <w:rsid w:val="6FB20814"/>
    <w:rsid w:val="6FC138C8"/>
    <w:rsid w:val="6FE91A95"/>
    <w:rsid w:val="6FEB4E1F"/>
    <w:rsid w:val="6FEE2341"/>
    <w:rsid w:val="6FEF478E"/>
    <w:rsid w:val="6FF228B7"/>
    <w:rsid w:val="6FF9159A"/>
    <w:rsid w:val="6FFC5590"/>
    <w:rsid w:val="70085E9F"/>
    <w:rsid w:val="702D27B6"/>
    <w:rsid w:val="704067C9"/>
    <w:rsid w:val="704B13D0"/>
    <w:rsid w:val="705043EE"/>
    <w:rsid w:val="7069787D"/>
    <w:rsid w:val="706D1DD0"/>
    <w:rsid w:val="707F2313"/>
    <w:rsid w:val="707F6ACA"/>
    <w:rsid w:val="70856B87"/>
    <w:rsid w:val="709F1517"/>
    <w:rsid w:val="70AC7B45"/>
    <w:rsid w:val="70B11843"/>
    <w:rsid w:val="70BC1F4B"/>
    <w:rsid w:val="70C90969"/>
    <w:rsid w:val="70D474D2"/>
    <w:rsid w:val="70D527EE"/>
    <w:rsid w:val="70D56FBE"/>
    <w:rsid w:val="70D606A4"/>
    <w:rsid w:val="70E72AF9"/>
    <w:rsid w:val="70FF738E"/>
    <w:rsid w:val="7106064E"/>
    <w:rsid w:val="711102A9"/>
    <w:rsid w:val="71152793"/>
    <w:rsid w:val="711A5176"/>
    <w:rsid w:val="712A77F2"/>
    <w:rsid w:val="712C32D8"/>
    <w:rsid w:val="71301CA1"/>
    <w:rsid w:val="71390ED4"/>
    <w:rsid w:val="71425805"/>
    <w:rsid w:val="714A1C1F"/>
    <w:rsid w:val="715B5300"/>
    <w:rsid w:val="715B79E0"/>
    <w:rsid w:val="7178777F"/>
    <w:rsid w:val="718C272C"/>
    <w:rsid w:val="718D2A9D"/>
    <w:rsid w:val="71991746"/>
    <w:rsid w:val="71B048BD"/>
    <w:rsid w:val="71C462CF"/>
    <w:rsid w:val="71D23B30"/>
    <w:rsid w:val="71D27F8A"/>
    <w:rsid w:val="71DC4BAF"/>
    <w:rsid w:val="71EB1877"/>
    <w:rsid w:val="71F2657E"/>
    <w:rsid w:val="72185090"/>
    <w:rsid w:val="72367E53"/>
    <w:rsid w:val="723B3DBD"/>
    <w:rsid w:val="724F5430"/>
    <w:rsid w:val="72553024"/>
    <w:rsid w:val="725600B8"/>
    <w:rsid w:val="72771BDA"/>
    <w:rsid w:val="728314A1"/>
    <w:rsid w:val="728B3A4D"/>
    <w:rsid w:val="7293082F"/>
    <w:rsid w:val="7296164F"/>
    <w:rsid w:val="72A40F4C"/>
    <w:rsid w:val="72AB4851"/>
    <w:rsid w:val="72B936B1"/>
    <w:rsid w:val="72D54F85"/>
    <w:rsid w:val="72D62DCC"/>
    <w:rsid w:val="72EB1FB5"/>
    <w:rsid w:val="72F718AE"/>
    <w:rsid w:val="72FB3CC9"/>
    <w:rsid w:val="730A1E0F"/>
    <w:rsid w:val="73122968"/>
    <w:rsid w:val="73177413"/>
    <w:rsid w:val="731D1C31"/>
    <w:rsid w:val="731D724C"/>
    <w:rsid w:val="731F1FDA"/>
    <w:rsid w:val="731F5D5E"/>
    <w:rsid w:val="731F67BB"/>
    <w:rsid w:val="732378E9"/>
    <w:rsid w:val="7330613B"/>
    <w:rsid w:val="733430BC"/>
    <w:rsid w:val="73347606"/>
    <w:rsid w:val="733B25DB"/>
    <w:rsid w:val="733C1E4B"/>
    <w:rsid w:val="734819F2"/>
    <w:rsid w:val="7359481B"/>
    <w:rsid w:val="738A26E7"/>
    <w:rsid w:val="738F2FE5"/>
    <w:rsid w:val="73A87091"/>
    <w:rsid w:val="73AD5C7E"/>
    <w:rsid w:val="73B62403"/>
    <w:rsid w:val="73C51AD5"/>
    <w:rsid w:val="73C9242D"/>
    <w:rsid w:val="73CC06F7"/>
    <w:rsid w:val="73D06D9E"/>
    <w:rsid w:val="73D33C6F"/>
    <w:rsid w:val="73D53447"/>
    <w:rsid w:val="73D835D6"/>
    <w:rsid w:val="740F5C3D"/>
    <w:rsid w:val="741A6756"/>
    <w:rsid w:val="741E793C"/>
    <w:rsid w:val="74246BA2"/>
    <w:rsid w:val="742D25C0"/>
    <w:rsid w:val="742F156D"/>
    <w:rsid w:val="744466C2"/>
    <w:rsid w:val="74450E31"/>
    <w:rsid w:val="74521179"/>
    <w:rsid w:val="74532553"/>
    <w:rsid w:val="745E3944"/>
    <w:rsid w:val="74701136"/>
    <w:rsid w:val="74710293"/>
    <w:rsid w:val="74716C24"/>
    <w:rsid w:val="74734967"/>
    <w:rsid w:val="747B1916"/>
    <w:rsid w:val="749E54D4"/>
    <w:rsid w:val="74A63271"/>
    <w:rsid w:val="74B50E9B"/>
    <w:rsid w:val="74BC0FC4"/>
    <w:rsid w:val="74C6685C"/>
    <w:rsid w:val="74D52979"/>
    <w:rsid w:val="74E65EE8"/>
    <w:rsid w:val="75032419"/>
    <w:rsid w:val="750A6882"/>
    <w:rsid w:val="75140916"/>
    <w:rsid w:val="751A1F15"/>
    <w:rsid w:val="75265D63"/>
    <w:rsid w:val="75272E8E"/>
    <w:rsid w:val="752B4D69"/>
    <w:rsid w:val="75300811"/>
    <w:rsid w:val="753F77F7"/>
    <w:rsid w:val="754910B7"/>
    <w:rsid w:val="7549371F"/>
    <w:rsid w:val="757B1172"/>
    <w:rsid w:val="75800BE1"/>
    <w:rsid w:val="75830265"/>
    <w:rsid w:val="759F7E78"/>
    <w:rsid w:val="75A86068"/>
    <w:rsid w:val="75B36414"/>
    <w:rsid w:val="75DE2BA1"/>
    <w:rsid w:val="75F44936"/>
    <w:rsid w:val="761243E0"/>
    <w:rsid w:val="761B0DF3"/>
    <w:rsid w:val="76241BEF"/>
    <w:rsid w:val="76276BA0"/>
    <w:rsid w:val="762835F9"/>
    <w:rsid w:val="7635099D"/>
    <w:rsid w:val="76392BE9"/>
    <w:rsid w:val="76555FC2"/>
    <w:rsid w:val="765B3410"/>
    <w:rsid w:val="766E1FD4"/>
    <w:rsid w:val="766E386C"/>
    <w:rsid w:val="766F5896"/>
    <w:rsid w:val="7670274D"/>
    <w:rsid w:val="76722500"/>
    <w:rsid w:val="767A5E45"/>
    <w:rsid w:val="767E5217"/>
    <w:rsid w:val="767F3ECF"/>
    <w:rsid w:val="76853DD7"/>
    <w:rsid w:val="76977CD8"/>
    <w:rsid w:val="76A07EB8"/>
    <w:rsid w:val="76AB6A8E"/>
    <w:rsid w:val="76B12D76"/>
    <w:rsid w:val="76B23674"/>
    <w:rsid w:val="76BA01A8"/>
    <w:rsid w:val="76C67925"/>
    <w:rsid w:val="76CD49AE"/>
    <w:rsid w:val="76D23A31"/>
    <w:rsid w:val="76DF12D7"/>
    <w:rsid w:val="76EB519E"/>
    <w:rsid w:val="76EF4CF7"/>
    <w:rsid w:val="76F57100"/>
    <w:rsid w:val="77084124"/>
    <w:rsid w:val="7713081D"/>
    <w:rsid w:val="771C5071"/>
    <w:rsid w:val="77212AAD"/>
    <w:rsid w:val="7730055E"/>
    <w:rsid w:val="774411F5"/>
    <w:rsid w:val="774C6815"/>
    <w:rsid w:val="775748F9"/>
    <w:rsid w:val="7768157B"/>
    <w:rsid w:val="7769638B"/>
    <w:rsid w:val="776B5767"/>
    <w:rsid w:val="77762421"/>
    <w:rsid w:val="7789629E"/>
    <w:rsid w:val="778A7317"/>
    <w:rsid w:val="7798337C"/>
    <w:rsid w:val="77A92B65"/>
    <w:rsid w:val="77AF6556"/>
    <w:rsid w:val="77B46ACC"/>
    <w:rsid w:val="77B56B1F"/>
    <w:rsid w:val="77B6618F"/>
    <w:rsid w:val="77C03D51"/>
    <w:rsid w:val="77C44511"/>
    <w:rsid w:val="77D33DEE"/>
    <w:rsid w:val="77DB3E03"/>
    <w:rsid w:val="77E574E8"/>
    <w:rsid w:val="77F449FF"/>
    <w:rsid w:val="77F46616"/>
    <w:rsid w:val="780F09F4"/>
    <w:rsid w:val="78117908"/>
    <w:rsid w:val="783A2719"/>
    <w:rsid w:val="783F1E6B"/>
    <w:rsid w:val="78426A49"/>
    <w:rsid w:val="785C5DD9"/>
    <w:rsid w:val="785E7F5D"/>
    <w:rsid w:val="7862642E"/>
    <w:rsid w:val="78653F2A"/>
    <w:rsid w:val="7872329B"/>
    <w:rsid w:val="787C4205"/>
    <w:rsid w:val="787F0876"/>
    <w:rsid w:val="78933626"/>
    <w:rsid w:val="78967577"/>
    <w:rsid w:val="789834A2"/>
    <w:rsid w:val="78992399"/>
    <w:rsid w:val="78A8375F"/>
    <w:rsid w:val="78A90480"/>
    <w:rsid w:val="78B72514"/>
    <w:rsid w:val="78C46087"/>
    <w:rsid w:val="78DE5DEC"/>
    <w:rsid w:val="78E4493D"/>
    <w:rsid w:val="78E94B9A"/>
    <w:rsid w:val="7900493C"/>
    <w:rsid w:val="79016472"/>
    <w:rsid w:val="7910752B"/>
    <w:rsid w:val="792A2745"/>
    <w:rsid w:val="794B28B3"/>
    <w:rsid w:val="795A6E65"/>
    <w:rsid w:val="79806605"/>
    <w:rsid w:val="79947BAE"/>
    <w:rsid w:val="79993381"/>
    <w:rsid w:val="79A17217"/>
    <w:rsid w:val="79A43A87"/>
    <w:rsid w:val="79A63181"/>
    <w:rsid w:val="79B90044"/>
    <w:rsid w:val="79BE3D2A"/>
    <w:rsid w:val="79C65570"/>
    <w:rsid w:val="79CB1CEC"/>
    <w:rsid w:val="79EF48E0"/>
    <w:rsid w:val="7A2F3E76"/>
    <w:rsid w:val="7A363AEE"/>
    <w:rsid w:val="7A364017"/>
    <w:rsid w:val="7A3F003F"/>
    <w:rsid w:val="7A3F0E72"/>
    <w:rsid w:val="7A460876"/>
    <w:rsid w:val="7A63414A"/>
    <w:rsid w:val="7A682EF7"/>
    <w:rsid w:val="7A6B3FD4"/>
    <w:rsid w:val="7A8265E1"/>
    <w:rsid w:val="7A94009E"/>
    <w:rsid w:val="7A9A1037"/>
    <w:rsid w:val="7A9F1FA4"/>
    <w:rsid w:val="7AAB7D20"/>
    <w:rsid w:val="7AB4206A"/>
    <w:rsid w:val="7AFB4099"/>
    <w:rsid w:val="7B03513D"/>
    <w:rsid w:val="7B064A3C"/>
    <w:rsid w:val="7B0768DB"/>
    <w:rsid w:val="7B0F6DEA"/>
    <w:rsid w:val="7B183FED"/>
    <w:rsid w:val="7B3226B8"/>
    <w:rsid w:val="7B372EFF"/>
    <w:rsid w:val="7B425DB7"/>
    <w:rsid w:val="7B503944"/>
    <w:rsid w:val="7B50762D"/>
    <w:rsid w:val="7B68335B"/>
    <w:rsid w:val="7B686D42"/>
    <w:rsid w:val="7B7C2605"/>
    <w:rsid w:val="7B8361C6"/>
    <w:rsid w:val="7B841746"/>
    <w:rsid w:val="7B893FF3"/>
    <w:rsid w:val="7B9623C6"/>
    <w:rsid w:val="7B992678"/>
    <w:rsid w:val="7BAC6C40"/>
    <w:rsid w:val="7BBB69C9"/>
    <w:rsid w:val="7BC96C4C"/>
    <w:rsid w:val="7BCD41B1"/>
    <w:rsid w:val="7BD256D0"/>
    <w:rsid w:val="7BD6643E"/>
    <w:rsid w:val="7BD932E1"/>
    <w:rsid w:val="7BDE52CB"/>
    <w:rsid w:val="7BE44AE9"/>
    <w:rsid w:val="7BE878B8"/>
    <w:rsid w:val="7C003E9E"/>
    <w:rsid w:val="7C0336B7"/>
    <w:rsid w:val="7C084EB7"/>
    <w:rsid w:val="7C16664A"/>
    <w:rsid w:val="7C2711BF"/>
    <w:rsid w:val="7C4F037A"/>
    <w:rsid w:val="7C533DB3"/>
    <w:rsid w:val="7C6362BC"/>
    <w:rsid w:val="7C647BF4"/>
    <w:rsid w:val="7C6A42D5"/>
    <w:rsid w:val="7C6C5AC7"/>
    <w:rsid w:val="7C7F1D17"/>
    <w:rsid w:val="7C910BF5"/>
    <w:rsid w:val="7C942231"/>
    <w:rsid w:val="7CA502BB"/>
    <w:rsid w:val="7CB62C52"/>
    <w:rsid w:val="7CBB4B6B"/>
    <w:rsid w:val="7CC6544B"/>
    <w:rsid w:val="7CCD138F"/>
    <w:rsid w:val="7CCF72DB"/>
    <w:rsid w:val="7CE27712"/>
    <w:rsid w:val="7CEE3E07"/>
    <w:rsid w:val="7D0239FF"/>
    <w:rsid w:val="7D052063"/>
    <w:rsid w:val="7D347572"/>
    <w:rsid w:val="7D381B6B"/>
    <w:rsid w:val="7D471765"/>
    <w:rsid w:val="7D5B21D7"/>
    <w:rsid w:val="7D5E40CD"/>
    <w:rsid w:val="7D5F78D8"/>
    <w:rsid w:val="7D602234"/>
    <w:rsid w:val="7DA43E8E"/>
    <w:rsid w:val="7DAB2669"/>
    <w:rsid w:val="7DCD56F2"/>
    <w:rsid w:val="7DCE7399"/>
    <w:rsid w:val="7E105BC4"/>
    <w:rsid w:val="7E2272E3"/>
    <w:rsid w:val="7E304BA3"/>
    <w:rsid w:val="7E4B7421"/>
    <w:rsid w:val="7E4D7AFA"/>
    <w:rsid w:val="7E4E7ADF"/>
    <w:rsid w:val="7E582D05"/>
    <w:rsid w:val="7E747EC6"/>
    <w:rsid w:val="7E780E90"/>
    <w:rsid w:val="7E881702"/>
    <w:rsid w:val="7E8D548C"/>
    <w:rsid w:val="7EA908C3"/>
    <w:rsid w:val="7EB13908"/>
    <w:rsid w:val="7EB2358D"/>
    <w:rsid w:val="7EC935F8"/>
    <w:rsid w:val="7ED00AED"/>
    <w:rsid w:val="7EDA21E0"/>
    <w:rsid w:val="7EDB0F21"/>
    <w:rsid w:val="7EF15914"/>
    <w:rsid w:val="7EF74ED6"/>
    <w:rsid w:val="7F001CE7"/>
    <w:rsid w:val="7F06105E"/>
    <w:rsid w:val="7F1A4AE7"/>
    <w:rsid w:val="7F1F3A1D"/>
    <w:rsid w:val="7F25286F"/>
    <w:rsid w:val="7F3D1C6C"/>
    <w:rsid w:val="7F5B3FF2"/>
    <w:rsid w:val="7F6A55A4"/>
    <w:rsid w:val="7F8738A2"/>
    <w:rsid w:val="7F8A1198"/>
    <w:rsid w:val="7F8E36C2"/>
    <w:rsid w:val="7FB116D8"/>
    <w:rsid w:val="7FBA1813"/>
    <w:rsid w:val="7FC441EC"/>
    <w:rsid w:val="7FD72CAB"/>
    <w:rsid w:val="7FD83431"/>
    <w:rsid w:val="7FE47E50"/>
    <w:rsid w:val="7FF30E5D"/>
    <w:rsid w:val="7FF55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1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name="Body Text First Indent" w:locked="1"/>
    <w:lsdException w:qFormat="1" w:unhideWhenUsed="0" w:uiPriority="0" w:semiHidden="0" w:name="Body Text First Indent 2" w:locked="1"/>
    <w:lsdException w:unhideWhenUsed="0" w:uiPriority="0" w:semiHidden="0" w:name="Note Heading" w:locked="1"/>
    <w:lsdException w:qFormat="1" w:unhideWhenUsed="0" w:uiPriority="0" w:semiHidden="0" w:name="Body Text 2" w:locked="1"/>
    <w:lsdException w:unhideWhenUsed="0" w:uiPriority="0" w:semiHidden="0" w:name="Body Text 3" w:locked="1"/>
    <w:lsdException w:qFormat="1"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ocked="1"/>
    <w:lsdException w:qFormat="1" w:unhideWhenUsed="0" w:uiPriority="0" w:semiHidden="0" w:name="FollowedHyperlink" w:locked="1"/>
    <w:lsdException w:qFormat="1" w:unhideWhenUsed="0" w:uiPriority="0" w:semiHidden="0" w:name="Strong" w:locked="1"/>
    <w:lsdException w:qFormat="1" w:unhideWhenUsed="0" w:uiPriority="0" w:semiHidden="0" w:name="Emphasis" w:locked="1"/>
    <w:lsdException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4">
    <w:name w:val="heading 2"/>
    <w:basedOn w:val="1"/>
    <w:next w:val="1"/>
    <w:qFormat/>
    <w:locked/>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locked/>
    <w:uiPriority w:val="0"/>
    <w:pPr>
      <w:keepNext/>
      <w:keepLines/>
      <w:spacing w:before="260" w:after="260" w:line="416" w:lineRule="auto"/>
      <w:outlineLvl w:val="2"/>
    </w:pPr>
    <w:rPr>
      <w:b/>
      <w:bCs/>
      <w:sz w:val="32"/>
      <w:szCs w:val="32"/>
    </w:rPr>
  </w:style>
  <w:style w:type="paragraph" w:styleId="2">
    <w:name w:val="heading 4"/>
    <w:basedOn w:val="1"/>
    <w:next w:val="1"/>
    <w:qFormat/>
    <w:locked/>
    <w:uiPriority w:val="0"/>
    <w:pPr>
      <w:keepNext/>
      <w:keepLines/>
      <w:spacing w:before="280" w:after="290" w:line="376" w:lineRule="auto"/>
      <w:outlineLvl w:val="3"/>
    </w:pPr>
    <w:rPr>
      <w:rFonts w:ascii="Calibri Light" w:hAnsi="Calibri Light"/>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locked/>
    <w:uiPriority w:val="0"/>
    <w:pPr>
      <w:ind w:firstLine="420" w:firstLineChars="200"/>
    </w:pPr>
    <w:rPr>
      <w:szCs w:val="20"/>
    </w:rPr>
  </w:style>
  <w:style w:type="paragraph" w:styleId="7">
    <w:name w:val="annotation text"/>
    <w:basedOn w:val="1"/>
    <w:link w:val="32"/>
    <w:semiHidden/>
    <w:qFormat/>
    <w:uiPriority w:val="0"/>
    <w:pPr>
      <w:jc w:val="left"/>
    </w:pPr>
    <w:rPr>
      <w:kern w:val="0"/>
      <w:sz w:val="24"/>
      <w:szCs w:val="20"/>
    </w:rPr>
  </w:style>
  <w:style w:type="paragraph" w:styleId="8">
    <w:name w:val="Body Text"/>
    <w:basedOn w:val="1"/>
    <w:next w:val="1"/>
    <w:link w:val="33"/>
    <w:qFormat/>
    <w:uiPriority w:val="0"/>
    <w:pPr>
      <w:widowControl/>
      <w:snapToGrid w:val="0"/>
      <w:spacing w:before="60" w:after="160" w:line="259" w:lineRule="auto"/>
      <w:ind w:right="113"/>
    </w:pPr>
    <w:rPr>
      <w:kern w:val="0"/>
      <w:sz w:val="18"/>
      <w:szCs w:val="20"/>
    </w:rPr>
  </w:style>
  <w:style w:type="paragraph" w:styleId="9">
    <w:name w:val="Body Text Indent"/>
    <w:basedOn w:val="1"/>
    <w:next w:val="10"/>
    <w:link w:val="34"/>
    <w:qFormat/>
    <w:uiPriority w:val="0"/>
    <w:pPr>
      <w:spacing w:after="120"/>
      <w:ind w:left="420" w:leftChars="200"/>
    </w:pPr>
    <w:rPr>
      <w:kern w:val="0"/>
      <w:sz w:val="24"/>
      <w:szCs w:val="20"/>
    </w:rPr>
  </w:style>
  <w:style w:type="paragraph" w:styleId="10">
    <w:name w:val="Body Text Indent 2"/>
    <w:basedOn w:val="1"/>
    <w:next w:val="11"/>
    <w:qFormat/>
    <w:locked/>
    <w:uiPriority w:val="0"/>
    <w:pPr>
      <w:spacing w:after="120" w:line="480" w:lineRule="auto"/>
      <w:ind w:left="420" w:leftChars="200"/>
    </w:pPr>
  </w:style>
  <w:style w:type="paragraph" w:styleId="11">
    <w:name w:val="Body Text First Indent 2"/>
    <w:basedOn w:val="9"/>
    <w:next w:val="1"/>
    <w:qFormat/>
    <w:locked/>
    <w:uiPriority w:val="0"/>
    <w:pPr>
      <w:ind w:firstLine="420" w:firstLineChars="200"/>
    </w:pPr>
    <w:rPr>
      <w:sz w:val="21"/>
      <w:szCs w:val="24"/>
    </w:rPr>
  </w:style>
  <w:style w:type="paragraph" w:styleId="12">
    <w:name w:val="Plain Text"/>
    <w:basedOn w:val="1"/>
    <w:qFormat/>
    <w:locked/>
    <w:uiPriority w:val="0"/>
    <w:rPr>
      <w:rFonts w:ascii="宋体" w:hAnsi="Courier New"/>
    </w:rPr>
  </w:style>
  <w:style w:type="paragraph" w:styleId="13">
    <w:name w:val="Date"/>
    <w:basedOn w:val="1"/>
    <w:next w:val="1"/>
    <w:link w:val="35"/>
    <w:qFormat/>
    <w:uiPriority w:val="0"/>
    <w:pPr>
      <w:ind w:left="100" w:leftChars="2500"/>
    </w:pPr>
    <w:rPr>
      <w:kern w:val="0"/>
      <w:sz w:val="24"/>
      <w:szCs w:val="20"/>
    </w:rPr>
  </w:style>
  <w:style w:type="paragraph" w:styleId="14">
    <w:name w:val="Balloon Text"/>
    <w:basedOn w:val="1"/>
    <w:link w:val="36"/>
    <w:semiHidden/>
    <w:qFormat/>
    <w:uiPriority w:val="0"/>
    <w:rPr>
      <w:kern w:val="0"/>
      <w:sz w:val="18"/>
      <w:szCs w:val="20"/>
    </w:rPr>
  </w:style>
  <w:style w:type="paragraph" w:styleId="15">
    <w:name w:val="footer"/>
    <w:basedOn w:val="1"/>
    <w:link w:val="37"/>
    <w:qFormat/>
    <w:uiPriority w:val="99"/>
    <w:pPr>
      <w:tabs>
        <w:tab w:val="center" w:pos="4153"/>
        <w:tab w:val="right" w:pos="8306"/>
      </w:tabs>
      <w:snapToGrid w:val="0"/>
      <w:jc w:val="left"/>
    </w:pPr>
    <w:rPr>
      <w:kern w:val="0"/>
      <w:sz w:val="18"/>
      <w:szCs w:val="20"/>
    </w:rPr>
  </w:style>
  <w:style w:type="paragraph" w:styleId="16">
    <w:name w:val="header"/>
    <w:basedOn w:val="1"/>
    <w:link w:val="38"/>
    <w:qFormat/>
    <w:uiPriority w:val="0"/>
    <w:pPr>
      <w:pBdr>
        <w:bottom w:val="single" w:color="auto" w:sz="6" w:space="1"/>
      </w:pBdr>
      <w:tabs>
        <w:tab w:val="center" w:pos="4153"/>
        <w:tab w:val="right" w:pos="8306"/>
      </w:tabs>
      <w:snapToGrid w:val="0"/>
      <w:jc w:val="center"/>
    </w:pPr>
    <w:rPr>
      <w:kern w:val="0"/>
      <w:sz w:val="18"/>
      <w:szCs w:val="20"/>
    </w:rPr>
  </w:style>
  <w:style w:type="paragraph" w:styleId="17">
    <w:name w:val="toc 1"/>
    <w:basedOn w:val="1"/>
    <w:next w:val="1"/>
    <w:semiHidden/>
    <w:qFormat/>
    <w:locked/>
    <w:uiPriority w:val="0"/>
    <w:pPr>
      <w:spacing w:before="120" w:after="120"/>
      <w:jc w:val="left"/>
    </w:pPr>
    <w:rPr>
      <w:b/>
      <w:bCs/>
      <w:caps/>
      <w:sz w:val="20"/>
    </w:rPr>
  </w:style>
  <w:style w:type="paragraph" w:styleId="18">
    <w:name w:val="List"/>
    <w:basedOn w:val="1"/>
    <w:qFormat/>
    <w:locked/>
    <w:uiPriority w:val="0"/>
    <w:pPr>
      <w:spacing w:line="360" w:lineRule="exact"/>
      <w:jc w:val="center"/>
    </w:pPr>
    <w:rPr>
      <w:rFonts w:ascii="仿宋_GB2312" w:eastAsia="仿宋_GB2312" w:cs="仿宋_GB2312"/>
      <w:sz w:val="24"/>
    </w:rPr>
  </w:style>
  <w:style w:type="paragraph" w:styleId="19">
    <w:name w:val="Body Text 2"/>
    <w:basedOn w:val="1"/>
    <w:qFormat/>
    <w:locked/>
    <w:uiPriority w:val="0"/>
    <w:pPr>
      <w:spacing w:after="120" w:line="480" w:lineRule="auto"/>
    </w:pPr>
  </w:style>
  <w:style w:type="paragraph" w:styleId="20">
    <w:name w:val="Normal (Web)"/>
    <w:basedOn w:val="1"/>
    <w:link w:val="39"/>
    <w:qFormat/>
    <w:uiPriority w:val="0"/>
    <w:pPr>
      <w:widowControl/>
      <w:spacing w:before="100" w:beforeAutospacing="1" w:after="100" w:afterAutospacing="1"/>
      <w:jc w:val="left"/>
    </w:pPr>
    <w:rPr>
      <w:rFonts w:ascii="宋体" w:hAnsi="宋体"/>
      <w:kern w:val="0"/>
      <w:sz w:val="24"/>
      <w:szCs w:val="20"/>
    </w:rPr>
  </w:style>
  <w:style w:type="paragraph" w:styleId="21">
    <w:name w:val="Title"/>
    <w:basedOn w:val="1"/>
    <w:next w:val="1"/>
    <w:qFormat/>
    <w:locked/>
    <w:uiPriority w:val="10"/>
    <w:pPr>
      <w:spacing w:before="240" w:after="60"/>
      <w:jc w:val="center"/>
      <w:outlineLvl w:val="0"/>
    </w:pPr>
    <w:rPr>
      <w:rFonts w:ascii="Cambria" w:hAnsi="Cambria"/>
      <w:b/>
      <w:bCs/>
      <w:sz w:val="32"/>
      <w:szCs w:val="32"/>
    </w:rPr>
  </w:style>
  <w:style w:type="paragraph" w:styleId="22">
    <w:name w:val="annotation subject"/>
    <w:basedOn w:val="7"/>
    <w:next w:val="7"/>
    <w:link w:val="40"/>
    <w:semiHidden/>
    <w:qFormat/>
    <w:uiPriority w:val="0"/>
    <w:rPr>
      <w:b/>
      <w:kern w:val="2"/>
    </w:rPr>
  </w:style>
  <w:style w:type="paragraph" w:styleId="23">
    <w:name w:val="Body Text First Indent"/>
    <w:basedOn w:val="8"/>
    <w:semiHidden/>
    <w:qFormat/>
    <w:locked/>
    <w:uiPriority w:val="0"/>
    <w:pPr>
      <w:framePr w:wrap="around" w:vAnchor="margin" w:hAnchor="text" w:yAlign="top"/>
      <w:snapToGrid/>
      <w:spacing w:after="120" w:line="480" w:lineRule="exact"/>
      <w:ind w:firstLine="420" w:firstLineChars="100"/>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locked/>
    <w:uiPriority w:val="0"/>
  </w:style>
  <w:style w:type="character" w:styleId="28">
    <w:name w:val="FollowedHyperlink"/>
    <w:qFormat/>
    <w:locked/>
    <w:uiPriority w:val="0"/>
    <w:rPr>
      <w:color w:val="800080"/>
      <w:u w:val="none"/>
    </w:rPr>
  </w:style>
  <w:style w:type="character" w:styleId="29">
    <w:name w:val="Emphasis"/>
    <w:qFormat/>
    <w:locked/>
    <w:uiPriority w:val="0"/>
  </w:style>
  <w:style w:type="character" w:styleId="30">
    <w:name w:val="Hyperlink"/>
    <w:qFormat/>
    <w:locked/>
    <w:uiPriority w:val="0"/>
    <w:rPr>
      <w:color w:val="0000FF"/>
      <w:u w:val="none"/>
    </w:rPr>
  </w:style>
  <w:style w:type="character" w:styleId="31">
    <w:name w:val="annotation reference"/>
    <w:semiHidden/>
    <w:qFormat/>
    <w:uiPriority w:val="0"/>
    <w:rPr>
      <w:sz w:val="21"/>
    </w:rPr>
  </w:style>
  <w:style w:type="character" w:customStyle="1" w:styleId="32">
    <w:name w:val="批注文字 字符"/>
    <w:link w:val="7"/>
    <w:qFormat/>
    <w:locked/>
    <w:uiPriority w:val="0"/>
    <w:rPr>
      <w:rFonts w:ascii="Times New Roman" w:hAnsi="Times New Roman" w:eastAsia="宋体"/>
      <w:sz w:val="24"/>
    </w:rPr>
  </w:style>
  <w:style w:type="character" w:customStyle="1" w:styleId="33">
    <w:name w:val="正文文本 字符"/>
    <w:link w:val="8"/>
    <w:qFormat/>
    <w:locked/>
    <w:uiPriority w:val="0"/>
    <w:rPr>
      <w:sz w:val="18"/>
    </w:rPr>
  </w:style>
  <w:style w:type="character" w:customStyle="1" w:styleId="34">
    <w:name w:val="正文文本缩进 字符"/>
    <w:link w:val="9"/>
    <w:semiHidden/>
    <w:qFormat/>
    <w:locked/>
    <w:uiPriority w:val="0"/>
    <w:rPr>
      <w:rFonts w:ascii="Times New Roman" w:hAnsi="Times New Roman" w:eastAsia="宋体"/>
      <w:sz w:val="24"/>
    </w:rPr>
  </w:style>
  <w:style w:type="character" w:customStyle="1" w:styleId="35">
    <w:name w:val="日期 字符1"/>
    <w:link w:val="13"/>
    <w:qFormat/>
    <w:locked/>
    <w:uiPriority w:val="0"/>
    <w:rPr>
      <w:rFonts w:ascii="Times New Roman" w:hAnsi="Times New Roman" w:eastAsia="宋体"/>
      <w:sz w:val="24"/>
    </w:rPr>
  </w:style>
  <w:style w:type="character" w:customStyle="1" w:styleId="36">
    <w:name w:val="批注框文本 字符"/>
    <w:link w:val="14"/>
    <w:semiHidden/>
    <w:qFormat/>
    <w:locked/>
    <w:uiPriority w:val="0"/>
    <w:rPr>
      <w:rFonts w:ascii="Times New Roman" w:hAnsi="Times New Roman" w:eastAsia="宋体"/>
      <w:sz w:val="18"/>
    </w:rPr>
  </w:style>
  <w:style w:type="character" w:customStyle="1" w:styleId="37">
    <w:name w:val="页脚 字符1"/>
    <w:link w:val="15"/>
    <w:qFormat/>
    <w:locked/>
    <w:uiPriority w:val="99"/>
    <w:rPr>
      <w:sz w:val="18"/>
    </w:rPr>
  </w:style>
  <w:style w:type="character" w:customStyle="1" w:styleId="38">
    <w:name w:val="页眉 字符"/>
    <w:link w:val="16"/>
    <w:qFormat/>
    <w:locked/>
    <w:uiPriority w:val="0"/>
    <w:rPr>
      <w:sz w:val="18"/>
    </w:rPr>
  </w:style>
  <w:style w:type="character" w:customStyle="1" w:styleId="39">
    <w:name w:val="普通(网站) 字符"/>
    <w:link w:val="20"/>
    <w:qFormat/>
    <w:locked/>
    <w:uiPriority w:val="0"/>
    <w:rPr>
      <w:rFonts w:ascii="宋体" w:hAnsi="宋体" w:eastAsia="宋体"/>
      <w:sz w:val="24"/>
    </w:rPr>
  </w:style>
  <w:style w:type="character" w:customStyle="1" w:styleId="40">
    <w:name w:val="批注主题 字符"/>
    <w:link w:val="22"/>
    <w:semiHidden/>
    <w:qFormat/>
    <w:locked/>
    <w:uiPriority w:val="0"/>
    <w:rPr>
      <w:rFonts w:ascii="Times New Roman" w:hAnsi="Times New Roman" w:eastAsia="宋体"/>
      <w:b/>
      <w:kern w:val="2"/>
      <w:sz w:val="24"/>
    </w:rPr>
  </w:style>
  <w:style w:type="character" w:customStyle="1" w:styleId="41">
    <w:name w:val="font61"/>
    <w:qFormat/>
    <w:uiPriority w:val="0"/>
    <w:rPr>
      <w:rFonts w:hint="eastAsia" w:ascii="宋体" w:hAnsi="宋体" w:eastAsia="宋体" w:cs="宋体"/>
      <w:color w:val="333333"/>
      <w:sz w:val="21"/>
      <w:szCs w:val="21"/>
      <w:u w:val="none"/>
    </w:rPr>
  </w:style>
  <w:style w:type="character" w:customStyle="1" w:styleId="42">
    <w:name w:val="znspantitle"/>
    <w:qFormat/>
    <w:uiPriority w:val="0"/>
    <w:rPr>
      <w:b/>
      <w:bCs/>
      <w:color w:val="333333"/>
    </w:rPr>
  </w:style>
  <w:style w:type="character" w:customStyle="1" w:styleId="43">
    <w:name w:val="disabled"/>
    <w:qFormat/>
    <w:uiPriority w:val="0"/>
    <w:rPr>
      <w:vanish/>
    </w:rPr>
  </w:style>
  <w:style w:type="character" w:customStyle="1" w:styleId="44">
    <w:name w:val="正文文本 字符1"/>
    <w:semiHidden/>
    <w:qFormat/>
    <w:uiPriority w:val="0"/>
    <w:rPr>
      <w:rFonts w:ascii="Times New Roman" w:hAnsi="Times New Roman" w:eastAsia="宋体"/>
      <w:sz w:val="24"/>
    </w:rPr>
  </w:style>
  <w:style w:type="character" w:customStyle="1" w:styleId="45">
    <w:name w:val="批注文字 字符1"/>
    <w:semiHidden/>
    <w:qFormat/>
    <w:uiPriority w:val="0"/>
    <w:rPr>
      <w:rFonts w:ascii="Times New Roman" w:hAnsi="Times New Roman" w:eastAsia="宋体"/>
      <w:sz w:val="24"/>
    </w:rPr>
  </w:style>
  <w:style w:type="character" w:customStyle="1" w:styleId="46">
    <w:name w:val="font81"/>
    <w:qFormat/>
    <w:uiPriority w:val="0"/>
    <w:rPr>
      <w:rFonts w:hint="default" w:ascii="Times New Roman" w:hAnsi="Times New Roman" w:cs="Times New Roman"/>
      <w:color w:val="000000"/>
      <w:sz w:val="20"/>
      <w:szCs w:val="20"/>
      <w:u w:val="none"/>
    </w:rPr>
  </w:style>
  <w:style w:type="character" w:customStyle="1" w:styleId="47">
    <w:name w:val="日期 字符"/>
    <w:semiHidden/>
    <w:qFormat/>
    <w:uiPriority w:val="0"/>
    <w:rPr>
      <w:rFonts w:ascii="Times New Roman" w:hAnsi="Times New Roman" w:eastAsia="宋体"/>
      <w:sz w:val="24"/>
    </w:rPr>
  </w:style>
  <w:style w:type="character" w:customStyle="1" w:styleId="48">
    <w:name w:val="font01"/>
    <w:qFormat/>
    <w:uiPriority w:val="0"/>
    <w:rPr>
      <w:rFonts w:hint="eastAsia" w:ascii="宋体" w:hAnsi="宋体" w:eastAsia="宋体" w:cs="宋体"/>
      <w:color w:val="000000"/>
      <w:sz w:val="22"/>
      <w:szCs w:val="22"/>
      <w:u w:val="none"/>
    </w:rPr>
  </w:style>
  <w:style w:type="character" w:customStyle="1" w:styleId="49">
    <w:name w:val="font41"/>
    <w:qFormat/>
    <w:uiPriority w:val="0"/>
    <w:rPr>
      <w:rFonts w:hint="default" w:ascii="Times New Roman" w:hAnsi="Times New Roman" w:cs="Times New Roman"/>
      <w:color w:val="000000"/>
      <w:sz w:val="21"/>
      <w:szCs w:val="21"/>
      <w:u w:val="none"/>
      <w:vertAlign w:val="superscript"/>
    </w:rPr>
  </w:style>
  <w:style w:type="character" w:customStyle="1" w:styleId="50">
    <w:name w:val="表格 Char"/>
    <w:link w:val="51"/>
    <w:qFormat/>
    <w:locked/>
    <w:uiPriority w:val="0"/>
    <w:rPr>
      <w:rFonts w:ascii="宋体"/>
      <w:sz w:val="21"/>
    </w:rPr>
  </w:style>
  <w:style w:type="paragraph" w:customStyle="1" w:styleId="51">
    <w:name w:val="表格"/>
    <w:basedOn w:val="1"/>
    <w:next w:val="1"/>
    <w:link w:val="50"/>
    <w:qFormat/>
    <w:uiPriority w:val="0"/>
    <w:pPr>
      <w:adjustRightInd w:val="0"/>
      <w:snapToGrid w:val="0"/>
      <w:spacing w:beforeLines="10" w:afterLines="10" w:line="259" w:lineRule="auto"/>
      <w:jc w:val="center"/>
    </w:pPr>
    <w:rPr>
      <w:rFonts w:ascii="宋体"/>
      <w:kern w:val="0"/>
      <w:szCs w:val="20"/>
    </w:rPr>
  </w:style>
  <w:style w:type="character" w:customStyle="1" w:styleId="52">
    <w:name w:val="font21"/>
    <w:qFormat/>
    <w:uiPriority w:val="0"/>
    <w:rPr>
      <w:rFonts w:hint="eastAsia" w:ascii="宋体" w:hAnsi="宋体" w:eastAsia="宋体" w:cs="宋体"/>
      <w:color w:val="000000"/>
      <w:sz w:val="21"/>
      <w:szCs w:val="21"/>
      <w:u w:val="none"/>
    </w:rPr>
  </w:style>
  <w:style w:type="character" w:customStyle="1" w:styleId="53">
    <w:name w:val="font11"/>
    <w:qFormat/>
    <w:uiPriority w:val="0"/>
    <w:rPr>
      <w:rFonts w:hint="eastAsia" w:ascii="宋体" w:hAnsi="宋体" w:eastAsia="宋体" w:cs="宋体"/>
      <w:color w:val="000000"/>
      <w:sz w:val="21"/>
      <w:szCs w:val="21"/>
      <w:u w:val="none"/>
    </w:rPr>
  </w:style>
  <w:style w:type="character" w:customStyle="1" w:styleId="54">
    <w:name w:val="页脚 字符"/>
    <w:qFormat/>
    <w:uiPriority w:val="99"/>
  </w:style>
  <w:style w:type="character" w:customStyle="1" w:styleId="55">
    <w:name w:val="font31"/>
    <w:qFormat/>
    <w:uiPriority w:val="0"/>
    <w:rPr>
      <w:rFonts w:hint="eastAsia" w:ascii="宋体" w:hAnsi="宋体" w:eastAsia="宋体" w:cs="宋体"/>
      <w:color w:val="000000"/>
      <w:sz w:val="22"/>
      <w:szCs w:val="22"/>
      <w:u w:val="none"/>
    </w:rPr>
  </w:style>
  <w:style w:type="character" w:customStyle="1" w:styleId="56">
    <w:name w:val="font51"/>
    <w:qFormat/>
    <w:uiPriority w:val="0"/>
    <w:rPr>
      <w:rFonts w:hint="default" w:ascii="Times New Roman" w:hAnsi="Times New Roman" w:cs="Times New Roman"/>
      <w:color w:val="000000"/>
      <w:sz w:val="21"/>
      <w:szCs w:val="21"/>
      <w:u w:val="none"/>
    </w:rPr>
  </w:style>
  <w:style w:type="character" w:customStyle="1" w:styleId="57">
    <w:name w:val="font71"/>
    <w:qFormat/>
    <w:uiPriority w:val="0"/>
    <w:rPr>
      <w:rFonts w:hint="default" w:ascii="Times New Roman" w:hAnsi="Times New Roman" w:cs="Times New Roman"/>
      <w:color w:val="000000"/>
      <w:sz w:val="20"/>
      <w:szCs w:val="20"/>
      <w:u w:val="none"/>
      <w:vertAlign w:val="superscript"/>
    </w:rPr>
  </w:style>
  <w:style w:type="paragraph" w:customStyle="1" w:styleId="58">
    <w:name w:val="Table Paragraph"/>
    <w:basedOn w:val="1"/>
    <w:qFormat/>
    <w:uiPriority w:val="99"/>
  </w:style>
  <w:style w:type="paragraph" w:customStyle="1" w:styleId="59">
    <w:name w:val="目录 53"/>
    <w:basedOn w:val="1"/>
    <w:next w:val="1"/>
    <w:qFormat/>
    <w:uiPriority w:val="0"/>
    <w:pPr>
      <w:ind w:left="840"/>
    </w:pPr>
    <w:rPr>
      <w:rFonts w:cs="宋体"/>
      <w:color w:val="000000"/>
    </w:rPr>
  </w:style>
  <w:style w:type="paragraph" w:customStyle="1" w:styleId="60">
    <w:name w:val="样式 样式 样式 表内格式 + 左  -0.5 字符 + 左侧:  -0.5 字符 右侧:  -0.5 字符 + 左侧:  -0..."/>
    <w:basedOn w:val="1"/>
    <w:qFormat/>
    <w:uiPriority w:val="0"/>
    <w:pPr>
      <w:jc w:val="center"/>
    </w:pPr>
    <w:rPr>
      <w:sz w:val="18"/>
      <w:szCs w:val="18"/>
    </w:rPr>
  </w:style>
  <w:style w:type="paragraph" w:customStyle="1" w:styleId="61">
    <w:name w:val="表头"/>
    <w:basedOn w:val="51"/>
    <w:next w:val="1"/>
    <w:qFormat/>
    <w:uiPriority w:val="0"/>
    <w:pPr>
      <w:spacing w:line="320" w:lineRule="atLeast"/>
      <w:textAlignment w:val="baseline"/>
    </w:pPr>
    <w:rPr>
      <w:rFonts w:eastAsia="黑体"/>
      <w:spacing w:val="-10"/>
    </w:rPr>
  </w:style>
  <w:style w:type="paragraph" w:customStyle="1" w:styleId="62">
    <w:name w:val="表格头"/>
    <w:basedOn w:val="1"/>
    <w:qFormat/>
    <w:uiPriority w:val="0"/>
    <w:pPr>
      <w:tabs>
        <w:tab w:val="left" w:pos="0"/>
      </w:tabs>
      <w:spacing w:line="360" w:lineRule="auto"/>
      <w:jc w:val="center"/>
    </w:pPr>
    <w:rPr>
      <w:b/>
      <w:bCs/>
      <w:sz w:val="24"/>
    </w:rPr>
  </w:style>
  <w:style w:type="paragraph" w:customStyle="1" w:styleId="63">
    <w:name w:val="Default"/>
    <w:basedOn w:val="64"/>
    <w:next w:val="65"/>
    <w:qFormat/>
    <w:uiPriority w:val="0"/>
    <w:pPr>
      <w:autoSpaceDE w:val="0"/>
      <w:autoSpaceDN w:val="0"/>
    </w:pPr>
    <w:rPr>
      <w:rFonts w:ascii="宋体" w:hAnsi="宋体" w:cs="宋体"/>
    </w:rPr>
  </w:style>
  <w:style w:type="paragraph" w:customStyle="1" w:styleId="64">
    <w:name w:val="标题2"/>
    <w:basedOn w:val="4"/>
    <w:qFormat/>
    <w:uiPriority w:val="0"/>
    <w:pPr>
      <w:keepLines w:val="0"/>
      <w:adjustRightInd w:val="0"/>
      <w:snapToGrid w:val="0"/>
      <w:spacing w:before="0" w:after="0" w:line="360" w:lineRule="auto"/>
    </w:pPr>
    <w:rPr>
      <w:rFonts w:ascii="黑体" w:hAnsi="Times New Roman"/>
      <w:snapToGrid w:val="0"/>
      <w:kern w:val="0"/>
      <w:sz w:val="24"/>
      <w:szCs w:val="20"/>
    </w:rPr>
  </w:style>
  <w:style w:type="paragraph" w:customStyle="1" w:styleId="65">
    <w:name w:val="样式3"/>
    <w:basedOn w:val="1"/>
    <w:next w:val="59"/>
    <w:qFormat/>
    <w:uiPriority w:val="0"/>
    <w:pPr>
      <w:autoSpaceDE w:val="0"/>
      <w:autoSpaceDN w:val="0"/>
      <w:snapToGrid w:val="0"/>
      <w:spacing w:before="120" w:line="460" w:lineRule="atLeast"/>
      <w:jc w:val="center"/>
    </w:pPr>
    <w:rPr>
      <w:rFonts w:eastAsia="黑体"/>
      <w:sz w:val="28"/>
    </w:rPr>
  </w:style>
  <w:style w:type="paragraph" w:customStyle="1" w:styleId="66">
    <w:name w:val="S正文"/>
    <w:basedOn w:val="1"/>
    <w:qFormat/>
    <w:uiPriority w:val="0"/>
    <w:pPr>
      <w:spacing w:line="360" w:lineRule="auto"/>
      <w:ind w:firstLine="200" w:firstLineChars="200"/>
    </w:pPr>
    <w:rPr>
      <w:rFonts w:cs="宋体"/>
      <w:sz w:val="24"/>
    </w:rPr>
  </w:style>
  <w:style w:type="paragraph" w:customStyle="1" w:styleId="67">
    <w:name w:val="普通(网站)2"/>
    <w:basedOn w:val="1"/>
    <w:qFormat/>
    <w:uiPriority w:val="0"/>
    <w:pPr>
      <w:widowControl/>
      <w:spacing w:before="100" w:beforeAutospacing="1" w:after="100" w:afterAutospacing="1"/>
      <w:jc w:val="left"/>
    </w:pPr>
    <w:rPr>
      <w:rFonts w:ascii="宋体" w:hAnsi="宋体"/>
      <w:sz w:val="24"/>
      <w:szCs w:val="20"/>
    </w:rPr>
  </w:style>
  <w:style w:type="paragraph" w:customStyle="1" w:styleId="68">
    <w:name w:val="正文（首行缩进） Char"/>
    <w:basedOn w:val="1"/>
    <w:qFormat/>
    <w:uiPriority w:val="0"/>
    <w:pPr>
      <w:widowControl/>
      <w:overflowPunct w:val="0"/>
      <w:topLinePunct/>
      <w:autoSpaceDE w:val="0"/>
      <w:autoSpaceDN w:val="0"/>
      <w:adjustRightInd w:val="0"/>
      <w:snapToGrid w:val="0"/>
      <w:spacing w:line="360" w:lineRule="auto"/>
      <w:ind w:firstLine="480" w:firstLineChars="200"/>
      <w:textAlignment w:val="baseline"/>
    </w:pPr>
    <w:rPr>
      <w:snapToGrid w:val="0"/>
      <w:kern w:val="0"/>
      <w:sz w:val="24"/>
    </w:rPr>
  </w:style>
  <w:style w:type="paragraph" w:customStyle="1" w:styleId="69">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0">
    <w:name w:val="样式1"/>
    <w:basedOn w:val="17"/>
    <w:qFormat/>
    <w:uiPriority w:val="0"/>
    <w:rPr>
      <w:color w:val="000000"/>
      <w:sz w:val="24"/>
    </w:rPr>
  </w:style>
  <w:style w:type="paragraph" w:customStyle="1" w:styleId="71">
    <w:name w:val="表样式1"/>
    <w:basedOn w:val="1"/>
    <w:qFormat/>
    <w:uiPriority w:val="0"/>
    <w:pPr>
      <w:snapToGrid w:val="0"/>
      <w:jc w:val="center"/>
    </w:pPr>
    <w:rPr>
      <w:color w:val="000000"/>
      <w:szCs w:val="21"/>
    </w:rPr>
  </w:style>
  <w:style w:type="paragraph" w:customStyle="1" w:styleId="72">
    <w:name w:val="4正文"/>
    <w:basedOn w:val="1"/>
    <w:qFormat/>
    <w:uiPriority w:val="0"/>
    <w:pPr>
      <w:spacing w:line="360" w:lineRule="auto"/>
      <w:ind w:firstLine="480" w:firstLineChars="200"/>
    </w:pPr>
    <w:rPr>
      <w:rFonts w:eastAsia="Times New Roman"/>
    </w:rPr>
  </w:style>
  <w:style w:type="paragraph" w:styleId="73">
    <w:name w:val="List Paragraph"/>
    <w:basedOn w:val="1"/>
    <w:qFormat/>
    <w:uiPriority w:val="34"/>
    <w:pPr>
      <w:ind w:firstLine="420" w:firstLineChars="200"/>
    </w:pPr>
  </w:style>
  <w:style w:type="paragraph" w:customStyle="1" w:styleId="7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1正文段落"/>
    <w:basedOn w:val="1"/>
    <w:qFormat/>
    <w:uiPriority w:val="0"/>
    <w:pPr>
      <w:spacing w:before="60"/>
      <w:ind w:firstLine="480"/>
      <w:jc w:val="center"/>
    </w:pPr>
    <w:rPr>
      <w:rFonts w:ascii="黑体"/>
      <w:color w:val="000000"/>
    </w:rPr>
  </w:style>
  <w:style w:type="paragraph" w:customStyle="1" w:styleId="76">
    <w:name w:val="文本"/>
    <w:basedOn w:val="1"/>
    <w:qFormat/>
    <w:uiPriority w:val="0"/>
    <w:pPr>
      <w:adjustRightInd w:val="0"/>
      <w:snapToGrid w:val="0"/>
      <w:spacing w:line="360" w:lineRule="auto"/>
      <w:ind w:firstLine="1446" w:firstLineChars="200"/>
    </w:pPr>
    <w:rPr>
      <w:sz w:val="24"/>
    </w:rPr>
  </w:style>
  <w:style w:type="paragraph" w:customStyle="1" w:styleId="77">
    <w:name w:val="表格标题"/>
    <w:basedOn w:val="1"/>
    <w:qFormat/>
    <w:uiPriority w:val="0"/>
    <w:pPr>
      <w:adjustRightInd w:val="0"/>
      <w:snapToGrid w:val="0"/>
      <w:spacing w:line="480" w:lineRule="exact"/>
      <w:jc w:val="center"/>
    </w:pPr>
    <w:rPr>
      <w:rFonts w:eastAsia="黑体"/>
      <w:b/>
      <w:snapToGrid w:val="0"/>
      <w:kern w:val="0"/>
      <w:sz w:val="24"/>
    </w:rPr>
  </w:style>
  <w:style w:type="paragraph" w:customStyle="1" w:styleId="78">
    <w:name w:val="A标准格式"/>
    <w:basedOn w:val="1"/>
    <w:qFormat/>
    <w:uiPriority w:val="0"/>
    <w:pPr>
      <w:spacing w:line="440" w:lineRule="exact"/>
      <w:ind w:firstLine="480" w:firstLineChars="200"/>
    </w:pPr>
    <w:rPr>
      <w:sz w:val="24"/>
      <w:szCs w:val="22"/>
    </w:rPr>
  </w:style>
  <w:style w:type="paragraph" w:customStyle="1" w:styleId="79">
    <w:name w:val="表格内部—常用"/>
    <w:basedOn w:val="1"/>
    <w:next w:val="1"/>
    <w:qFormat/>
    <w:uiPriority w:val="0"/>
    <w:pPr>
      <w:jc w:val="center"/>
    </w:pPr>
    <w:rPr>
      <w:szCs w:val="21"/>
    </w:rPr>
  </w:style>
  <w:style w:type="paragraph" w:customStyle="1" w:styleId="80">
    <w:name w:val="表格内容自定"/>
    <w:basedOn w:val="1"/>
    <w:qFormat/>
    <w:uiPriority w:val="0"/>
    <w:pPr>
      <w:spacing w:line="280" w:lineRule="exact"/>
      <w:jc w:val="center"/>
    </w:pPr>
    <w:rPr>
      <w:sz w:val="18"/>
      <w:szCs w:val="21"/>
    </w:rPr>
  </w:style>
  <w:style w:type="paragraph" w:customStyle="1" w:styleId="81">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82">
    <w:name w:val="正文内容"/>
    <w:basedOn w:val="1"/>
    <w:qFormat/>
    <w:uiPriority w:val="0"/>
    <w:pPr>
      <w:spacing w:line="360" w:lineRule="auto"/>
      <w:ind w:firstLine="200" w:firstLineChars="200"/>
    </w:pPr>
    <w:rPr>
      <w:sz w:val="24"/>
    </w:rPr>
  </w:style>
  <w:style w:type="paragraph" w:customStyle="1" w:styleId="83">
    <w:name w:val="表"/>
    <w:basedOn w:val="1"/>
    <w:qFormat/>
    <w:uiPriority w:val="0"/>
    <w:pPr>
      <w:snapToGrid w:val="0"/>
      <w:jc w:val="center"/>
    </w:pPr>
    <w:rPr>
      <w:spacing w:val="2"/>
      <w:sz w:val="24"/>
      <w:szCs w:val="22"/>
    </w:rPr>
  </w:style>
  <w:style w:type="character" w:customStyle="1" w:styleId="84">
    <w:name w:val="nzt5k"/>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6.png"/><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4.wmf"/><Relationship Id="rId27" Type="http://schemas.openxmlformats.org/officeDocument/2006/relationships/oleObject" Target="embeddings/oleObject6.bin"/><Relationship Id="rId26" Type="http://schemas.openxmlformats.org/officeDocument/2006/relationships/image" Target="media/image13.wmf"/><Relationship Id="rId25" Type="http://schemas.openxmlformats.org/officeDocument/2006/relationships/oleObject" Target="embeddings/oleObject5.bin"/><Relationship Id="rId24" Type="http://schemas.openxmlformats.org/officeDocument/2006/relationships/image" Target="media/image12.wmf"/><Relationship Id="rId23" Type="http://schemas.openxmlformats.org/officeDocument/2006/relationships/oleObject" Target="embeddings/oleObject4.bin"/><Relationship Id="rId22" Type="http://schemas.openxmlformats.org/officeDocument/2006/relationships/image" Target="media/image11.wmf"/><Relationship Id="rId21" Type="http://schemas.openxmlformats.org/officeDocument/2006/relationships/oleObject" Target="embeddings/oleObject3.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9.wmf"/><Relationship Id="rId17" Type="http://schemas.openxmlformats.org/officeDocument/2006/relationships/oleObject" Target="embeddings/oleObject1.bin"/><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jpe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extobjs>
    <extobj name="ECB019B1-382A-4266-B25C-5B523AA43C14-1">
      <extobjdata type="ECB019B1-382A-4266-B25C-5B523AA43C14" data="ewoJIkZpbGVJZCIgOiAiMjcwNTIxMTU4MDgzIiwKCSJHcm91cElkIiA6ICIxOTAzODM5NDUiLAoJIkltYWdlIiA6ICJpVkJPUncwS0dnb0FBQUFOU1VoRVVnQUFBOUFBQUFJeENBWUFBQUNsd1ZCN0FBQUFBWE5TUjBJQXJzNGM2UUFBSUFCSlJFRlVlSnpzM1hkNFZGWCt4L0hQdVpOR0R4aEFKU3Y4TkVoUnpFd0NDeUpnMXhYc2ZVR2xpWUNGRlJRVmNSY2JvQ2dvQ2lxQ0hWQ3hMWXVnWUVHbG8yUkNhSUtJbElCMEF3UlM1NTdmSDVBeFF4SUlDRXdnNzlmejhEajMzSFBQL2Q0azF5ZmZuQ1lC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VhzWC9Bdm0vSFFYejl6WENBQUFBQUVsRlRrU3VRbUNDIiwKCSJUaGVtZSIgOiAiIiwKCSJUeXBlIiA6ICJmbG93IiwKCSJWZXJzaW9uIiA6ICIiCn0K"/>
    </extobj>
    <extobj name="ECB019B1-382A-4266-B25C-5B523AA43C14-2">
      <extobjdata type="ECB019B1-382A-4266-B25C-5B523AA43C14" data="ewoJIkZpbGVJZCIgOiAiMjcwNTI5MjAzNTA4IiwKCSJHcm91cElkIiA6ICIxOTAzODM5NDUiLAoJIkltYWdlIiA6ICJpVkJPUncwS0dnb0FBQUFOU1VoRVVnQUFBcUVBQUFMSUNBWUFBQUJQV1NuTUFBQUFBWE5TUjBJQXJzNGM2UUFBSUFCSlJFRlVlSnpzM1hsY1ZGWGpCdkRuemd3aWlJSzc1cElMWlM0b00yZ3BhbW1MVzIrV1c1cVdTK2FDdU9TYSs1Nlo0cjRyZ2l0dUxXcUZwWWFtSXJteENHSUt1YUVpZ29SS01EREwrZjFCYzEvR0dYQlFHdUQzUHQvUHg0OXdsM1BQdmN6QU0rZmNjeTVB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E2Ny93OE9zVmg1SzEwSmpBQUFBQUJKUlU1RXJrSmdnZz09IiwKCSJUaGVtZSIgOiAiIiwKCSJUeXBlIiA6ICJmbG93IiwKCSJWZXJzaW9uIiA6ICIxNSIKfQo="/>
    </extobj>
    <extobj name="ECB019B1-382A-4266-B25C-5B523AA43C14-3">
      <extobjdata type="ECB019B1-382A-4266-B25C-5B523AA43C14" data="ewoJIkZpbGVJZCIgOiAiMjcwNTMxNjI2NjQ3IiwKCSJHcm91cElkIiA6ICIxOTAzODM5NDUiLAoJIkltYWdlIiA6ICJpVkJPUncwS0dnb0FBQUFOU1VoRVVnQUFBb3NBQUFPZ0NBWUFBQUJWOWp4V0FBQUFBWE5TUjBJQXJzNGM2UUFBSUFCSlJFRlVlSnpzM1h1WVRZWCt4L0hQMm52UEdPTWVacFJHa2lLNXpWQnVUeFJLdWhBZGthUlFSd3Fob2x3NnFYN0t0U0YxSkNrMFU2RnlpNDRqaW5JNW1ZYklKWkw3WlpCaHRybnV2ZGZ2ajhuT2JtWXhoTFhOZnIrZXA4Zk11dTN2bnVlSjk3UFdYbXNr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VBDNy9qL0ZaTVo4Z2p4UVRRQUFBQUJKUlU1RXJrSmdnZz09IiwKCSJUaGVtZSIgOiAiIiwKCSJUeXBlIiA6ICJmbG93IiwKCSJWZXJzaW9uIiA6ICIiCn0K"/>
    </extobj>
    <extobj name="ECB019B1-382A-4266-B25C-5B523AA43C14-4">
      <extobjdata type="ECB019B1-382A-4266-B25C-5B523AA43C14" data="ewoJIkZpbGVJZCIgOiAiMjcwNTMxNDU2ODYyIiwKCSJHcm91cElkIiA6ICIxOTAzODM5NDUiLAoJIkltYWdlIiA6ICJpVkJPUncwS0dnb0FBQUFOU1VoRVVnQUFCQm9BQUFRaUNBWUFBQUFGOVo2ZkFBQUFBWE5TUjBJQXJzNGM2UUFBSUFCSlJFRlVlSnpzM1htY2pYWC94L0gzZGM2Wk1aalJaTXRXbGdpRlpoU0trQktsc2lmcHpsYlJIVm5ybGtSRWk1OTlOM1ptUW90Q1VmYVlMRGN4akMwbUdVdTJzUTFqNXN4MnJ0OGZZODQ5eDV3WlM0ZkRlRDBmajNsd3Z0ZHlQb2U1WnM3MVB0OUZBZ0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RS2Z4L3dER1VpblYzcjBFQUFBQUFBQkpSVTVFcmtKZ2dnPT0iLAoJIlRoZW1lIiA6ICIiLAoJIlR5cGUiIDogImZsb3ciLAoJIlZlcnNpb24iIDogIiIKfQo="/>
    </extobj>
    <extobj name="ECB019B1-382A-4266-B25C-5B523AA43C14-5">
      <extobjdata type="ECB019B1-382A-4266-B25C-5B523AA43C14" data="ewoJIkZpbGVJZCIgOiAiMjcwNTI5MTk5OTQ4IiwKCSJHcm91cElkIiA6ICIxOTAzODM5NDUiLAoJIkltYWdlIiA6ICJpVkJPUncwS0dnb0FBQUFOU1VoRVVnQUFBZFFBQUFKRUNBWUFBQUN2cWRXeUFBQUFBWE5TUjBJQXJzNGM2UUFBSUFCSlJFRlVlSnpzM1hsOEZPWDlCL0RQZDJheldlNFFCSUdDUmswTFJraDJKaDZvVmV1TlI5V3FWT3ZCRHkzaWhXS1ZWckVXcnlKcUxWU2xWcXNWOGNEN0FJL2FlbEhGbTh4c0FrWXBFVG1pS0xma1RuYWU3KytQN0c2VEVPNlZWZmk4WDYrOHlNNCtNL09keWJLZm5XZWVtUVd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Tkrai9BYWJ3SGZKblYzNmtBQUFBQUVsRlRrU3VRbUNDIiwKCSJUaGVtZSIgOiAiIiwKCSJUeXBlIiA6ICJmbG93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生态环境部制</Company>
  <Pages>52</Pages>
  <Words>6241</Words>
  <Characters>35578</Characters>
  <Lines>296</Lines>
  <Paragraphs>83</Paragraphs>
  <TotalTime>68</TotalTime>
  <ScaleCrop>false</ScaleCrop>
  <LinksUpToDate>false</LinksUpToDate>
  <CharactersWithSpaces>41736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2020-12-24T01:29:00Z</dcterms:created>
  <dc:creator>徐老师</dc:creator>
  <cp:lastModifiedBy>向南</cp:lastModifiedBy>
  <cp:lastPrinted>2022-03-10T09:16:00Z</cp:lastPrinted>
  <dcterms:modified xsi:type="dcterms:W3CDTF">2023-12-26T09:02:29Z</dcterms:modified>
  <dc:title>建设项目环境影响报告表（污染影响类）</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01D1E1EFB1984A9DBEC21AF38AB86DAB_13</vt:lpwstr>
  </property>
</Properties>
</file>