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F4893F">
      <w:pPr>
        <w:jc w:val="center"/>
        <w:outlineLvl w:val="0"/>
        <w:rPr>
          <w:rFonts w:hint="eastAsia" w:eastAsia="黑体" w:cs="Times New Roman"/>
          <w:b/>
          <w:color w:val="000000"/>
          <w:kern w:val="44"/>
          <w:sz w:val="52"/>
          <w:szCs w:val="52"/>
          <w:shd w:val="clear" w:color="auto" w:fill="FFFFFF"/>
          <w:lang w:eastAsia="zh-CN" w:bidi="ar"/>
        </w:rPr>
      </w:pPr>
      <w:bookmarkStart w:id="254" w:name="_GoBack"/>
      <w:bookmarkEnd w:id="254"/>
      <w:bookmarkStart w:id="0" w:name="_Hlk89415059"/>
    </w:p>
    <w:p w14:paraId="4A75B0C6">
      <w:pPr>
        <w:jc w:val="center"/>
        <w:outlineLvl w:val="0"/>
        <w:rPr>
          <w:rFonts w:hint="eastAsia" w:eastAsia="黑体" w:cs="Times New Roman"/>
          <w:b/>
          <w:color w:val="000000"/>
          <w:kern w:val="44"/>
          <w:sz w:val="52"/>
          <w:szCs w:val="52"/>
          <w:shd w:val="clear" w:color="auto" w:fill="FFFFFF"/>
          <w:lang w:eastAsia="zh-CN" w:bidi="ar"/>
        </w:rPr>
      </w:pPr>
    </w:p>
    <w:p w14:paraId="6E0C1B22">
      <w:pPr>
        <w:jc w:val="center"/>
        <w:outlineLvl w:val="0"/>
        <w:rPr>
          <w:rFonts w:hint="eastAsia" w:eastAsia="黑体" w:cs="Times New Roman"/>
          <w:b/>
          <w:color w:val="000000"/>
          <w:kern w:val="44"/>
          <w:sz w:val="52"/>
          <w:szCs w:val="52"/>
          <w:shd w:val="clear" w:color="auto" w:fill="FFFFFF"/>
          <w:lang w:eastAsia="zh-CN" w:bidi="ar"/>
        </w:rPr>
      </w:pPr>
      <w:bookmarkStart w:id="1" w:name="_Toc12016"/>
      <w:bookmarkStart w:id="2" w:name="_Toc3992"/>
      <w:bookmarkStart w:id="3" w:name="_Toc31958"/>
      <w:r>
        <w:rPr>
          <w:rFonts w:hint="eastAsia" w:eastAsia="黑体" w:cs="Times New Roman"/>
          <w:b/>
          <w:color w:val="000000"/>
          <w:kern w:val="44"/>
          <w:sz w:val="52"/>
          <w:szCs w:val="52"/>
          <w:shd w:val="clear" w:color="auto" w:fill="FFFFFF"/>
          <w:lang w:eastAsia="zh-CN" w:bidi="ar"/>
        </w:rPr>
        <w:t>安徽晶科能源有限公司</w:t>
      </w:r>
      <w:bookmarkEnd w:id="1"/>
      <w:bookmarkEnd w:id="2"/>
      <w:bookmarkEnd w:id="3"/>
    </w:p>
    <w:p w14:paraId="339EC4AC">
      <w:pPr>
        <w:jc w:val="center"/>
        <w:outlineLvl w:val="0"/>
        <w:rPr>
          <w:rFonts w:hint="eastAsia" w:eastAsia="黑体" w:cs="Times New Roman"/>
          <w:b/>
          <w:color w:val="auto"/>
          <w:kern w:val="44"/>
          <w:sz w:val="52"/>
          <w:szCs w:val="52"/>
          <w:shd w:val="clear" w:color="auto" w:fill="FFFFFF"/>
          <w:lang w:eastAsia="zh-CN" w:bidi="ar"/>
        </w:rPr>
      </w:pPr>
      <w:bookmarkStart w:id="4" w:name="_Toc12924"/>
      <w:bookmarkStart w:id="5" w:name="_Toc25339"/>
      <w:bookmarkStart w:id="6" w:name="_Toc10934"/>
      <w:r>
        <w:rPr>
          <w:rFonts w:hint="eastAsia" w:eastAsia="黑体" w:cs="Times New Roman"/>
          <w:b/>
          <w:color w:val="000000"/>
          <w:kern w:val="44"/>
          <w:sz w:val="52"/>
          <w:szCs w:val="52"/>
          <w:shd w:val="clear" w:color="auto" w:fill="FFFFFF"/>
          <w:lang w:eastAsia="zh-CN" w:bidi="ar"/>
        </w:rPr>
        <w:t>高效太阳能电池片FP提效改造一期项目</w:t>
      </w:r>
      <w:bookmarkEnd w:id="4"/>
      <w:bookmarkEnd w:id="5"/>
      <w:bookmarkEnd w:id="6"/>
    </w:p>
    <w:bookmarkEnd w:id="0"/>
    <w:p w14:paraId="257966B2">
      <w:pPr>
        <w:jc w:val="center"/>
        <w:rPr>
          <w:rFonts w:eastAsia="黑体" w:cs="Times New Roman"/>
          <w:color w:val="auto"/>
          <w:sz w:val="52"/>
          <w:szCs w:val="52"/>
        </w:rPr>
      </w:pPr>
    </w:p>
    <w:p w14:paraId="176D5887">
      <w:pPr>
        <w:jc w:val="center"/>
        <w:rPr>
          <w:rFonts w:eastAsia="黑体" w:cs="Times New Roman"/>
          <w:color w:val="auto"/>
          <w:sz w:val="52"/>
          <w:szCs w:val="52"/>
        </w:rPr>
      </w:pPr>
    </w:p>
    <w:p w14:paraId="337A6509">
      <w:pPr>
        <w:jc w:val="center"/>
        <w:rPr>
          <w:rFonts w:eastAsia="黑体" w:cs="Times New Roman"/>
          <w:color w:val="auto"/>
          <w:sz w:val="52"/>
          <w:szCs w:val="52"/>
        </w:rPr>
      </w:pPr>
    </w:p>
    <w:p w14:paraId="3BA0DE42">
      <w:pPr>
        <w:jc w:val="center"/>
        <w:outlineLvl w:val="0"/>
        <w:rPr>
          <w:rFonts w:hint="eastAsia" w:ascii="宋体" w:hAnsi="宋体"/>
          <w:b/>
          <w:bCs/>
          <w:color w:val="auto"/>
          <w:sz w:val="72"/>
          <w:szCs w:val="72"/>
        </w:rPr>
      </w:pPr>
      <w:bookmarkStart w:id="7" w:name="_Toc16336"/>
      <w:bookmarkStart w:id="8" w:name="_Toc18849"/>
      <w:bookmarkStart w:id="9" w:name="_Toc17947"/>
      <w:r>
        <w:rPr>
          <w:rFonts w:hint="eastAsia" w:ascii="宋体" w:hAnsi="宋体"/>
          <w:b/>
          <w:bCs/>
          <w:color w:val="auto"/>
          <w:sz w:val="72"/>
          <w:szCs w:val="72"/>
          <w:lang w:val="en-US" w:eastAsia="zh-CN"/>
        </w:rPr>
        <w:t>生态</w:t>
      </w:r>
      <w:r>
        <w:rPr>
          <w:rFonts w:hint="eastAsia" w:ascii="宋体" w:hAnsi="宋体"/>
          <w:b/>
          <w:bCs/>
          <w:color w:val="auto"/>
          <w:sz w:val="72"/>
          <w:szCs w:val="72"/>
        </w:rPr>
        <w:t>环境影响报告书</w:t>
      </w:r>
      <w:bookmarkEnd w:id="7"/>
      <w:bookmarkEnd w:id="8"/>
      <w:bookmarkEnd w:id="9"/>
    </w:p>
    <w:p w14:paraId="3041355B">
      <w:pPr>
        <w:jc w:val="center"/>
        <w:rPr>
          <w:rStyle w:val="23"/>
          <w:rFonts w:cs="Times New Roman"/>
          <w:b w:val="0"/>
          <w:color w:val="auto"/>
          <w:sz w:val="36"/>
          <w:szCs w:val="36"/>
        </w:rPr>
      </w:pPr>
      <w:r>
        <w:rPr>
          <w:rStyle w:val="23"/>
          <w:rFonts w:hint="eastAsia" w:cs="Times New Roman"/>
          <w:b/>
          <w:bCs w:val="0"/>
          <w:color w:val="auto"/>
          <w:sz w:val="36"/>
          <w:szCs w:val="36"/>
          <w:lang w:eastAsia="zh-CN"/>
        </w:rPr>
        <w:t>（</w:t>
      </w:r>
      <w:r>
        <w:rPr>
          <w:rStyle w:val="23"/>
          <w:rFonts w:hint="eastAsia" w:cs="Times New Roman"/>
          <w:b/>
          <w:bCs w:val="0"/>
          <w:color w:val="auto"/>
          <w:sz w:val="36"/>
          <w:szCs w:val="36"/>
          <w:lang w:val="en-US" w:eastAsia="zh-CN"/>
        </w:rPr>
        <w:t>送审稿</w:t>
      </w:r>
      <w:r>
        <w:rPr>
          <w:rStyle w:val="23"/>
          <w:rFonts w:hint="eastAsia" w:cs="Times New Roman"/>
          <w:b/>
          <w:bCs w:val="0"/>
          <w:color w:val="auto"/>
          <w:sz w:val="36"/>
          <w:szCs w:val="36"/>
          <w:lang w:eastAsia="zh-CN"/>
        </w:rPr>
        <w:t>）</w:t>
      </w:r>
    </w:p>
    <w:p w14:paraId="5910EFA0">
      <w:pPr>
        <w:bidi w:val="0"/>
      </w:pPr>
    </w:p>
    <w:p w14:paraId="252232C4">
      <w:pPr>
        <w:bidi w:val="0"/>
      </w:pPr>
    </w:p>
    <w:p w14:paraId="36173931">
      <w:pPr>
        <w:bidi w:val="0"/>
      </w:pPr>
    </w:p>
    <w:p w14:paraId="54E88F73">
      <w:pPr>
        <w:bidi w:val="0"/>
      </w:pPr>
    </w:p>
    <w:p w14:paraId="6C85E208">
      <w:pPr>
        <w:bidi w:val="0"/>
      </w:pPr>
    </w:p>
    <w:p w14:paraId="76C19867">
      <w:pPr>
        <w:bidi w:val="0"/>
      </w:pPr>
    </w:p>
    <w:p w14:paraId="0D54C79B">
      <w:pPr>
        <w:bidi w:val="0"/>
      </w:pPr>
    </w:p>
    <w:p w14:paraId="51DFC68A">
      <w:pPr>
        <w:bidi w:val="0"/>
      </w:pPr>
    </w:p>
    <w:p w14:paraId="62B0C7DD">
      <w:pPr>
        <w:bidi w:val="0"/>
      </w:pPr>
    </w:p>
    <w:p w14:paraId="076979E7">
      <w:pPr>
        <w:bidi w:val="0"/>
      </w:pPr>
    </w:p>
    <w:p w14:paraId="383336BA">
      <w:pPr>
        <w:spacing w:line="312" w:lineRule="auto"/>
        <w:jc w:val="center"/>
        <w:outlineLvl w:val="0"/>
        <w:rPr>
          <w:rFonts w:hint="eastAsia" w:eastAsia="宋体" w:cs="Times New Roman"/>
          <w:b/>
          <w:color w:val="auto"/>
          <w:sz w:val="32"/>
          <w:szCs w:val="52"/>
          <w:lang w:eastAsia="zh-CN"/>
        </w:rPr>
      </w:pPr>
      <w:bookmarkStart w:id="10" w:name="_Toc22882"/>
      <w:bookmarkStart w:id="11" w:name="_Toc18371"/>
      <w:bookmarkStart w:id="12" w:name="_Toc10344"/>
      <w:bookmarkStart w:id="13" w:name="_Toc28102"/>
      <w:bookmarkStart w:id="14" w:name="_Toc24987"/>
      <w:bookmarkStart w:id="15" w:name="_Toc2333"/>
      <w:bookmarkStart w:id="16" w:name="_Toc13471"/>
      <w:r>
        <w:rPr>
          <w:rFonts w:cs="Times New Roman"/>
          <w:b/>
          <w:color w:val="auto"/>
          <w:sz w:val="32"/>
          <w:szCs w:val="52"/>
        </w:rPr>
        <w:t>建设单位：</w:t>
      </w:r>
      <w:bookmarkEnd w:id="10"/>
      <w:bookmarkEnd w:id="11"/>
      <w:bookmarkEnd w:id="12"/>
      <w:bookmarkEnd w:id="13"/>
      <w:r>
        <w:rPr>
          <w:rFonts w:hint="eastAsia" w:cs="Times New Roman"/>
          <w:b/>
          <w:color w:val="auto"/>
          <w:sz w:val="32"/>
          <w:szCs w:val="52"/>
          <w:lang w:eastAsia="zh-CN"/>
        </w:rPr>
        <w:t>安徽晶科能源有限公司</w:t>
      </w:r>
      <w:bookmarkEnd w:id="14"/>
      <w:bookmarkEnd w:id="15"/>
      <w:bookmarkEnd w:id="16"/>
    </w:p>
    <w:p w14:paraId="121CEBAD">
      <w:pPr>
        <w:spacing w:line="312" w:lineRule="auto"/>
        <w:jc w:val="center"/>
        <w:outlineLvl w:val="0"/>
        <w:rPr>
          <w:rFonts w:cs="Times New Roman"/>
          <w:b/>
          <w:color w:val="auto"/>
          <w:sz w:val="32"/>
          <w:szCs w:val="52"/>
        </w:rPr>
      </w:pPr>
      <w:bookmarkStart w:id="17" w:name="_Toc10710"/>
      <w:bookmarkStart w:id="18" w:name="_Toc15018"/>
      <w:bookmarkStart w:id="19" w:name="_Toc6208"/>
      <w:bookmarkStart w:id="20" w:name="_Toc16337"/>
      <w:bookmarkStart w:id="21" w:name="_Toc11830"/>
      <w:bookmarkStart w:id="22" w:name="_Toc8528"/>
      <w:bookmarkStart w:id="23" w:name="_Toc31000"/>
      <w:r>
        <w:rPr>
          <w:rFonts w:hint="eastAsia" w:cs="Times New Roman"/>
          <w:b/>
          <w:color w:val="auto"/>
          <w:sz w:val="32"/>
          <w:szCs w:val="52"/>
          <w:lang w:val="en-US" w:eastAsia="zh-CN"/>
        </w:rPr>
        <w:t>编制</w:t>
      </w:r>
      <w:r>
        <w:rPr>
          <w:rFonts w:cs="Times New Roman"/>
          <w:b/>
          <w:color w:val="auto"/>
          <w:sz w:val="32"/>
          <w:szCs w:val="52"/>
        </w:rPr>
        <w:t>单位：安徽应天环保科技咨询有限公司</w:t>
      </w:r>
      <w:bookmarkEnd w:id="17"/>
      <w:bookmarkEnd w:id="18"/>
      <w:bookmarkEnd w:id="19"/>
      <w:bookmarkEnd w:id="20"/>
      <w:bookmarkEnd w:id="21"/>
      <w:bookmarkEnd w:id="22"/>
      <w:bookmarkEnd w:id="23"/>
    </w:p>
    <w:p w14:paraId="03E67739">
      <w:pPr>
        <w:jc w:val="center"/>
        <w:rPr>
          <w:color w:val="auto"/>
        </w:rPr>
        <w:sectPr>
          <w:headerReference r:id="rId5" w:type="default"/>
          <w:pgSz w:w="11906" w:h="16838"/>
          <w:pgMar w:top="1417" w:right="1134" w:bottom="1134" w:left="1417" w:header="851" w:footer="992" w:gutter="0"/>
          <w:pgNumType w:fmt="decimal"/>
          <w:cols w:space="0" w:num="1"/>
          <w:rtlGutter w:val="0"/>
          <w:docGrid w:type="lines" w:linePitch="312" w:charSpace="0"/>
        </w:sectPr>
      </w:pPr>
      <w:r>
        <w:rPr>
          <w:rFonts w:cs="Times New Roman"/>
          <w:b/>
          <w:color w:val="auto"/>
          <w:sz w:val="32"/>
          <w:szCs w:val="52"/>
        </w:rPr>
        <w:t>二〇二</w:t>
      </w:r>
      <w:r>
        <w:rPr>
          <w:rFonts w:hint="eastAsia" w:cs="Times New Roman"/>
          <w:b/>
          <w:color w:val="auto"/>
          <w:sz w:val="32"/>
          <w:szCs w:val="52"/>
          <w:lang w:val="en-US" w:eastAsia="zh-CN"/>
        </w:rPr>
        <w:t>六</w:t>
      </w:r>
      <w:r>
        <w:rPr>
          <w:rFonts w:cs="Times New Roman"/>
          <w:b/>
          <w:color w:val="auto"/>
          <w:sz w:val="32"/>
          <w:szCs w:val="52"/>
        </w:rPr>
        <w:t>年</w:t>
      </w:r>
      <w:r>
        <w:rPr>
          <w:rFonts w:hint="eastAsia" w:cs="Times New Roman"/>
          <w:b/>
          <w:color w:val="auto"/>
          <w:sz w:val="32"/>
          <w:szCs w:val="52"/>
          <w:lang w:val="en-US" w:eastAsia="zh-CN"/>
        </w:rPr>
        <w:t>八</w:t>
      </w:r>
      <w:r>
        <w:rPr>
          <w:rFonts w:cs="Times New Roman"/>
          <w:b/>
          <w:color w:val="auto"/>
          <w:sz w:val="32"/>
          <w:szCs w:val="52"/>
        </w:rPr>
        <w:t>月</w:t>
      </w:r>
    </w:p>
    <w:sdt>
      <w:sdtPr>
        <w:rPr>
          <w:rFonts w:ascii="宋体" w:hAnsi="宋体" w:eastAsia="宋体" w:cs="宋体"/>
          <w:sz w:val="21"/>
          <w:szCs w:val="24"/>
          <w:lang w:val="en-US" w:eastAsia="zh-CN" w:bidi="ar-SA"/>
        </w:rPr>
        <w:id w:val="147452076"/>
        <w15:color w:val="DBDBDB"/>
        <w:docPartObj>
          <w:docPartGallery w:val="Table of Contents"/>
          <w:docPartUnique/>
        </w:docPartObj>
      </w:sdtPr>
      <w:sdtEndPr>
        <w:rPr>
          <w:rFonts w:ascii="Times New Roman" w:hAnsi="Times New Roman" w:eastAsia="宋体" w:cs="宋体"/>
          <w:sz w:val="24"/>
          <w:szCs w:val="24"/>
          <w:lang w:val="en-US" w:eastAsia="zh-CN" w:bidi="ar-SA"/>
        </w:rPr>
      </w:sdtEndPr>
      <w:sdtContent>
        <w:p w14:paraId="79B3BEAF">
          <w:pPr>
            <w:jc w:val="center"/>
            <w:rPr>
              <w:rFonts w:ascii="Times New Roman" w:hAnsi="Times New Roman" w:eastAsia="宋体" w:cs="宋体"/>
              <w:sz w:val="24"/>
              <w:szCs w:val="24"/>
              <w:lang w:val="en-US" w:eastAsia="zh-CN" w:bidi="ar-SA"/>
            </w:rPr>
          </w:pPr>
          <w:r>
            <w:rPr>
              <w:rFonts w:ascii="宋体" w:hAnsi="宋体" w:eastAsia="宋体"/>
              <w:b/>
              <w:bCs/>
              <w:sz w:val="44"/>
              <w:szCs w:val="52"/>
            </w:rPr>
            <w:t>目录</w:t>
          </w:r>
          <w:r>
            <w:fldChar w:fldCharType="begin"/>
          </w:r>
          <w:r>
            <w:instrText xml:space="preserve">TOC \o "1-2" \h \u </w:instrText>
          </w:r>
          <w:r>
            <w:fldChar w:fldCharType="separate"/>
          </w:r>
        </w:p>
        <w:p w14:paraId="40EDEF5C">
          <w:pPr>
            <w:pStyle w:val="12"/>
            <w:tabs>
              <w:tab w:val="right" w:leader="dot" w:pos="9355"/>
            </w:tabs>
          </w:pPr>
          <w:r>
            <w:fldChar w:fldCharType="begin"/>
          </w:r>
          <w:r>
            <w:instrText xml:space="preserve"> HYPERLINK \l _Toc15165 </w:instrText>
          </w:r>
          <w:r>
            <w:fldChar w:fldCharType="separate"/>
          </w:r>
          <w:r>
            <w:rPr>
              <w:rFonts w:hint="eastAsia"/>
              <w:lang w:val="en-US" w:eastAsia="zh-CN"/>
            </w:rPr>
            <w:t>第一章 概述</w:t>
          </w:r>
          <w:r>
            <w:tab/>
          </w:r>
          <w:r>
            <w:fldChar w:fldCharType="begin"/>
          </w:r>
          <w:r>
            <w:instrText xml:space="preserve"> PAGEREF _Toc15165 \h </w:instrText>
          </w:r>
          <w:r>
            <w:fldChar w:fldCharType="separate"/>
          </w:r>
          <w:r>
            <w:t>1</w:t>
          </w:r>
          <w:r>
            <w:fldChar w:fldCharType="end"/>
          </w:r>
          <w:r>
            <w:fldChar w:fldCharType="end"/>
          </w:r>
        </w:p>
        <w:p w14:paraId="3216AC5C">
          <w:pPr>
            <w:pStyle w:val="14"/>
            <w:tabs>
              <w:tab w:val="right" w:leader="dot" w:pos="9355"/>
            </w:tabs>
          </w:pPr>
          <w:r>
            <w:fldChar w:fldCharType="begin"/>
          </w:r>
          <w:r>
            <w:instrText xml:space="preserve"> HYPERLINK \l _Toc30107 </w:instrText>
          </w:r>
          <w:r>
            <w:fldChar w:fldCharType="separate"/>
          </w:r>
          <w:r>
            <w:t>1.1</w:t>
          </w:r>
          <w:r>
            <w:rPr>
              <w:rFonts w:hint="eastAsia"/>
            </w:rPr>
            <w:t xml:space="preserve"> </w:t>
          </w:r>
          <w:r>
            <w:t>建设项目概况</w:t>
          </w:r>
          <w:r>
            <w:tab/>
          </w:r>
          <w:r>
            <w:fldChar w:fldCharType="begin"/>
          </w:r>
          <w:r>
            <w:instrText xml:space="preserve"> PAGEREF _Toc30107 \h </w:instrText>
          </w:r>
          <w:r>
            <w:fldChar w:fldCharType="separate"/>
          </w:r>
          <w:r>
            <w:t>1</w:t>
          </w:r>
          <w:r>
            <w:fldChar w:fldCharType="end"/>
          </w:r>
          <w:r>
            <w:fldChar w:fldCharType="end"/>
          </w:r>
        </w:p>
        <w:p w14:paraId="3211C51B">
          <w:pPr>
            <w:pStyle w:val="14"/>
            <w:tabs>
              <w:tab w:val="right" w:leader="dot" w:pos="9355"/>
            </w:tabs>
          </w:pPr>
          <w:r>
            <w:fldChar w:fldCharType="begin"/>
          </w:r>
          <w:r>
            <w:instrText xml:space="preserve"> HYPERLINK \l _Toc30131 </w:instrText>
          </w:r>
          <w:r>
            <w:fldChar w:fldCharType="separate"/>
          </w:r>
          <w:r>
            <w:rPr>
              <w:rFonts w:hint="eastAsia"/>
              <w:lang w:val="en-US" w:eastAsia="zh-CN"/>
            </w:rPr>
            <w:t>1.2 建设项目特点</w:t>
          </w:r>
          <w:r>
            <w:tab/>
          </w:r>
          <w:r>
            <w:fldChar w:fldCharType="begin"/>
          </w:r>
          <w:r>
            <w:instrText xml:space="preserve"> PAGEREF _Toc30131 \h </w:instrText>
          </w:r>
          <w:r>
            <w:fldChar w:fldCharType="separate"/>
          </w:r>
          <w:r>
            <w:t>2</w:t>
          </w:r>
          <w:r>
            <w:fldChar w:fldCharType="end"/>
          </w:r>
          <w:r>
            <w:fldChar w:fldCharType="end"/>
          </w:r>
        </w:p>
        <w:p w14:paraId="31192A38">
          <w:pPr>
            <w:pStyle w:val="14"/>
            <w:tabs>
              <w:tab w:val="right" w:leader="dot" w:pos="9355"/>
            </w:tabs>
          </w:pPr>
          <w:r>
            <w:fldChar w:fldCharType="begin"/>
          </w:r>
          <w:r>
            <w:instrText xml:space="preserve"> HYPERLINK \l _Toc23619 </w:instrText>
          </w:r>
          <w:r>
            <w:fldChar w:fldCharType="separate"/>
          </w:r>
          <w:r>
            <w:rPr>
              <w:rFonts w:hint="default"/>
            </w:rPr>
            <w:t>1.</w:t>
          </w:r>
          <w:r>
            <w:rPr>
              <w:rFonts w:hint="eastAsia"/>
              <w:lang w:val="en-US" w:eastAsia="zh-CN"/>
            </w:rPr>
            <w:t>3</w:t>
          </w:r>
          <w:r>
            <w:rPr>
              <w:rFonts w:hint="default"/>
            </w:rPr>
            <w:t xml:space="preserve"> </w:t>
          </w:r>
          <w:r>
            <w:rPr>
              <w:rFonts w:hint="default"/>
              <w:lang w:val="en-US" w:eastAsia="zh-CN"/>
            </w:rPr>
            <w:t>生态</w:t>
          </w:r>
          <w:r>
            <w:rPr>
              <w:rFonts w:hint="default"/>
            </w:rPr>
            <w:t>环境影响评价的工作过程</w:t>
          </w:r>
          <w:r>
            <w:tab/>
          </w:r>
          <w:r>
            <w:fldChar w:fldCharType="begin"/>
          </w:r>
          <w:r>
            <w:instrText xml:space="preserve"> PAGEREF _Toc23619 \h </w:instrText>
          </w:r>
          <w:r>
            <w:fldChar w:fldCharType="separate"/>
          </w:r>
          <w:r>
            <w:t>3</w:t>
          </w:r>
          <w:r>
            <w:fldChar w:fldCharType="end"/>
          </w:r>
          <w:r>
            <w:fldChar w:fldCharType="end"/>
          </w:r>
        </w:p>
        <w:p w14:paraId="78A4DF2F">
          <w:pPr>
            <w:pStyle w:val="14"/>
            <w:tabs>
              <w:tab w:val="right" w:leader="dot" w:pos="9355"/>
            </w:tabs>
          </w:pPr>
          <w:r>
            <w:fldChar w:fldCharType="begin"/>
          </w:r>
          <w:r>
            <w:instrText xml:space="preserve"> HYPERLINK \l _Toc22199 </w:instrText>
          </w:r>
          <w:r>
            <w:fldChar w:fldCharType="separate"/>
          </w:r>
          <w:r>
            <w:t>1.</w:t>
          </w:r>
          <w:r>
            <w:rPr>
              <w:rFonts w:hint="eastAsia"/>
              <w:lang w:val="en-US" w:eastAsia="zh-CN"/>
            </w:rPr>
            <w:t>4</w:t>
          </w:r>
          <w:r>
            <w:t xml:space="preserve"> 分析判定相关</w:t>
          </w:r>
          <w:r>
            <w:rPr>
              <w:rFonts w:hint="eastAsia"/>
              <w:lang w:val="en-US" w:eastAsia="zh-CN"/>
            </w:rPr>
            <w:t>情况</w:t>
          </w:r>
          <w:r>
            <w:tab/>
          </w:r>
          <w:r>
            <w:fldChar w:fldCharType="begin"/>
          </w:r>
          <w:r>
            <w:instrText xml:space="preserve"> PAGEREF _Toc22199 \h </w:instrText>
          </w:r>
          <w:r>
            <w:fldChar w:fldCharType="separate"/>
          </w:r>
          <w:r>
            <w:t>5</w:t>
          </w:r>
          <w:r>
            <w:fldChar w:fldCharType="end"/>
          </w:r>
          <w:r>
            <w:fldChar w:fldCharType="end"/>
          </w:r>
        </w:p>
        <w:p w14:paraId="5EE2DAEF">
          <w:pPr>
            <w:pStyle w:val="14"/>
            <w:tabs>
              <w:tab w:val="right" w:leader="dot" w:pos="9355"/>
            </w:tabs>
          </w:pPr>
          <w:r>
            <w:fldChar w:fldCharType="begin"/>
          </w:r>
          <w:r>
            <w:instrText xml:space="preserve"> HYPERLINK \l _Toc29916 </w:instrText>
          </w:r>
          <w:r>
            <w:fldChar w:fldCharType="separate"/>
          </w:r>
          <w:r>
            <w:t>1.5</w:t>
          </w:r>
          <w:r>
            <w:rPr>
              <w:rFonts w:hint="eastAsia"/>
            </w:rPr>
            <w:t xml:space="preserve"> </w:t>
          </w:r>
          <w:r>
            <w:rPr>
              <w:rFonts w:hint="eastAsia"/>
              <w:lang w:val="en-US" w:eastAsia="zh-CN"/>
            </w:rPr>
            <w:t>生态</w:t>
          </w:r>
          <w:r>
            <w:t>环境影响评价关注的主要问题</w:t>
          </w:r>
          <w:r>
            <w:tab/>
          </w:r>
          <w:r>
            <w:fldChar w:fldCharType="begin"/>
          </w:r>
          <w:r>
            <w:instrText xml:space="preserve"> PAGEREF _Toc29916 \h </w:instrText>
          </w:r>
          <w:r>
            <w:fldChar w:fldCharType="separate"/>
          </w:r>
          <w:r>
            <w:t>6</w:t>
          </w:r>
          <w:r>
            <w:fldChar w:fldCharType="end"/>
          </w:r>
          <w:r>
            <w:fldChar w:fldCharType="end"/>
          </w:r>
        </w:p>
        <w:p w14:paraId="7F682BBB">
          <w:pPr>
            <w:pStyle w:val="14"/>
            <w:tabs>
              <w:tab w:val="right" w:leader="dot" w:pos="9355"/>
            </w:tabs>
          </w:pPr>
          <w:r>
            <w:fldChar w:fldCharType="begin"/>
          </w:r>
          <w:r>
            <w:instrText xml:space="preserve"> HYPERLINK \l _Toc27165 </w:instrText>
          </w:r>
          <w:r>
            <w:fldChar w:fldCharType="separate"/>
          </w:r>
          <w:r>
            <w:t>1.</w:t>
          </w:r>
          <w:r>
            <w:rPr>
              <w:rFonts w:hint="eastAsia"/>
              <w:lang w:val="en-US" w:eastAsia="zh-CN"/>
            </w:rPr>
            <w:t>6</w:t>
          </w:r>
          <w:r>
            <w:t xml:space="preserve"> </w:t>
          </w:r>
          <w:r>
            <w:rPr>
              <w:rFonts w:hint="eastAsia"/>
              <w:lang w:val="en-US" w:eastAsia="zh-CN"/>
            </w:rPr>
            <w:t>生态</w:t>
          </w:r>
          <w:r>
            <w:t>环境影响报告书的主要结论</w:t>
          </w:r>
          <w:r>
            <w:tab/>
          </w:r>
          <w:r>
            <w:fldChar w:fldCharType="begin"/>
          </w:r>
          <w:r>
            <w:instrText xml:space="preserve"> PAGEREF _Toc27165 \h </w:instrText>
          </w:r>
          <w:r>
            <w:fldChar w:fldCharType="separate"/>
          </w:r>
          <w:r>
            <w:t>6</w:t>
          </w:r>
          <w:r>
            <w:fldChar w:fldCharType="end"/>
          </w:r>
          <w:r>
            <w:fldChar w:fldCharType="end"/>
          </w:r>
        </w:p>
        <w:p w14:paraId="7AE8511E">
          <w:pPr>
            <w:pStyle w:val="12"/>
            <w:tabs>
              <w:tab w:val="right" w:leader="dot" w:pos="9355"/>
            </w:tabs>
          </w:pPr>
          <w:r>
            <w:fldChar w:fldCharType="begin"/>
          </w:r>
          <w:r>
            <w:instrText xml:space="preserve"> HYPERLINK \l _Toc29372 </w:instrText>
          </w:r>
          <w:r>
            <w:fldChar w:fldCharType="separate"/>
          </w:r>
          <w:r>
            <w:rPr>
              <w:rFonts w:hint="eastAsia"/>
              <w:lang w:val="en-US" w:eastAsia="zh-CN"/>
            </w:rPr>
            <w:t>第二章 总则</w:t>
          </w:r>
          <w:r>
            <w:tab/>
          </w:r>
          <w:r>
            <w:fldChar w:fldCharType="begin"/>
          </w:r>
          <w:r>
            <w:instrText xml:space="preserve"> PAGEREF _Toc29372 \h </w:instrText>
          </w:r>
          <w:r>
            <w:fldChar w:fldCharType="separate"/>
          </w:r>
          <w:r>
            <w:t>7</w:t>
          </w:r>
          <w:r>
            <w:fldChar w:fldCharType="end"/>
          </w:r>
          <w:r>
            <w:fldChar w:fldCharType="end"/>
          </w:r>
        </w:p>
        <w:p w14:paraId="7744C791">
          <w:pPr>
            <w:pStyle w:val="14"/>
            <w:tabs>
              <w:tab w:val="right" w:leader="dot" w:pos="9355"/>
            </w:tabs>
          </w:pPr>
          <w:r>
            <w:fldChar w:fldCharType="begin"/>
          </w:r>
          <w:r>
            <w:instrText xml:space="preserve"> HYPERLINK \l _Toc22889 </w:instrText>
          </w:r>
          <w:r>
            <w:fldChar w:fldCharType="separate"/>
          </w:r>
          <w:r>
            <w:t>2.1 编制依据</w:t>
          </w:r>
          <w:r>
            <w:tab/>
          </w:r>
          <w:r>
            <w:fldChar w:fldCharType="begin"/>
          </w:r>
          <w:r>
            <w:instrText xml:space="preserve"> PAGEREF _Toc22889 \h </w:instrText>
          </w:r>
          <w:r>
            <w:fldChar w:fldCharType="separate"/>
          </w:r>
          <w:r>
            <w:t>7</w:t>
          </w:r>
          <w:r>
            <w:fldChar w:fldCharType="end"/>
          </w:r>
          <w:r>
            <w:fldChar w:fldCharType="end"/>
          </w:r>
        </w:p>
        <w:p w14:paraId="7A3E8872">
          <w:pPr>
            <w:pStyle w:val="14"/>
            <w:tabs>
              <w:tab w:val="right" w:leader="dot" w:pos="9355"/>
            </w:tabs>
          </w:pPr>
          <w:r>
            <w:fldChar w:fldCharType="begin"/>
          </w:r>
          <w:r>
            <w:instrText xml:space="preserve"> HYPERLINK \l _Toc14009 </w:instrText>
          </w:r>
          <w:r>
            <w:fldChar w:fldCharType="separate"/>
          </w:r>
          <w:r>
            <w:rPr>
              <w:rFonts w:hint="eastAsia"/>
              <w:lang w:val="en-US" w:eastAsia="en-US"/>
            </w:rPr>
            <w:t>2.2</w:t>
          </w:r>
          <w:r>
            <w:rPr>
              <w:rFonts w:hint="eastAsia"/>
              <w:lang w:val="en-US" w:eastAsia="zh-CN"/>
            </w:rPr>
            <w:t xml:space="preserve"> 评价因子与评价标准</w:t>
          </w:r>
          <w:r>
            <w:tab/>
          </w:r>
          <w:r>
            <w:fldChar w:fldCharType="begin"/>
          </w:r>
          <w:r>
            <w:instrText xml:space="preserve"> PAGEREF _Toc14009 \h </w:instrText>
          </w:r>
          <w:r>
            <w:fldChar w:fldCharType="separate"/>
          </w:r>
          <w:r>
            <w:t>10</w:t>
          </w:r>
          <w:r>
            <w:fldChar w:fldCharType="end"/>
          </w:r>
          <w:r>
            <w:fldChar w:fldCharType="end"/>
          </w:r>
        </w:p>
        <w:p w14:paraId="15CD389A">
          <w:pPr>
            <w:pStyle w:val="14"/>
            <w:tabs>
              <w:tab w:val="right" w:leader="dot" w:pos="9355"/>
            </w:tabs>
          </w:pPr>
          <w:r>
            <w:fldChar w:fldCharType="begin"/>
          </w:r>
          <w:r>
            <w:instrText xml:space="preserve"> HYPERLINK \l _Toc29170 </w:instrText>
          </w:r>
          <w:r>
            <w:fldChar w:fldCharType="separate"/>
          </w:r>
          <w:r>
            <w:rPr>
              <w:rFonts w:hint="eastAsia"/>
              <w:lang w:val="en-US" w:eastAsia="en-US"/>
            </w:rPr>
            <w:t>2.3</w:t>
          </w:r>
          <w:r>
            <w:rPr>
              <w:rFonts w:hint="eastAsia"/>
              <w:lang w:val="en-US" w:eastAsia="zh-CN"/>
            </w:rPr>
            <w:t xml:space="preserve"> </w:t>
          </w:r>
          <w:r>
            <w:rPr>
              <w:rFonts w:hint="eastAsia"/>
              <w:lang w:val="en-US" w:eastAsia="en-US"/>
            </w:rPr>
            <w:t>评价标准</w:t>
          </w:r>
          <w:r>
            <w:tab/>
          </w:r>
          <w:r>
            <w:fldChar w:fldCharType="begin"/>
          </w:r>
          <w:r>
            <w:instrText xml:space="preserve"> PAGEREF _Toc29170 \h </w:instrText>
          </w:r>
          <w:r>
            <w:fldChar w:fldCharType="separate"/>
          </w:r>
          <w:r>
            <w:t>12</w:t>
          </w:r>
          <w:r>
            <w:fldChar w:fldCharType="end"/>
          </w:r>
          <w:r>
            <w:fldChar w:fldCharType="end"/>
          </w:r>
        </w:p>
        <w:p w14:paraId="09E3D8ED">
          <w:pPr>
            <w:pStyle w:val="14"/>
            <w:tabs>
              <w:tab w:val="right" w:leader="dot" w:pos="9355"/>
            </w:tabs>
          </w:pPr>
          <w:r>
            <w:fldChar w:fldCharType="begin"/>
          </w:r>
          <w:r>
            <w:instrText xml:space="preserve"> HYPERLINK \l _Toc28991 </w:instrText>
          </w:r>
          <w:r>
            <w:fldChar w:fldCharType="separate"/>
          </w:r>
          <w:r>
            <w:rPr>
              <w:rFonts w:hint="eastAsia"/>
              <w:lang w:val="en-US" w:eastAsia="en-US"/>
            </w:rPr>
            <w:t>2.4</w:t>
          </w:r>
          <w:r>
            <w:rPr>
              <w:rFonts w:hint="eastAsia"/>
              <w:lang w:val="en-US" w:eastAsia="zh-CN"/>
            </w:rPr>
            <w:t xml:space="preserve"> 评价工作等级及评价重点</w:t>
          </w:r>
          <w:r>
            <w:tab/>
          </w:r>
          <w:r>
            <w:fldChar w:fldCharType="begin"/>
          </w:r>
          <w:r>
            <w:instrText xml:space="preserve"> PAGEREF _Toc28991 \h </w:instrText>
          </w:r>
          <w:r>
            <w:fldChar w:fldCharType="separate"/>
          </w:r>
          <w:r>
            <w:t>18</w:t>
          </w:r>
          <w:r>
            <w:fldChar w:fldCharType="end"/>
          </w:r>
          <w:r>
            <w:fldChar w:fldCharType="end"/>
          </w:r>
        </w:p>
        <w:p w14:paraId="42528D7E">
          <w:pPr>
            <w:pStyle w:val="14"/>
            <w:tabs>
              <w:tab w:val="right" w:leader="dot" w:pos="9355"/>
            </w:tabs>
          </w:pPr>
          <w:r>
            <w:fldChar w:fldCharType="begin"/>
          </w:r>
          <w:r>
            <w:instrText xml:space="preserve"> HYPERLINK \l _Toc8479 </w:instrText>
          </w:r>
          <w:r>
            <w:fldChar w:fldCharType="separate"/>
          </w:r>
          <w:r>
            <w:rPr>
              <w:rFonts w:hint="eastAsia"/>
              <w:lang w:val="en-US" w:eastAsia="en-US"/>
            </w:rPr>
            <w:t>2.</w:t>
          </w:r>
          <w:r>
            <w:rPr>
              <w:rFonts w:hint="eastAsia"/>
              <w:lang w:val="en-US" w:eastAsia="zh-CN"/>
            </w:rPr>
            <w:t>5</w:t>
          </w:r>
          <w:r>
            <w:rPr>
              <w:rFonts w:hint="eastAsia"/>
              <w:lang w:val="en-US" w:eastAsia="en-US"/>
            </w:rPr>
            <w:t xml:space="preserve"> 政策和规划符合性分析</w:t>
          </w:r>
          <w:r>
            <w:tab/>
          </w:r>
          <w:r>
            <w:fldChar w:fldCharType="begin"/>
          </w:r>
          <w:r>
            <w:instrText xml:space="preserve"> PAGEREF _Toc8479 \h </w:instrText>
          </w:r>
          <w:r>
            <w:fldChar w:fldCharType="separate"/>
          </w:r>
          <w:r>
            <w:t>31</w:t>
          </w:r>
          <w:r>
            <w:fldChar w:fldCharType="end"/>
          </w:r>
          <w:r>
            <w:fldChar w:fldCharType="end"/>
          </w:r>
        </w:p>
        <w:p w14:paraId="44105CEA">
          <w:pPr>
            <w:pStyle w:val="14"/>
            <w:tabs>
              <w:tab w:val="right" w:leader="dot" w:pos="9355"/>
            </w:tabs>
          </w:pPr>
          <w:r>
            <w:fldChar w:fldCharType="begin"/>
          </w:r>
          <w:r>
            <w:instrText xml:space="preserve"> HYPERLINK \l _Toc1563 </w:instrText>
          </w:r>
          <w:r>
            <w:fldChar w:fldCharType="separate"/>
          </w:r>
          <w:r>
            <w:rPr>
              <w:rFonts w:hint="eastAsia"/>
              <w:lang w:val="en-US" w:eastAsia="en-US"/>
            </w:rPr>
            <w:t>2.</w:t>
          </w:r>
          <w:r>
            <w:rPr>
              <w:rFonts w:hint="eastAsia"/>
              <w:lang w:val="en-US" w:eastAsia="zh-CN"/>
            </w:rPr>
            <w:t xml:space="preserve">6 </w:t>
          </w:r>
          <w:r>
            <w:rPr>
              <w:rFonts w:hint="eastAsia"/>
              <w:lang w:val="en-US" w:eastAsia="en-US"/>
            </w:rPr>
            <w:t>环境保护目标</w:t>
          </w:r>
          <w:r>
            <w:tab/>
          </w:r>
          <w:r>
            <w:fldChar w:fldCharType="begin"/>
          </w:r>
          <w:r>
            <w:instrText xml:space="preserve"> PAGEREF _Toc1563 \h </w:instrText>
          </w:r>
          <w:r>
            <w:fldChar w:fldCharType="separate"/>
          </w:r>
          <w:r>
            <w:t>70</w:t>
          </w:r>
          <w:r>
            <w:fldChar w:fldCharType="end"/>
          </w:r>
          <w:r>
            <w:fldChar w:fldCharType="end"/>
          </w:r>
        </w:p>
        <w:p w14:paraId="59F476A0">
          <w:pPr>
            <w:pStyle w:val="12"/>
            <w:tabs>
              <w:tab w:val="right" w:leader="dot" w:pos="9355"/>
            </w:tabs>
          </w:pPr>
          <w:r>
            <w:fldChar w:fldCharType="begin"/>
          </w:r>
          <w:r>
            <w:instrText xml:space="preserve"> HYPERLINK \l _Toc16260 </w:instrText>
          </w:r>
          <w:r>
            <w:fldChar w:fldCharType="separate"/>
          </w:r>
          <w:r>
            <w:rPr>
              <w:rFonts w:hint="eastAsia" w:ascii="Times New Roman" w:hAnsi="Times New Roman" w:eastAsia="宋体" w:cs="宋体"/>
              <w:kern w:val="44"/>
              <w:szCs w:val="24"/>
              <w:lang w:val="en-US" w:eastAsia="zh-CN" w:bidi="ar-SA"/>
            </w:rPr>
            <w:t>第三章</w:t>
          </w:r>
          <w:r>
            <w:rPr>
              <w:rFonts w:hint="eastAsia" w:cs="宋体"/>
              <w:kern w:val="44"/>
              <w:szCs w:val="24"/>
              <w:lang w:val="en-US" w:eastAsia="zh-CN" w:bidi="ar-SA"/>
            </w:rPr>
            <w:t xml:space="preserve"> </w:t>
          </w:r>
          <w:r>
            <w:rPr>
              <w:rFonts w:hint="eastAsia"/>
              <w:lang w:val="en-US" w:eastAsia="zh-CN"/>
            </w:rPr>
            <w:t>现有工程回顾</w:t>
          </w:r>
          <w:r>
            <w:tab/>
          </w:r>
          <w:r>
            <w:fldChar w:fldCharType="begin"/>
          </w:r>
          <w:r>
            <w:instrText xml:space="preserve"> PAGEREF _Toc16260 \h </w:instrText>
          </w:r>
          <w:r>
            <w:fldChar w:fldCharType="separate"/>
          </w:r>
          <w:r>
            <w:t>74</w:t>
          </w:r>
          <w:r>
            <w:fldChar w:fldCharType="end"/>
          </w:r>
          <w:r>
            <w:fldChar w:fldCharType="end"/>
          </w:r>
        </w:p>
        <w:p w14:paraId="3EEA81EC">
          <w:pPr>
            <w:pStyle w:val="14"/>
            <w:tabs>
              <w:tab w:val="right" w:leader="dot" w:pos="9355"/>
            </w:tabs>
          </w:pPr>
          <w:r>
            <w:fldChar w:fldCharType="begin"/>
          </w:r>
          <w:r>
            <w:instrText xml:space="preserve"> HYPERLINK \l _Toc18339 </w:instrText>
          </w:r>
          <w:r>
            <w:fldChar w:fldCharType="separate"/>
          </w:r>
          <w:r>
            <w:rPr>
              <w:rFonts w:hint="eastAsia"/>
              <w:lang w:val="en-US" w:eastAsia="zh-CN"/>
            </w:rPr>
            <w:t>3.1 现有工程概况</w:t>
          </w:r>
          <w:r>
            <w:tab/>
          </w:r>
          <w:r>
            <w:fldChar w:fldCharType="begin"/>
          </w:r>
          <w:r>
            <w:instrText xml:space="preserve"> PAGEREF _Toc18339 \h </w:instrText>
          </w:r>
          <w:r>
            <w:fldChar w:fldCharType="separate"/>
          </w:r>
          <w:r>
            <w:t>74</w:t>
          </w:r>
          <w:r>
            <w:fldChar w:fldCharType="end"/>
          </w:r>
          <w:r>
            <w:fldChar w:fldCharType="end"/>
          </w:r>
        </w:p>
        <w:p w14:paraId="6E3CCB3C">
          <w:pPr>
            <w:pStyle w:val="14"/>
            <w:tabs>
              <w:tab w:val="right" w:leader="dot" w:pos="9355"/>
            </w:tabs>
          </w:pPr>
          <w:r>
            <w:fldChar w:fldCharType="begin"/>
          </w:r>
          <w:r>
            <w:instrText xml:space="preserve"> HYPERLINK \l _Toc2535 </w:instrText>
          </w:r>
          <w:r>
            <w:fldChar w:fldCharType="separate"/>
          </w:r>
          <w:r>
            <w:rPr>
              <w:rFonts w:hint="eastAsia"/>
            </w:rPr>
            <w:t>3.2 现有产品方案</w:t>
          </w:r>
          <w:r>
            <w:tab/>
          </w:r>
          <w:r>
            <w:fldChar w:fldCharType="begin"/>
          </w:r>
          <w:r>
            <w:instrText xml:space="preserve"> PAGEREF _Toc2535 \h </w:instrText>
          </w:r>
          <w:r>
            <w:fldChar w:fldCharType="separate"/>
          </w:r>
          <w:r>
            <w:t>77</w:t>
          </w:r>
          <w:r>
            <w:fldChar w:fldCharType="end"/>
          </w:r>
          <w:r>
            <w:fldChar w:fldCharType="end"/>
          </w:r>
        </w:p>
        <w:p w14:paraId="18B709F1">
          <w:pPr>
            <w:pStyle w:val="14"/>
            <w:tabs>
              <w:tab w:val="right" w:leader="dot" w:pos="9355"/>
            </w:tabs>
          </w:pPr>
          <w:r>
            <w:fldChar w:fldCharType="begin"/>
          </w:r>
          <w:r>
            <w:instrText xml:space="preserve"> HYPERLINK \l _Toc3108 </w:instrText>
          </w:r>
          <w:r>
            <w:fldChar w:fldCharType="separate"/>
          </w:r>
          <w:r>
            <w:rPr>
              <w:rFonts w:hint="eastAsia"/>
            </w:rPr>
            <w:t>3.3 现有工程内容及规模</w:t>
          </w:r>
          <w:r>
            <w:tab/>
          </w:r>
          <w:r>
            <w:fldChar w:fldCharType="begin"/>
          </w:r>
          <w:r>
            <w:instrText xml:space="preserve"> PAGEREF _Toc3108 \h </w:instrText>
          </w:r>
          <w:r>
            <w:fldChar w:fldCharType="separate"/>
          </w:r>
          <w:r>
            <w:t>77</w:t>
          </w:r>
          <w:r>
            <w:fldChar w:fldCharType="end"/>
          </w:r>
          <w:r>
            <w:fldChar w:fldCharType="end"/>
          </w:r>
        </w:p>
        <w:p w14:paraId="6DF156CD">
          <w:pPr>
            <w:pStyle w:val="14"/>
            <w:tabs>
              <w:tab w:val="right" w:leader="dot" w:pos="9355"/>
            </w:tabs>
          </w:pPr>
          <w:r>
            <w:fldChar w:fldCharType="begin"/>
          </w:r>
          <w:r>
            <w:instrText xml:space="preserve"> HYPERLINK \l _Toc24443 </w:instrText>
          </w:r>
          <w:r>
            <w:fldChar w:fldCharType="separate"/>
          </w:r>
          <w:r>
            <w:rPr>
              <w:rFonts w:hint="eastAsia"/>
            </w:rPr>
            <w:t>3.4现有工程污染物产生及排放情况</w:t>
          </w:r>
          <w:r>
            <w:tab/>
          </w:r>
          <w:r>
            <w:fldChar w:fldCharType="begin"/>
          </w:r>
          <w:r>
            <w:instrText xml:space="preserve"> PAGEREF _Toc24443 \h </w:instrText>
          </w:r>
          <w:r>
            <w:fldChar w:fldCharType="separate"/>
          </w:r>
          <w:r>
            <w:t>86</w:t>
          </w:r>
          <w:r>
            <w:fldChar w:fldCharType="end"/>
          </w:r>
          <w:r>
            <w:fldChar w:fldCharType="end"/>
          </w:r>
        </w:p>
        <w:p w14:paraId="65C47880">
          <w:pPr>
            <w:pStyle w:val="14"/>
            <w:tabs>
              <w:tab w:val="right" w:leader="dot" w:pos="9355"/>
            </w:tabs>
          </w:pPr>
          <w:r>
            <w:fldChar w:fldCharType="begin"/>
          </w:r>
          <w:r>
            <w:instrText xml:space="preserve"> HYPERLINK \l _Toc30656 </w:instrText>
          </w:r>
          <w:r>
            <w:fldChar w:fldCharType="separate"/>
          </w:r>
          <w:r>
            <w:rPr>
              <w:rFonts w:hint="eastAsia"/>
              <w:lang w:val="en-US" w:eastAsia="zh-CN"/>
            </w:rPr>
            <w:t>3.5 排污许可手续履行情况</w:t>
          </w:r>
          <w:r>
            <w:tab/>
          </w:r>
          <w:r>
            <w:fldChar w:fldCharType="begin"/>
          </w:r>
          <w:r>
            <w:instrText xml:space="preserve"> PAGEREF _Toc30656 \h </w:instrText>
          </w:r>
          <w:r>
            <w:fldChar w:fldCharType="separate"/>
          </w:r>
          <w:r>
            <w:t>101</w:t>
          </w:r>
          <w:r>
            <w:fldChar w:fldCharType="end"/>
          </w:r>
          <w:r>
            <w:fldChar w:fldCharType="end"/>
          </w:r>
        </w:p>
        <w:p w14:paraId="63173AEC">
          <w:pPr>
            <w:pStyle w:val="14"/>
            <w:tabs>
              <w:tab w:val="right" w:leader="dot" w:pos="9355"/>
            </w:tabs>
          </w:pPr>
          <w:r>
            <w:fldChar w:fldCharType="begin"/>
          </w:r>
          <w:r>
            <w:instrText xml:space="preserve"> HYPERLINK \l _Toc22216 </w:instrText>
          </w:r>
          <w:r>
            <w:fldChar w:fldCharType="separate"/>
          </w:r>
          <w:r>
            <w:rPr>
              <w:rFonts w:hint="eastAsia"/>
              <w:lang w:val="en-US" w:eastAsia="zh-CN"/>
            </w:rPr>
            <w:t>3.6 环境风险防范措施</w:t>
          </w:r>
          <w:r>
            <w:tab/>
          </w:r>
          <w:r>
            <w:fldChar w:fldCharType="begin"/>
          </w:r>
          <w:r>
            <w:instrText xml:space="preserve"> PAGEREF _Toc22216 \h </w:instrText>
          </w:r>
          <w:r>
            <w:fldChar w:fldCharType="separate"/>
          </w:r>
          <w:r>
            <w:t>101</w:t>
          </w:r>
          <w:r>
            <w:fldChar w:fldCharType="end"/>
          </w:r>
          <w:r>
            <w:fldChar w:fldCharType="end"/>
          </w:r>
        </w:p>
        <w:p w14:paraId="1EDC160E">
          <w:pPr>
            <w:pStyle w:val="14"/>
            <w:tabs>
              <w:tab w:val="right" w:leader="dot" w:pos="9355"/>
            </w:tabs>
          </w:pPr>
          <w:r>
            <w:fldChar w:fldCharType="begin"/>
          </w:r>
          <w:r>
            <w:instrText xml:space="preserve"> HYPERLINK \l _Toc26134 </w:instrText>
          </w:r>
          <w:r>
            <w:fldChar w:fldCharType="separate"/>
          </w:r>
          <w:r>
            <w:rPr>
              <w:rFonts w:hint="eastAsia"/>
              <w:lang w:val="en-US" w:eastAsia="zh-CN"/>
            </w:rPr>
            <w:t>3.7 现有工程存在的环境问题及整改方案</w:t>
          </w:r>
          <w:r>
            <w:tab/>
          </w:r>
          <w:r>
            <w:fldChar w:fldCharType="begin"/>
          </w:r>
          <w:r>
            <w:instrText xml:space="preserve"> PAGEREF _Toc26134 \h </w:instrText>
          </w:r>
          <w:r>
            <w:fldChar w:fldCharType="separate"/>
          </w:r>
          <w:r>
            <w:t>101</w:t>
          </w:r>
          <w:r>
            <w:fldChar w:fldCharType="end"/>
          </w:r>
          <w:r>
            <w:fldChar w:fldCharType="end"/>
          </w:r>
        </w:p>
        <w:p w14:paraId="587422B2">
          <w:pPr>
            <w:pStyle w:val="12"/>
            <w:tabs>
              <w:tab w:val="right" w:leader="dot" w:pos="9355"/>
            </w:tabs>
          </w:pPr>
          <w:r>
            <w:fldChar w:fldCharType="begin"/>
          </w:r>
          <w:r>
            <w:instrText xml:space="preserve"> HYPERLINK \l _Toc1831 </w:instrText>
          </w:r>
          <w:r>
            <w:fldChar w:fldCharType="separate"/>
          </w:r>
          <w:r>
            <w:rPr>
              <w:rFonts w:hint="eastAsia"/>
              <w:lang w:val="en-US" w:eastAsia="zh-CN"/>
            </w:rPr>
            <w:t>第四章 建设项目工程分析</w:t>
          </w:r>
          <w:r>
            <w:tab/>
          </w:r>
          <w:r>
            <w:fldChar w:fldCharType="begin"/>
          </w:r>
          <w:r>
            <w:instrText xml:space="preserve"> PAGEREF _Toc1831 \h </w:instrText>
          </w:r>
          <w:r>
            <w:fldChar w:fldCharType="separate"/>
          </w:r>
          <w:r>
            <w:t>102</w:t>
          </w:r>
          <w:r>
            <w:fldChar w:fldCharType="end"/>
          </w:r>
          <w:r>
            <w:fldChar w:fldCharType="end"/>
          </w:r>
        </w:p>
        <w:p w14:paraId="18D277E5">
          <w:pPr>
            <w:pStyle w:val="14"/>
            <w:tabs>
              <w:tab w:val="right" w:leader="dot" w:pos="9355"/>
            </w:tabs>
          </w:pPr>
          <w:r>
            <w:fldChar w:fldCharType="begin"/>
          </w:r>
          <w:r>
            <w:instrText xml:space="preserve"> HYPERLINK \l _Toc31351 </w:instrText>
          </w:r>
          <w:r>
            <w:fldChar w:fldCharType="separate"/>
          </w:r>
          <w:r>
            <w:rPr>
              <w:rFonts w:hint="eastAsia"/>
            </w:rPr>
            <w:t>4</w:t>
          </w:r>
          <w:r>
            <w:t>.1 建设项目概况</w:t>
          </w:r>
          <w:r>
            <w:tab/>
          </w:r>
          <w:r>
            <w:fldChar w:fldCharType="begin"/>
          </w:r>
          <w:r>
            <w:instrText xml:space="preserve"> PAGEREF _Toc31351 \h </w:instrText>
          </w:r>
          <w:r>
            <w:fldChar w:fldCharType="separate"/>
          </w:r>
          <w:r>
            <w:t>102</w:t>
          </w:r>
          <w:r>
            <w:fldChar w:fldCharType="end"/>
          </w:r>
          <w:r>
            <w:fldChar w:fldCharType="end"/>
          </w:r>
        </w:p>
        <w:p w14:paraId="61C2AB06">
          <w:pPr>
            <w:pStyle w:val="14"/>
            <w:tabs>
              <w:tab w:val="right" w:leader="dot" w:pos="9355"/>
            </w:tabs>
          </w:pPr>
          <w:r>
            <w:fldChar w:fldCharType="begin"/>
          </w:r>
          <w:r>
            <w:instrText xml:space="preserve"> HYPERLINK \l _Toc4785 </w:instrText>
          </w:r>
          <w:r>
            <w:fldChar w:fldCharType="separate"/>
          </w:r>
          <w:r>
            <w:rPr>
              <w:rFonts w:hint="eastAsia"/>
              <w:lang w:val="en-US" w:eastAsia="zh-CN"/>
            </w:rPr>
            <w:t>4.2</w:t>
          </w:r>
          <w:r>
            <w:rPr>
              <w:rFonts w:hint="default"/>
              <w:lang w:val="en-US" w:eastAsia="zh-CN"/>
            </w:rPr>
            <w:t xml:space="preserve"> 运营期工艺流程及产污环节分析</w:t>
          </w:r>
          <w:r>
            <w:tab/>
          </w:r>
          <w:r>
            <w:fldChar w:fldCharType="begin"/>
          </w:r>
          <w:r>
            <w:instrText xml:space="preserve"> PAGEREF _Toc4785 \h </w:instrText>
          </w:r>
          <w:r>
            <w:fldChar w:fldCharType="separate"/>
          </w:r>
          <w:r>
            <w:t>129</w:t>
          </w:r>
          <w:r>
            <w:fldChar w:fldCharType="end"/>
          </w:r>
          <w:r>
            <w:fldChar w:fldCharType="end"/>
          </w:r>
        </w:p>
        <w:p w14:paraId="761AA8D9">
          <w:pPr>
            <w:pStyle w:val="14"/>
            <w:tabs>
              <w:tab w:val="right" w:leader="dot" w:pos="9355"/>
            </w:tabs>
          </w:pPr>
          <w:r>
            <w:fldChar w:fldCharType="begin"/>
          </w:r>
          <w:r>
            <w:instrText xml:space="preserve"> HYPERLINK \l _Toc21105 </w:instrText>
          </w:r>
          <w:r>
            <w:fldChar w:fldCharType="separate"/>
          </w:r>
          <w:r>
            <w:rPr>
              <w:rFonts w:hint="eastAsia"/>
              <w:lang w:val="en-US" w:eastAsia="zh-CN"/>
            </w:rPr>
            <w:t>4.3 运营期污染源产排放情况分析</w:t>
          </w:r>
          <w:r>
            <w:tab/>
          </w:r>
          <w:r>
            <w:fldChar w:fldCharType="begin"/>
          </w:r>
          <w:r>
            <w:instrText xml:space="preserve"> PAGEREF _Toc21105 \h </w:instrText>
          </w:r>
          <w:r>
            <w:fldChar w:fldCharType="separate"/>
          </w:r>
          <w:r>
            <w:t>136</w:t>
          </w:r>
          <w:r>
            <w:fldChar w:fldCharType="end"/>
          </w:r>
          <w:r>
            <w:fldChar w:fldCharType="end"/>
          </w:r>
        </w:p>
        <w:p w14:paraId="4853D7E6">
          <w:pPr>
            <w:pStyle w:val="14"/>
            <w:tabs>
              <w:tab w:val="right" w:leader="dot" w:pos="9355"/>
            </w:tabs>
          </w:pPr>
          <w:r>
            <w:fldChar w:fldCharType="begin"/>
          </w:r>
          <w:r>
            <w:instrText xml:space="preserve"> HYPERLINK \l _Toc7444 </w:instrText>
          </w:r>
          <w:r>
            <w:fldChar w:fldCharType="separate"/>
          </w:r>
          <w:r>
            <w:rPr>
              <w:rFonts w:hint="eastAsia"/>
              <w:lang w:val="en-US" w:eastAsia="zh-CN"/>
            </w:rPr>
            <w:t>4.4 项目污染物“三本账”</w:t>
          </w:r>
          <w:r>
            <w:tab/>
          </w:r>
          <w:r>
            <w:fldChar w:fldCharType="begin"/>
          </w:r>
          <w:r>
            <w:instrText xml:space="preserve"> PAGEREF _Toc7444 \h </w:instrText>
          </w:r>
          <w:r>
            <w:fldChar w:fldCharType="separate"/>
          </w:r>
          <w:r>
            <w:t>158</w:t>
          </w:r>
          <w:r>
            <w:fldChar w:fldCharType="end"/>
          </w:r>
          <w:r>
            <w:fldChar w:fldCharType="end"/>
          </w:r>
        </w:p>
        <w:p w14:paraId="164CA65D">
          <w:pPr>
            <w:pStyle w:val="14"/>
            <w:tabs>
              <w:tab w:val="right" w:leader="dot" w:pos="9355"/>
            </w:tabs>
          </w:pPr>
          <w:r>
            <w:fldChar w:fldCharType="begin"/>
          </w:r>
          <w:r>
            <w:instrText xml:space="preserve"> HYPERLINK \l _Toc30195 </w:instrText>
          </w:r>
          <w:r>
            <w:fldChar w:fldCharType="separate"/>
          </w:r>
          <w:r>
            <w:rPr>
              <w:rFonts w:hint="eastAsia"/>
              <w:lang w:val="en-US" w:eastAsia="zh-CN"/>
            </w:rPr>
            <w:t>4.5 清洁生产分析</w:t>
          </w:r>
          <w:r>
            <w:tab/>
          </w:r>
          <w:r>
            <w:fldChar w:fldCharType="begin"/>
          </w:r>
          <w:r>
            <w:instrText xml:space="preserve"> PAGEREF _Toc30195 \h </w:instrText>
          </w:r>
          <w:r>
            <w:fldChar w:fldCharType="separate"/>
          </w:r>
          <w:r>
            <w:t>159</w:t>
          </w:r>
          <w:r>
            <w:fldChar w:fldCharType="end"/>
          </w:r>
          <w:r>
            <w:fldChar w:fldCharType="end"/>
          </w:r>
        </w:p>
        <w:p w14:paraId="33518CDC">
          <w:pPr>
            <w:pStyle w:val="12"/>
            <w:tabs>
              <w:tab w:val="right" w:leader="dot" w:pos="9355"/>
            </w:tabs>
          </w:pPr>
          <w:r>
            <w:fldChar w:fldCharType="begin"/>
          </w:r>
          <w:r>
            <w:instrText xml:space="preserve"> HYPERLINK \l _Toc32176 </w:instrText>
          </w:r>
          <w:r>
            <w:fldChar w:fldCharType="separate"/>
          </w:r>
          <w:r>
            <w:rPr>
              <w:rFonts w:hint="eastAsia"/>
              <w:lang w:val="en-US" w:eastAsia="zh-CN"/>
            </w:rPr>
            <w:t>第五章 环境现状调查与评价</w:t>
          </w:r>
          <w:r>
            <w:tab/>
          </w:r>
          <w:r>
            <w:fldChar w:fldCharType="begin"/>
          </w:r>
          <w:r>
            <w:instrText xml:space="preserve"> PAGEREF _Toc32176 \h </w:instrText>
          </w:r>
          <w:r>
            <w:fldChar w:fldCharType="separate"/>
          </w:r>
          <w:r>
            <w:t>167</w:t>
          </w:r>
          <w:r>
            <w:fldChar w:fldCharType="end"/>
          </w:r>
          <w:r>
            <w:fldChar w:fldCharType="end"/>
          </w:r>
        </w:p>
        <w:p w14:paraId="1DA4F9EF">
          <w:pPr>
            <w:pStyle w:val="14"/>
            <w:tabs>
              <w:tab w:val="right" w:leader="dot" w:pos="9355"/>
            </w:tabs>
          </w:pPr>
          <w:r>
            <w:fldChar w:fldCharType="begin"/>
          </w:r>
          <w:r>
            <w:instrText xml:space="preserve"> HYPERLINK \l _Toc14684 </w:instrText>
          </w:r>
          <w:r>
            <w:fldChar w:fldCharType="separate"/>
          </w:r>
          <w:r>
            <w:rPr>
              <w:rFonts w:hint="eastAsia"/>
              <w:lang w:val="en-US" w:eastAsia="zh-CN"/>
            </w:rPr>
            <w:t>5</w:t>
          </w:r>
          <w:r>
            <w:t>.1自然环境概况</w:t>
          </w:r>
          <w:r>
            <w:tab/>
          </w:r>
          <w:r>
            <w:fldChar w:fldCharType="begin"/>
          </w:r>
          <w:r>
            <w:instrText xml:space="preserve"> PAGEREF _Toc14684 \h </w:instrText>
          </w:r>
          <w:r>
            <w:fldChar w:fldCharType="separate"/>
          </w:r>
          <w:r>
            <w:t>167</w:t>
          </w:r>
          <w:r>
            <w:fldChar w:fldCharType="end"/>
          </w:r>
          <w:r>
            <w:fldChar w:fldCharType="end"/>
          </w:r>
        </w:p>
        <w:p w14:paraId="7A182D29">
          <w:pPr>
            <w:pStyle w:val="14"/>
            <w:tabs>
              <w:tab w:val="right" w:leader="dot" w:pos="9355"/>
            </w:tabs>
          </w:pPr>
          <w:r>
            <w:fldChar w:fldCharType="begin"/>
          </w:r>
          <w:r>
            <w:instrText xml:space="preserve"> HYPERLINK \l _Toc12255 </w:instrText>
          </w:r>
          <w:r>
            <w:fldChar w:fldCharType="separate"/>
          </w:r>
          <w:r>
            <w:rPr>
              <w:rFonts w:hint="eastAsia"/>
              <w:lang w:val="en-US" w:eastAsia="zh-CN"/>
            </w:rPr>
            <w:t>5</w:t>
          </w:r>
          <w:r>
            <w:t>.2 区域污染源调查</w:t>
          </w:r>
          <w:r>
            <w:tab/>
          </w:r>
          <w:r>
            <w:fldChar w:fldCharType="begin"/>
          </w:r>
          <w:r>
            <w:instrText xml:space="preserve"> PAGEREF _Toc12255 \h </w:instrText>
          </w:r>
          <w:r>
            <w:fldChar w:fldCharType="separate"/>
          </w:r>
          <w:r>
            <w:t>169</w:t>
          </w:r>
          <w:r>
            <w:fldChar w:fldCharType="end"/>
          </w:r>
          <w:r>
            <w:fldChar w:fldCharType="end"/>
          </w:r>
        </w:p>
        <w:p w14:paraId="7EEB9CFA">
          <w:pPr>
            <w:pStyle w:val="14"/>
            <w:tabs>
              <w:tab w:val="right" w:leader="dot" w:pos="9355"/>
            </w:tabs>
          </w:pPr>
          <w:r>
            <w:fldChar w:fldCharType="begin"/>
          </w:r>
          <w:r>
            <w:instrText xml:space="preserve"> HYPERLINK \l _Toc10543 </w:instrText>
          </w:r>
          <w:r>
            <w:fldChar w:fldCharType="separate"/>
          </w:r>
          <w:r>
            <w:rPr>
              <w:rFonts w:hint="eastAsia"/>
              <w:lang w:val="en-US" w:eastAsia="zh-CN"/>
            </w:rPr>
            <w:t>5</w:t>
          </w:r>
          <w:r>
            <w:t>.3 区域环境质量现状评价</w:t>
          </w:r>
          <w:r>
            <w:tab/>
          </w:r>
          <w:r>
            <w:fldChar w:fldCharType="begin"/>
          </w:r>
          <w:r>
            <w:instrText xml:space="preserve"> PAGEREF _Toc10543 \h </w:instrText>
          </w:r>
          <w:r>
            <w:fldChar w:fldCharType="separate"/>
          </w:r>
          <w:r>
            <w:t>169</w:t>
          </w:r>
          <w:r>
            <w:fldChar w:fldCharType="end"/>
          </w:r>
          <w:r>
            <w:fldChar w:fldCharType="end"/>
          </w:r>
        </w:p>
        <w:p w14:paraId="288CA21C">
          <w:pPr>
            <w:pStyle w:val="12"/>
            <w:tabs>
              <w:tab w:val="right" w:leader="dot" w:pos="9355"/>
            </w:tabs>
          </w:pPr>
          <w:r>
            <w:fldChar w:fldCharType="begin"/>
          </w:r>
          <w:r>
            <w:instrText xml:space="preserve"> HYPERLINK \l _Toc23140 </w:instrText>
          </w:r>
          <w:r>
            <w:fldChar w:fldCharType="separate"/>
          </w:r>
          <w:r>
            <w:rPr>
              <w:rFonts w:hint="eastAsia"/>
              <w:lang w:val="en-US" w:eastAsia="zh-CN"/>
            </w:rPr>
            <w:t>第六章 生态环境影响预测与评</w:t>
          </w:r>
          <w:r>
            <w:tab/>
          </w:r>
          <w:r>
            <w:fldChar w:fldCharType="begin"/>
          </w:r>
          <w:r>
            <w:instrText xml:space="preserve"> PAGEREF _Toc23140 \h </w:instrText>
          </w:r>
          <w:r>
            <w:fldChar w:fldCharType="separate"/>
          </w:r>
          <w:r>
            <w:t>190</w:t>
          </w:r>
          <w:r>
            <w:fldChar w:fldCharType="end"/>
          </w:r>
          <w:r>
            <w:fldChar w:fldCharType="end"/>
          </w:r>
        </w:p>
        <w:p w14:paraId="4BD5C1A9">
          <w:pPr>
            <w:pStyle w:val="14"/>
            <w:tabs>
              <w:tab w:val="right" w:leader="dot" w:pos="9355"/>
            </w:tabs>
          </w:pPr>
          <w:r>
            <w:fldChar w:fldCharType="begin"/>
          </w:r>
          <w:r>
            <w:instrText xml:space="preserve"> HYPERLINK \l _Toc5190 </w:instrText>
          </w:r>
          <w:r>
            <w:fldChar w:fldCharType="separate"/>
          </w:r>
          <w:r>
            <w:rPr>
              <w:rFonts w:hint="eastAsia"/>
              <w:lang w:val="en-US" w:eastAsia="zh-CN"/>
            </w:rPr>
            <w:t>6.1 施工期生态环境影响分析与评价</w:t>
          </w:r>
          <w:r>
            <w:tab/>
          </w:r>
          <w:r>
            <w:fldChar w:fldCharType="begin"/>
          </w:r>
          <w:r>
            <w:instrText xml:space="preserve"> PAGEREF _Toc5190 \h </w:instrText>
          </w:r>
          <w:r>
            <w:fldChar w:fldCharType="separate"/>
          </w:r>
          <w:r>
            <w:t>190</w:t>
          </w:r>
          <w:r>
            <w:fldChar w:fldCharType="end"/>
          </w:r>
          <w:r>
            <w:fldChar w:fldCharType="end"/>
          </w:r>
        </w:p>
        <w:p w14:paraId="1ED6AEFC">
          <w:pPr>
            <w:pStyle w:val="14"/>
            <w:tabs>
              <w:tab w:val="right" w:leader="dot" w:pos="9355"/>
            </w:tabs>
          </w:pPr>
          <w:r>
            <w:fldChar w:fldCharType="begin"/>
          </w:r>
          <w:r>
            <w:instrText xml:space="preserve"> HYPERLINK \l _Toc20297 </w:instrText>
          </w:r>
          <w:r>
            <w:fldChar w:fldCharType="separate"/>
          </w:r>
          <w:r>
            <w:rPr>
              <w:rFonts w:hint="eastAsia"/>
              <w:lang w:val="en-US" w:eastAsia="zh-CN"/>
            </w:rPr>
            <w:t>6.2 营运期生态环境影响预测与评价</w:t>
          </w:r>
          <w:r>
            <w:tab/>
          </w:r>
          <w:r>
            <w:fldChar w:fldCharType="begin"/>
          </w:r>
          <w:r>
            <w:instrText xml:space="preserve"> PAGEREF _Toc20297 \h </w:instrText>
          </w:r>
          <w:r>
            <w:fldChar w:fldCharType="separate"/>
          </w:r>
          <w:r>
            <w:t>193</w:t>
          </w:r>
          <w:r>
            <w:fldChar w:fldCharType="end"/>
          </w:r>
          <w:r>
            <w:fldChar w:fldCharType="end"/>
          </w:r>
        </w:p>
        <w:p w14:paraId="7D0FD8B5">
          <w:pPr>
            <w:pStyle w:val="12"/>
            <w:tabs>
              <w:tab w:val="right" w:leader="dot" w:pos="9355"/>
            </w:tabs>
          </w:pPr>
          <w:r>
            <w:fldChar w:fldCharType="begin"/>
          </w:r>
          <w:r>
            <w:instrText xml:space="preserve"> HYPERLINK \l _Toc12472 </w:instrText>
          </w:r>
          <w:r>
            <w:fldChar w:fldCharType="separate"/>
          </w:r>
          <w:r>
            <w:rPr>
              <w:rFonts w:hint="eastAsia"/>
              <w:lang w:val="en-US" w:eastAsia="zh-CN"/>
            </w:rPr>
            <w:t>第七章 环境保护措施及其可行性论证</w:t>
          </w:r>
          <w:r>
            <w:tab/>
          </w:r>
          <w:r>
            <w:fldChar w:fldCharType="begin"/>
          </w:r>
          <w:r>
            <w:instrText xml:space="preserve"> PAGEREF _Toc12472 \h </w:instrText>
          </w:r>
          <w:r>
            <w:fldChar w:fldCharType="separate"/>
          </w:r>
          <w:r>
            <w:t>240</w:t>
          </w:r>
          <w:r>
            <w:fldChar w:fldCharType="end"/>
          </w:r>
          <w:r>
            <w:fldChar w:fldCharType="end"/>
          </w:r>
        </w:p>
        <w:p w14:paraId="26BBB1BE">
          <w:pPr>
            <w:pStyle w:val="14"/>
            <w:tabs>
              <w:tab w:val="right" w:leader="dot" w:pos="9355"/>
            </w:tabs>
          </w:pPr>
          <w:r>
            <w:fldChar w:fldCharType="begin"/>
          </w:r>
          <w:r>
            <w:instrText xml:space="preserve"> HYPERLINK \l _Toc12213 </w:instrText>
          </w:r>
          <w:r>
            <w:fldChar w:fldCharType="separate"/>
          </w:r>
          <w:r>
            <w:rPr>
              <w:rFonts w:hint="eastAsia"/>
              <w:lang w:val="en-US" w:eastAsia="zh-CN"/>
            </w:rPr>
            <w:t>7.1 废气污染防治措施</w:t>
          </w:r>
          <w:r>
            <w:tab/>
          </w:r>
          <w:r>
            <w:fldChar w:fldCharType="begin"/>
          </w:r>
          <w:r>
            <w:instrText xml:space="preserve"> PAGEREF _Toc12213 \h </w:instrText>
          </w:r>
          <w:r>
            <w:fldChar w:fldCharType="separate"/>
          </w:r>
          <w:r>
            <w:t>240</w:t>
          </w:r>
          <w:r>
            <w:fldChar w:fldCharType="end"/>
          </w:r>
          <w:r>
            <w:fldChar w:fldCharType="end"/>
          </w:r>
        </w:p>
        <w:p w14:paraId="283AE691">
          <w:pPr>
            <w:pStyle w:val="14"/>
            <w:tabs>
              <w:tab w:val="right" w:leader="dot" w:pos="9355"/>
            </w:tabs>
          </w:pPr>
          <w:r>
            <w:fldChar w:fldCharType="begin"/>
          </w:r>
          <w:r>
            <w:instrText xml:space="preserve"> HYPERLINK \l _Toc30925 </w:instrText>
          </w:r>
          <w:r>
            <w:fldChar w:fldCharType="separate"/>
          </w:r>
          <w:r>
            <w:rPr>
              <w:rFonts w:hint="default"/>
              <w:lang w:val="en-US" w:eastAsia="zh-CN"/>
            </w:rPr>
            <w:t>7.2 废水污染防治措施</w:t>
          </w:r>
          <w:r>
            <w:tab/>
          </w:r>
          <w:r>
            <w:fldChar w:fldCharType="begin"/>
          </w:r>
          <w:r>
            <w:instrText xml:space="preserve"> PAGEREF _Toc30925 \h </w:instrText>
          </w:r>
          <w:r>
            <w:fldChar w:fldCharType="separate"/>
          </w:r>
          <w:r>
            <w:t>246</w:t>
          </w:r>
          <w:r>
            <w:fldChar w:fldCharType="end"/>
          </w:r>
          <w:r>
            <w:fldChar w:fldCharType="end"/>
          </w:r>
        </w:p>
        <w:p w14:paraId="4940DFF5">
          <w:pPr>
            <w:pStyle w:val="14"/>
            <w:tabs>
              <w:tab w:val="right" w:leader="dot" w:pos="9355"/>
            </w:tabs>
          </w:pPr>
          <w:r>
            <w:fldChar w:fldCharType="begin"/>
          </w:r>
          <w:r>
            <w:instrText xml:space="preserve"> HYPERLINK \l _Toc31626 </w:instrText>
          </w:r>
          <w:r>
            <w:fldChar w:fldCharType="separate"/>
          </w:r>
          <w:r>
            <w:rPr>
              <w:rFonts w:hint="eastAsia"/>
              <w:lang w:val="en-US" w:eastAsia="zh-CN"/>
            </w:rPr>
            <w:t>7.3</w:t>
          </w:r>
          <w:r>
            <w:rPr>
              <w:rFonts w:hint="default"/>
              <w:lang w:val="en-US" w:eastAsia="zh-CN"/>
            </w:rPr>
            <w:t xml:space="preserve"> 噪声污染防治</w:t>
          </w:r>
          <w:r>
            <w:rPr>
              <w:rFonts w:hint="eastAsia"/>
              <w:lang w:val="en-US" w:eastAsia="zh-CN"/>
            </w:rPr>
            <w:t>措施</w:t>
          </w:r>
          <w:r>
            <w:tab/>
          </w:r>
          <w:r>
            <w:fldChar w:fldCharType="begin"/>
          </w:r>
          <w:r>
            <w:instrText xml:space="preserve"> PAGEREF _Toc31626 \h </w:instrText>
          </w:r>
          <w:r>
            <w:fldChar w:fldCharType="separate"/>
          </w:r>
          <w:r>
            <w:t>253</w:t>
          </w:r>
          <w:r>
            <w:fldChar w:fldCharType="end"/>
          </w:r>
          <w:r>
            <w:fldChar w:fldCharType="end"/>
          </w:r>
        </w:p>
        <w:p w14:paraId="2C69FD34">
          <w:pPr>
            <w:pStyle w:val="14"/>
            <w:tabs>
              <w:tab w:val="right" w:leader="dot" w:pos="9355"/>
            </w:tabs>
          </w:pPr>
          <w:r>
            <w:fldChar w:fldCharType="begin"/>
          </w:r>
          <w:r>
            <w:instrText xml:space="preserve"> HYPERLINK \l _Toc2229 </w:instrText>
          </w:r>
          <w:r>
            <w:fldChar w:fldCharType="separate"/>
          </w:r>
          <w:r>
            <w:rPr>
              <w:rFonts w:hint="default"/>
              <w:lang w:val="en-US" w:eastAsia="zh-CN"/>
            </w:rPr>
            <w:t>7.4 固废污染防治措施</w:t>
          </w:r>
          <w:r>
            <w:tab/>
          </w:r>
          <w:r>
            <w:fldChar w:fldCharType="begin"/>
          </w:r>
          <w:r>
            <w:instrText xml:space="preserve"> PAGEREF _Toc2229 \h </w:instrText>
          </w:r>
          <w:r>
            <w:fldChar w:fldCharType="separate"/>
          </w:r>
          <w:r>
            <w:t>255</w:t>
          </w:r>
          <w:r>
            <w:fldChar w:fldCharType="end"/>
          </w:r>
          <w:r>
            <w:fldChar w:fldCharType="end"/>
          </w:r>
        </w:p>
        <w:p w14:paraId="7CD7612E">
          <w:pPr>
            <w:pStyle w:val="14"/>
            <w:tabs>
              <w:tab w:val="right" w:leader="dot" w:pos="9355"/>
            </w:tabs>
          </w:pPr>
          <w:r>
            <w:fldChar w:fldCharType="begin"/>
          </w:r>
          <w:r>
            <w:instrText xml:space="preserve"> HYPERLINK \l _Toc21186 </w:instrText>
          </w:r>
          <w:r>
            <w:fldChar w:fldCharType="separate"/>
          </w:r>
          <w:r>
            <w:rPr>
              <w:rFonts w:hint="eastAsia"/>
              <w:lang w:val="en-US" w:eastAsia="zh-CN"/>
            </w:rPr>
            <w:t>7.5</w:t>
          </w:r>
          <w:r>
            <w:rPr>
              <w:rFonts w:hint="default"/>
              <w:lang w:val="en-US" w:eastAsia="zh-CN"/>
            </w:rPr>
            <w:t xml:space="preserve"> 地下水</w:t>
          </w:r>
          <w:r>
            <w:rPr>
              <w:rFonts w:hint="eastAsia"/>
              <w:lang w:val="en-US" w:eastAsia="zh-CN"/>
            </w:rPr>
            <w:t>污染防治</w:t>
          </w:r>
          <w:r>
            <w:rPr>
              <w:rFonts w:hint="default"/>
              <w:lang w:val="en-US" w:eastAsia="zh-CN"/>
            </w:rPr>
            <w:t>措施</w:t>
          </w:r>
          <w:r>
            <w:tab/>
          </w:r>
          <w:r>
            <w:fldChar w:fldCharType="begin"/>
          </w:r>
          <w:r>
            <w:instrText xml:space="preserve"> PAGEREF _Toc21186 \h </w:instrText>
          </w:r>
          <w:r>
            <w:fldChar w:fldCharType="separate"/>
          </w:r>
          <w:r>
            <w:t>257</w:t>
          </w:r>
          <w:r>
            <w:fldChar w:fldCharType="end"/>
          </w:r>
          <w:r>
            <w:fldChar w:fldCharType="end"/>
          </w:r>
        </w:p>
        <w:p w14:paraId="43F2D641">
          <w:pPr>
            <w:pStyle w:val="14"/>
            <w:tabs>
              <w:tab w:val="right" w:leader="dot" w:pos="9355"/>
            </w:tabs>
          </w:pPr>
          <w:r>
            <w:fldChar w:fldCharType="begin"/>
          </w:r>
          <w:r>
            <w:instrText xml:space="preserve"> HYPERLINK \l _Toc19167 </w:instrText>
          </w:r>
          <w:r>
            <w:fldChar w:fldCharType="separate"/>
          </w:r>
          <w:r>
            <w:rPr>
              <w:rFonts w:hint="eastAsia"/>
              <w:lang w:val="en-US" w:eastAsia="zh-CN"/>
            </w:rPr>
            <w:t>7.6 土壤污染防治措施</w:t>
          </w:r>
          <w:r>
            <w:tab/>
          </w:r>
          <w:r>
            <w:fldChar w:fldCharType="begin"/>
          </w:r>
          <w:r>
            <w:instrText xml:space="preserve"> PAGEREF _Toc19167 \h </w:instrText>
          </w:r>
          <w:r>
            <w:fldChar w:fldCharType="separate"/>
          </w:r>
          <w:r>
            <w:t>261</w:t>
          </w:r>
          <w:r>
            <w:fldChar w:fldCharType="end"/>
          </w:r>
          <w:r>
            <w:fldChar w:fldCharType="end"/>
          </w:r>
        </w:p>
        <w:p w14:paraId="72E93098">
          <w:pPr>
            <w:pStyle w:val="12"/>
            <w:tabs>
              <w:tab w:val="right" w:leader="dot" w:pos="9355"/>
            </w:tabs>
          </w:pPr>
          <w:r>
            <w:fldChar w:fldCharType="begin"/>
          </w:r>
          <w:r>
            <w:instrText xml:space="preserve"> HYPERLINK \l _Toc7912 </w:instrText>
          </w:r>
          <w:r>
            <w:fldChar w:fldCharType="separate"/>
          </w:r>
          <w:r>
            <w:rPr>
              <w:rFonts w:hint="eastAsia"/>
              <w:lang w:val="en-US" w:eastAsia="zh-CN"/>
            </w:rPr>
            <w:t>第八章 环境影响经济损益分析</w:t>
          </w:r>
          <w:r>
            <w:tab/>
          </w:r>
          <w:r>
            <w:fldChar w:fldCharType="begin"/>
          </w:r>
          <w:r>
            <w:instrText xml:space="preserve"> PAGEREF _Toc7912 \h </w:instrText>
          </w:r>
          <w:r>
            <w:fldChar w:fldCharType="separate"/>
          </w:r>
          <w:r>
            <w:t>262</w:t>
          </w:r>
          <w:r>
            <w:fldChar w:fldCharType="end"/>
          </w:r>
          <w:r>
            <w:fldChar w:fldCharType="end"/>
          </w:r>
        </w:p>
        <w:p w14:paraId="410274C9">
          <w:pPr>
            <w:pStyle w:val="14"/>
            <w:tabs>
              <w:tab w:val="right" w:leader="dot" w:pos="9355"/>
            </w:tabs>
          </w:pPr>
          <w:r>
            <w:fldChar w:fldCharType="begin"/>
          </w:r>
          <w:r>
            <w:instrText xml:space="preserve"> HYPERLINK \l _Toc28708 </w:instrText>
          </w:r>
          <w:r>
            <w:fldChar w:fldCharType="separate"/>
          </w:r>
          <w:r>
            <w:rPr>
              <w:rFonts w:hint="default"/>
              <w:lang w:val="en-US" w:eastAsia="zh-CN"/>
            </w:rPr>
            <w:t>8.1 环保投资估算</w:t>
          </w:r>
          <w:r>
            <w:tab/>
          </w:r>
          <w:r>
            <w:fldChar w:fldCharType="begin"/>
          </w:r>
          <w:r>
            <w:instrText xml:space="preserve"> PAGEREF _Toc28708 \h </w:instrText>
          </w:r>
          <w:r>
            <w:fldChar w:fldCharType="separate"/>
          </w:r>
          <w:r>
            <w:t>262</w:t>
          </w:r>
          <w:r>
            <w:fldChar w:fldCharType="end"/>
          </w:r>
          <w:r>
            <w:fldChar w:fldCharType="end"/>
          </w:r>
        </w:p>
        <w:p w14:paraId="09F3930E">
          <w:pPr>
            <w:pStyle w:val="14"/>
            <w:tabs>
              <w:tab w:val="right" w:leader="dot" w:pos="9355"/>
            </w:tabs>
          </w:pPr>
          <w:r>
            <w:fldChar w:fldCharType="begin"/>
          </w:r>
          <w:r>
            <w:instrText xml:space="preserve"> HYPERLINK \l _Toc19739 </w:instrText>
          </w:r>
          <w:r>
            <w:fldChar w:fldCharType="separate"/>
          </w:r>
          <w:r>
            <w:rPr>
              <w:rFonts w:hint="default"/>
              <w:lang w:val="en-US" w:eastAsia="zh-CN"/>
            </w:rPr>
            <w:t>8.2 环保效益分析</w:t>
          </w:r>
          <w:r>
            <w:tab/>
          </w:r>
          <w:r>
            <w:fldChar w:fldCharType="begin"/>
          </w:r>
          <w:r>
            <w:instrText xml:space="preserve"> PAGEREF _Toc19739 \h </w:instrText>
          </w:r>
          <w:r>
            <w:fldChar w:fldCharType="separate"/>
          </w:r>
          <w:r>
            <w:t>263</w:t>
          </w:r>
          <w:r>
            <w:fldChar w:fldCharType="end"/>
          </w:r>
          <w:r>
            <w:fldChar w:fldCharType="end"/>
          </w:r>
        </w:p>
        <w:p w14:paraId="61F55C8C">
          <w:pPr>
            <w:pStyle w:val="14"/>
            <w:tabs>
              <w:tab w:val="right" w:leader="dot" w:pos="9355"/>
            </w:tabs>
          </w:pPr>
          <w:r>
            <w:fldChar w:fldCharType="begin"/>
          </w:r>
          <w:r>
            <w:instrText xml:space="preserve"> HYPERLINK \l _Toc23071 </w:instrText>
          </w:r>
          <w:r>
            <w:fldChar w:fldCharType="separate"/>
          </w:r>
          <w:r>
            <w:rPr>
              <w:rFonts w:hint="default"/>
              <w:lang w:val="en-US" w:eastAsia="zh-CN"/>
            </w:rPr>
            <w:t>8.3 小结</w:t>
          </w:r>
          <w:r>
            <w:tab/>
          </w:r>
          <w:r>
            <w:fldChar w:fldCharType="begin"/>
          </w:r>
          <w:r>
            <w:instrText xml:space="preserve"> PAGEREF _Toc23071 \h </w:instrText>
          </w:r>
          <w:r>
            <w:fldChar w:fldCharType="separate"/>
          </w:r>
          <w:r>
            <w:t>263</w:t>
          </w:r>
          <w:r>
            <w:fldChar w:fldCharType="end"/>
          </w:r>
          <w:r>
            <w:fldChar w:fldCharType="end"/>
          </w:r>
        </w:p>
        <w:p w14:paraId="00A8277A">
          <w:pPr>
            <w:pStyle w:val="12"/>
            <w:tabs>
              <w:tab w:val="right" w:leader="dot" w:pos="9355"/>
            </w:tabs>
          </w:pPr>
          <w:r>
            <w:fldChar w:fldCharType="begin"/>
          </w:r>
          <w:r>
            <w:instrText xml:space="preserve"> HYPERLINK \l _Toc17799 </w:instrText>
          </w:r>
          <w:r>
            <w:fldChar w:fldCharType="separate"/>
          </w:r>
          <w:r>
            <w:rPr>
              <w:rFonts w:hint="eastAsia"/>
              <w:lang w:val="en-US" w:eastAsia="zh-CN"/>
            </w:rPr>
            <w:t>第九章 环境管理与监测计划</w:t>
          </w:r>
          <w:r>
            <w:tab/>
          </w:r>
          <w:r>
            <w:fldChar w:fldCharType="begin"/>
          </w:r>
          <w:r>
            <w:instrText xml:space="preserve"> PAGEREF _Toc17799 \h </w:instrText>
          </w:r>
          <w:r>
            <w:fldChar w:fldCharType="separate"/>
          </w:r>
          <w:r>
            <w:t>264</w:t>
          </w:r>
          <w:r>
            <w:fldChar w:fldCharType="end"/>
          </w:r>
          <w:r>
            <w:fldChar w:fldCharType="end"/>
          </w:r>
        </w:p>
        <w:p w14:paraId="2FD2FFB1">
          <w:pPr>
            <w:pStyle w:val="14"/>
            <w:tabs>
              <w:tab w:val="right" w:leader="dot" w:pos="9355"/>
            </w:tabs>
          </w:pPr>
          <w:r>
            <w:fldChar w:fldCharType="begin"/>
          </w:r>
          <w:r>
            <w:instrText xml:space="preserve"> HYPERLINK \l _Toc4454 </w:instrText>
          </w:r>
          <w:r>
            <w:fldChar w:fldCharType="separate"/>
          </w:r>
          <w:r>
            <w:rPr>
              <w:rFonts w:hint="eastAsia"/>
              <w:lang w:val="en-US" w:eastAsia="zh-CN"/>
            </w:rPr>
            <w:t>9.1 环境管理</w:t>
          </w:r>
          <w:r>
            <w:tab/>
          </w:r>
          <w:r>
            <w:fldChar w:fldCharType="begin"/>
          </w:r>
          <w:r>
            <w:instrText xml:space="preserve"> PAGEREF _Toc4454 \h </w:instrText>
          </w:r>
          <w:r>
            <w:fldChar w:fldCharType="separate"/>
          </w:r>
          <w:r>
            <w:t>264</w:t>
          </w:r>
          <w:r>
            <w:fldChar w:fldCharType="end"/>
          </w:r>
          <w:r>
            <w:fldChar w:fldCharType="end"/>
          </w:r>
        </w:p>
        <w:p w14:paraId="557DEE9D">
          <w:pPr>
            <w:pStyle w:val="14"/>
            <w:tabs>
              <w:tab w:val="right" w:leader="dot" w:pos="9355"/>
            </w:tabs>
          </w:pPr>
          <w:r>
            <w:fldChar w:fldCharType="begin"/>
          </w:r>
          <w:r>
            <w:instrText xml:space="preserve"> HYPERLINK \l _Toc29489 </w:instrText>
          </w:r>
          <w:r>
            <w:fldChar w:fldCharType="separate"/>
          </w:r>
          <w:r>
            <w:rPr>
              <w:rFonts w:hint="eastAsia"/>
              <w:lang w:val="en-US" w:eastAsia="zh-CN"/>
            </w:rPr>
            <w:t>9.2 环境监测计划</w:t>
          </w:r>
          <w:r>
            <w:tab/>
          </w:r>
          <w:r>
            <w:fldChar w:fldCharType="begin"/>
          </w:r>
          <w:r>
            <w:instrText xml:space="preserve"> PAGEREF _Toc29489 \h </w:instrText>
          </w:r>
          <w:r>
            <w:fldChar w:fldCharType="separate"/>
          </w:r>
          <w:r>
            <w:t>265</w:t>
          </w:r>
          <w:r>
            <w:fldChar w:fldCharType="end"/>
          </w:r>
          <w:r>
            <w:fldChar w:fldCharType="end"/>
          </w:r>
        </w:p>
        <w:p w14:paraId="27C6C557">
          <w:pPr>
            <w:pStyle w:val="14"/>
            <w:tabs>
              <w:tab w:val="right" w:leader="dot" w:pos="9355"/>
            </w:tabs>
          </w:pPr>
          <w:r>
            <w:fldChar w:fldCharType="begin"/>
          </w:r>
          <w:r>
            <w:instrText xml:space="preserve"> HYPERLINK \l _Toc28298 </w:instrText>
          </w:r>
          <w:r>
            <w:fldChar w:fldCharType="separate"/>
          </w:r>
          <w:r>
            <w:rPr>
              <w:rFonts w:hint="eastAsia"/>
              <w:lang w:val="en-US" w:eastAsia="zh-CN"/>
            </w:rPr>
            <w:t>9.3 污染源监控措施</w:t>
          </w:r>
          <w:r>
            <w:tab/>
          </w:r>
          <w:r>
            <w:fldChar w:fldCharType="begin"/>
          </w:r>
          <w:r>
            <w:instrText xml:space="preserve"> PAGEREF _Toc28298 \h </w:instrText>
          </w:r>
          <w:r>
            <w:fldChar w:fldCharType="separate"/>
          </w:r>
          <w:r>
            <w:t>267</w:t>
          </w:r>
          <w:r>
            <w:fldChar w:fldCharType="end"/>
          </w:r>
          <w:r>
            <w:fldChar w:fldCharType="end"/>
          </w:r>
        </w:p>
        <w:p w14:paraId="35A0232B">
          <w:pPr>
            <w:pStyle w:val="14"/>
            <w:tabs>
              <w:tab w:val="right" w:leader="dot" w:pos="9355"/>
            </w:tabs>
          </w:pPr>
          <w:r>
            <w:fldChar w:fldCharType="begin"/>
          </w:r>
          <w:r>
            <w:instrText xml:space="preserve"> HYPERLINK \l _Toc1923 </w:instrText>
          </w:r>
          <w:r>
            <w:fldChar w:fldCharType="separate"/>
          </w:r>
          <w:r>
            <w:rPr>
              <w:rFonts w:hint="eastAsia"/>
              <w:lang w:val="en-US" w:eastAsia="zh-CN"/>
            </w:rPr>
            <w:t>9.4 污染物排放清单</w:t>
          </w:r>
          <w:r>
            <w:tab/>
          </w:r>
          <w:r>
            <w:fldChar w:fldCharType="begin"/>
          </w:r>
          <w:r>
            <w:instrText xml:space="preserve"> PAGEREF _Toc1923 \h </w:instrText>
          </w:r>
          <w:r>
            <w:fldChar w:fldCharType="separate"/>
          </w:r>
          <w:r>
            <w:t>268</w:t>
          </w:r>
          <w:r>
            <w:fldChar w:fldCharType="end"/>
          </w:r>
          <w:r>
            <w:fldChar w:fldCharType="end"/>
          </w:r>
        </w:p>
        <w:p w14:paraId="41D7FF46">
          <w:pPr>
            <w:pStyle w:val="14"/>
            <w:tabs>
              <w:tab w:val="right" w:leader="dot" w:pos="9355"/>
            </w:tabs>
          </w:pPr>
          <w:r>
            <w:fldChar w:fldCharType="begin"/>
          </w:r>
          <w:r>
            <w:instrText xml:space="preserve"> HYPERLINK \l _Toc5118 </w:instrText>
          </w:r>
          <w:r>
            <w:fldChar w:fldCharType="separate"/>
          </w:r>
          <w:r>
            <w:rPr>
              <w:rFonts w:hint="eastAsia"/>
              <w:lang w:val="en-US" w:eastAsia="zh-CN"/>
            </w:rPr>
            <w:t>9.5 排污许可证制度</w:t>
          </w:r>
          <w:r>
            <w:tab/>
          </w:r>
          <w:r>
            <w:fldChar w:fldCharType="begin"/>
          </w:r>
          <w:r>
            <w:instrText xml:space="preserve"> PAGEREF _Toc5118 \h </w:instrText>
          </w:r>
          <w:r>
            <w:fldChar w:fldCharType="separate"/>
          </w:r>
          <w:r>
            <w:t>272</w:t>
          </w:r>
          <w:r>
            <w:fldChar w:fldCharType="end"/>
          </w:r>
          <w:r>
            <w:fldChar w:fldCharType="end"/>
          </w:r>
        </w:p>
        <w:p w14:paraId="5581F07E">
          <w:pPr>
            <w:pStyle w:val="14"/>
            <w:tabs>
              <w:tab w:val="right" w:leader="dot" w:pos="9355"/>
            </w:tabs>
          </w:pPr>
          <w:r>
            <w:fldChar w:fldCharType="begin"/>
          </w:r>
          <w:r>
            <w:instrText xml:space="preserve"> HYPERLINK \l _Toc16139 </w:instrText>
          </w:r>
          <w:r>
            <w:fldChar w:fldCharType="separate"/>
          </w:r>
          <w:r>
            <w:rPr>
              <w:rFonts w:hint="eastAsia"/>
              <w:lang w:val="en-US" w:eastAsia="zh-CN"/>
            </w:rPr>
            <w:t>9.6 环境信息社会公开内容</w:t>
          </w:r>
          <w:r>
            <w:tab/>
          </w:r>
          <w:r>
            <w:fldChar w:fldCharType="begin"/>
          </w:r>
          <w:r>
            <w:instrText xml:space="preserve"> PAGEREF _Toc16139 \h </w:instrText>
          </w:r>
          <w:r>
            <w:fldChar w:fldCharType="separate"/>
          </w:r>
          <w:r>
            <w:t>272</w:t>
          </w:r>
          <w:r>
            <w:fldChar w:fldCharType="end"/>
          </w:r>
          <w:r>
            <w:fldChar w:fldCharType="end"/>
          </w:r>
        </w:p>
        <w:p w14:paraId="7032368C">
          <w:pPr>
            <w:pStyle w:val="14"/>
            <w:tabs>
              <w:tab w:val="right" w:leader="dot" w:pos="9355"/>
            </w:tabs>
          </w:pPr>
          <w:r>
            <w:fldChar w:fldCharType="begin"/>
          </w:r>
          <w:r>
            <w:instrText xml:space="preserve"> HYPERLINK \l _Toc2138 </w:instrText>
          </w:r>
          <w:r>
            <w:fldChar w:fldCharType="separate"/>
          </w:r>
          <w:r>
            <w:rPr>
              <w:rFonts w:hint="eastAsia"/>
              <w:lang w:val="en-US" w:eastAsia="zh-CN"/>
            </w:rPr>
            <w:t>9.7 总量控制</w:t>
          </w:r>
          <w:r>
            <w:tab/>
          </w:r>
          <w:r>
            <w:fldChar w:fldCharType="begin"/>
          </w:r>
          <w:r>
            <w:instrText xml:space="preserve"> PAGEREF _Toc2138 \h </w:instrText>
          </w:r>
          <w:r>
            <w:fldChar w:fldCharType="separate"/>
          </w:r>
          <w:r>
            <w:t>273</w:t>
          </w:r>
          <w:r>
            <w:fldChar w:fldCharType="end"/>
          </w:r>
          <w:r>
            <w:fldChar w:fldCharType="end"/>
          </w:r>
        </w:p>
        <w:p w14:paraId="70845CDA">
          <w:pPr>
            <w:pStyle w:val="12"/>
            <w:tabs>
              <w:tab w:val="right" w:leader="dot" w:pos="9355"/>
            </w:tabs>
          </w:pPr>
          <w:r>
            <w:fldChar w:fldCharType="begin"/>
          </w:r>
          <w:r>
            <w:instrText xml:space="preserve"> HYPERLINK \l _Toc22844 </w:instrText>
          </w:r>
          <w:r>
            <w:fldChar w:fldCharType="separate"/>
          </w:r>
          <w:r>
            <w:rPr>
              <w:rFonts w:hint="eastAsia"/>
              <w:lang w:val="en-US" w:eastAsia="zh-CN"/>
            </w:rPr>
            <w:t>第十章 生态环境影响评价结论</w:t>
          </w:r>
          <w:r>
            <w:tab/>
          </w:r>
          <w:r>
            <w:fldChar w:fldCharType="begin"/>
          </w:r>
          <w:r>
            <w:instrText xml:space="preserve"> PAGEREF _Toc22844 \h </w:instrText>
          </w:r>
          <w:r>
            <w:fldChar w:fldCharType="separate"/>
          </w:r>
          <w:r>
            <w:t>274</w:t>
          </w:r>
          <w:r>
            <w:fldChar w:fldCharType="end"/>
          </w:r>
          <w:r>
            <w:fldChar w:fldCharType="end"/>
          </w:r>
        </w:p>
        <w:p w14:paraId="4D7B4EB4">
          <w:pPr>
            <w:pStyle w:val="14"/>
            <w:tabs>
              <w:tab w:val="right" w:leader="dot" w:pos="9355"/>
            </w:tabs>
          </w:pPr>
          <w:r>
            <w:fldChar w:fldCharType="begin"/>
          </w:r>
          <w:r>
            <w:instrText xml:space="preserve"> HYPERLINK \l _Toc31638 </w:instrText>
          </w:r>
          <w:r>
            <w:fldChar w:fldCharType="separate"/>
          </w:r>
          <w:r>
            <w:rPr>
              <w:rFonts w:hint="default"/>
              <w:lang w:val="en-US" w:eastAsia="zh-CN"/>
            </w:rPr>
            <w:t>10.1 项目概况</w:t>
          </w:r>
          <w:r>
            <w:tab/>
          </w:r>
          <w:r>
            <w:fldChar w:fldCharType="begin"/>
          </w:r>
          <w:r>
            <w:instrText xml:space="preserve"> PAGEREF _Toc31638 \h </w:instrText>
          </w:r>
          <w:r>
            <w:fldChar w:fldCharType="separate"/>
          </w:r>
          <w:r>
            <w:t>274</w:t>
          </w:r>
          <w:r>
            <w:fldChar w:fldCharType="end"/>
          </w:r>
          <w:r>
            <w:fldChar w:fldCharType="end"/>
          </w:r>
        </w:p>
        <w:p w14:paraId="636EC51E">
          <w:pPr>
            <w:pStyle w:val="14"/>
            <w:tabs>
              <w:tab w:val="right" w:leader="dot" w:pos="9355"/>
            </w:tabs>
          </w:pPr>
          <w:r>
            <w:fldChar w:fldCharType="begin"/>
          </w:r>
          <w:r>
            <w:instrText xml:space="preserve"> HYPERLINK \l _Toc17210 </w:instrText>
          </w:r>
          <w:r>
            <w:fldChar w:fldCharType="separate"/>
          </w:r>
          <w:r>
            <w:rPr>
              <w:rFonts w:hint="default"/>
              <w:lang w:val="en-US" w:eastAsia="zh-CN"/>
            </w:rPr>
            <w:t>10.2 环境质量现状</w:t>
          </w:r>
          <w:r>
            <w:tab/>
          </w:r>
          <w:r>
            <w:fldChar w:fldCharType="begin"/>
          </w:r>
          <w:r>
            <w:instrText xml:space="preserve"> PAGEREF _Toc17210 \h </w:instrText>
          </w:r>
          <w:r>
            <w:fldChar w:fldCharType="separate"/>
          </w:r>
          <w:r>
            <w:t>274</w:t>
          </w:r>
          <w:r>
            <w:fldChar w:fldCharType="end"/>
          </w:r>
          <w:r>
            <w:fldChar w:fldCharType="end"/>
          </w:r>
        </w:p>
        <w:p w14:paraId="15642DE8">
          <w:pPr>
            <w:pStyle w:val="14"/>
            <w:tabs>
              <w:tab w:val="right" w:leader="dot" w:pos="9355"/>
            </w:tabs>
          </w:pPr>
          <w:r>
            <w:fldChar w:fldCharType="begin"/>
          </w:r>
          <w:r>
            <w:instrText xml:space="preserve"> HYPERLINK \l _Toc22314 </w:instrText>
          </w:r>
          <w:r>
            <w:fldChar w:fldCharType="separate"/>
          </w:r>
          <w:r>
            <w:rPr>
              <w:rFonts w:hint="default"/>
              <w:lang w:val="en-US" w:eastAsia="zh-CN"/>
            </w:rPr>
            <w:t>10.3 污染物处理措施及排放情况</w:t>
          </w:r>
          <w:r>
            <w:tab/>
          </w:r>
          <w:r>
            <w:fldChar w:fldCharType="begin"/>
          </w:r>
          <w:r>
            <w:instrText xml:space="preserve"> PAGEREF _Toc22314 \h </w:instrText>
          </w:r>
          <w:r>
            <w:fldChar w:fldCharType="separate"/>
          </w:r>
          <w:r>
            <w:t>275</w:t>
          </w:r>
          <w:r>
            <w:fldChar w:fldCharType="end"/>
          </w:r>
          <w:r>
            <w:fldChar w:fldCharType="end"/>
          </w:r>
        </w:p>
        <w:p w14:paraId="06AC05F8">
          <w:pPr>
            <w:pStyle w:val="14"/>
            <w:tabs>
              <w:tab w:val="right" w:leader="dot" w:pos="9355"/>
            </w:tabs>
          </w:pPr>
          <w:r>
            <w:fldChar w:fldCharType="begin"/>
          </w:r>
          <w:r>
            <w:instrText xml:space="preserve"> HYPERLINK \l _Toc13809 </w:instrText>
          </w:r>
          <w:r>
            <w:fldChar w:fldCharType="separate"/>
          </w:r>
          <w:r>
            <w:rPr>
              <w:rFonts w:hint="default"/>
              <w:lang w:val="en-US" w:eastAsia="zh-CN"/>
            </w:rPr>
            <w:t>10.4 环境影响</w:t>
          </w:r>
          <w:r>
            <w:tab/>
          </w:r>
          <w:r>
            <w:fldChar w:fldCharType="begin"/>
          </w:r>
          <w:r>
            <w:instrText xml:space="preserve"> PAGEREF _Toc13809 \h </w:instrText>
          </w:r>
          <w:r>
            <w:fldChar w:fldCharType="separate"/>
          </w:r>
          <w:r>
            <w:t>276</w:t>
          </w:r>
          <w:r>
            <w:fldChar w:fldCharType="end"/>
          </w:r>
          <w:r>
            <w:fldChar w:fldCharType="end"/>
          </w:r>
        </w:p>
        <w:p w14:paraId="19E25CF2">
          <w:pPr>
            <w:spacing w:before="0" w:beforeLines="0" w:after="0" w:afterLines="0" w:line="240" w:lineRule="auto"/>
            <w:ind w:left="0" w:leftChars="0" w:right="0" w:rightChars="0" w:firstLine="0" w:firstLineChars="0"/>
            <w:jc w:val="center"/>
            <w:rPr>
              <w:rFonts w:ascii="Times New Roman" w:hAnsi="Times New Roman" w:eastAsia="宋体" w:cs="宋体"/>
              <w:sz w:val="24"/>
              <w:szCs w:val="24"/>
              <w:lang w:val="en-US" w:eastAsia="zh-CN" w:bidi="ar-SA"/>
            </w:rPr>
          </w:pPr>
          <w:r>
            <w:fldChar w:fldCharType="end"/>
          </w:r>
        </w:p>
      </w:sdtContent>
    </w:sdt>
    <w:p w14:paraId="1739E759">
      <w:pPr>
        <w:rPr>
          <w:rFonts w:ascii="Times New Roman" w:hAnsi="Times New Roman" w:eastAsia="宋体" w:cs="宋体"/>
          <w:sz w:val="24"/>
          <w:szCs w:val="24"/>
          <w:lang w:val="en-US" w:eastAsia="zh-CN" w:bidi="ar-SA"/>
        </w:rPr>
        <w:sectPr>
          <w:pgSz w:w="11906" w:h="16838"/>
          <w:pgMar w:top="1417" w:right="1134" w:bottom="1134" w:left="1417" w:header="851" w:footer="992" w:gutter="0"/>
          <w:pgNumType w:fmt="decimal"/>
          <w:cols w:space="0" w:num="1"/>
          <w:rtlGutter w:val="0"/>
          <w:docGrid w:type="lines" w:linePitch="312" w:charSpace="0"/>
        </w:sectPr>
      </w:pPr>
    </w:p>
    <w:p w14:paraId="3C441804">
      <w:pPr>
        <w:pStyle w:val="3"/>
        <w:bidi w:val="0"/>
        <w:jc w:val="center"/>
        <w:rPr>
          <w:rFonts w:hint="default"/>
          <w:lang w:val="en-US" w:eastAsia="zh-CN"/>
        </w:rPr>
      </w:pPr>
      <w:bookmarkStart w:id="24" w:name="_Toc15165"/>
      <w:r>
        <w:rPr>
          <w:rFonts w:hint="eastAsia"/>
          <w:lang w:val="en-US" w:eastAsia="zh-CN"/>
        </w:rPr>
        <w:t>第一章 概述</w:t>
      </w:r>
      <w:bookmarkEnd w:id="24"/>
    </w:p>
    <w:p w14:paraId="2C3B1CDB">
      <w:pPr>
        <w:pStyle w:val="2"/>
        <w:bidi w:val="0"/>
      </w:pPr>
      <w:bookmarkStart w:id="25" w:name="_Toc30107"/>
      <w:bookmarkStart w:id="26" w:name="_Toc369532469"/>
      <w:bookmarkStart w:id="27" w:name="_Toc30815"/>
      <w:r>
        <w:t>1.1</w:t>
      </w:r>
      <w:r>
        <w:rPr>
          <w:rFonts w:hint="eastAsia"/>
        </w:rPr>
        <w:t xml:space="preserve"> </w:t>
      </w:r>
      <w:r>
        <w:t>建设项目概况</w:t>
      </w:r>
      <w:bookmarkEnd w:id="25"/>
      <w:bookmarkEnd w:id="26"/>
      <w:bookmarkEnd w:id="27"/>
    </w:p>
    <w:p w14:paraId="7591572B">
      <w:pPr>
        <w:ind w:firstLine="480" w:firstLineChars="200"/>
        <w:rPr>
          <w:rFonts w:hint="eastAsia"/>
          <w:lang w:val="en-US" w:eastAsia="zh-CN"/>
        </w:rPr>
      </w:pPr>
      <w:r>
        <w:t>晶科能源股份有限公司自2006年6月成立之日起，秉承改变能源结构，承担未来责任的愿景，2010年成功在美国纽交所上市，目前是集硅片、电池和组件的制造与销售、光伏电站安装与运营的四大产业链的光伏企业。安徽晶科能源有限公司位于合肥循环经济示范园龙兴大道与乳泉路交口东北角，是晶科能源股份有限公司全资子公司</w:t>
      </w:r>
      <w:r>
        <w:rPr>
          <w:rFonts w:hint="eastAsia"/>
          <w:lang w:eastAsia="zh-CN"/>
        </w:rPr>
        <w:t>。</w:t>
      </w:r>
    </w:p>
    <w:p w14:paraId="2FCD3741">
      <w:pPr>
        <w:bidi w:val="0"/>
        <w:ind w:firstLine="480" w:firstLineChars="200"/>
        <w:rPr>
          <w:rFonts w:hint="eastAsia"/>
          <w:lang w:val="en-US" w:eastAsia="zh-CN"/>
        </w:rPr>
      </w:pPr>
      <w:r>
        <w:rPr>
          <w:rFonts w:hint="default"/>
          <w:lang w:val="en-US" w:eastAsia="zh-CN"/>
        </w:rPr>
        <w:t>安徽晶科能源有限公司</w:t>
      </w:r>
      <w:r>
        <w:rPr>
          <w:rFonts w:hint="eastAsia"/>
          <w:lang w:val="en-US" w:eastAsia="zh-CN"/>
        </w:rPr>
        <w:t>于2022年1月在</w:t>
      </w:r>
      <w:r>
        <w:rPr>
          <w:rFonts w:hint="default"/>
          <w:lang w:val="en-US" w:eastAsia="zh-CN"/>
        </w:rPr>
        <w:t>合肥循环经济示范园龙兴大道与乳泉路交口东北角</w:t>
      </w:r>
      <w:r>
        <w:rPr>
          <w:rFonts w:hint="eastAsia"/>
          <w:lang w:val="en-US" w:eastAsia="zh-CN"/>
        </w:rPr>
        <w:t>投资建设“新型太阳能高效电池片项目一期工程”。该项目主要建设</w:t>
      </w:r>
      <w:r>
        <w:rPr>
          <w:rFonts w:hint="default" w:ascii="Times New Roman" w:hAnsi="Times New Roman" w:eastAsia="宋体" w:cs="Times New Roman"/>
          <w:spacing w:val="-2"/>
          <w:sz w:val="24"/>
          <w:szCs w:val="24"/>
        </w:rPr>
        <w:t>电池车间</w:t>
      </w:r>
      <w:r>
        <w:rPr>
          <w:rFonts w:hint="default" w:ascii="Times New Roman" w:hAnsi="Times New Roman" w:eastAsia="Times New Roman" w:cs="Times New Roman"/>
          <w:spacing w:val="-2"/>
          <w:sz w:val="24"/>
          <w:szCs w:val="24"/>
        </w:rPr>
        <w:t>1</w:t>
      </w:r>
      <w:r>
        <w:rPr>
          <w:rFonts w:hint="default" w:ascii="Times New Roman" w:hAnsi="Times New Roman" w:eastAsia="宋体" w:cs="Times New Roman"/>
          <w:spacing w:val="-2"/>
          <w:sz w:val="24"/>
          <w:szCs w:val="24"/>
        </w:rPr>
        <w:t>、</w:t>
      </w:r>
      <w:r>
        <w:rPr>
          <w:rFonts w:hint="default" w:ascii="Times New Roman" w:hAnsi="Times New Roman" w:eastAsia="宋体" w:cs="Times New Roman"/>
          <w:spacing w:val="-3"/>
          <w:sz w:val="24"/>
          <w:szCs w:val="24"/>
        </w:rPr>
        <w:t>化学品库、危废库、废气及废水处理</w:t>
      </w:r>
      <w:r>
        <w:rPr>
          <w:rFonts w:hint="default" w:ascii="Times New Roman" w:hAnsi="Times New Roman" w:eastAsia="宋体" w:cs="Times New Roman"/>
          <w:spacing w:val="-1"/>
          <w:sz w:val="24"/>
          <w:szCs w:val="24"/>
        </w:rPr>
        <w:t>设施、消防等附属工程</w:t>
      </w:r>
      <w:r>
        <w:rPr>
          <w:rFonts w:hint="eastAsia"/>
          <w:lang w:val="en-US" w:eastAsia="zh-CN"/>
        </w:rPr>
        <w:t>，建成后</w:t>
      </w:r>
      <w:r>
        <w:rPr>
          <w:rFonts w:hint="default" w:ascii="Times New Roman" w:hAnsi="Times New Roman" w:eastAsia="宋体" w:cs="Times New Roman"/>
          <w:spacing w:val="-1"/>
          <w:sz w:val="24"/>
          <w:szCs w:val="24"/>
        </w:rPr>
        <w:t>年产新型太阳能高效电池片</w:t>
      </w:r>
      <w:r>
        <w:rPr>
          <w:rFonts w:hint="default" w:ascii="Times New Roman" w:hAnsi="Times New Roman" w:eastAsia="Times New Roman" w:cs="Times New Roman"/>
          <w:spacing w:val="-1"/>
          <w:sz w:val="24"/>
          <w:szCs w:val="24"/>
        </w:rPr>
        <w:t>8</w:t>
      </w:r>
      <w:r>
        <w:rPr>
          <w:rFonts w:hint="default" w:ascii="Times New Roman" w:hAnsi="Times New Roman" w:eastAsia="Times New Roman" w:cs="Times New Roman"/>
          <w:spacing w:val="-2"/>
          <w:sz w:val="24"/>
          <w:szCs w:val="24"/>
        </w:rPr>
        <w:t>GW</w:t>
      </w:r>
      <w:r>
        <w:rPr>
          <w:rFonts w:hint="eastAsia"/>
          <w:lang w:val="en-US" w:eastAsia="zh-CN"/>
        </w:rPr>
        <w:t>。该项目于2022年1月8日经</w:t>
      </w:r>
      <w:r>
        <w:rPr>
          <w:rFonts w:hint="default" w:ascii="Times New Roman" w:hAnsi="Times New Roman" w:eastAsia="宋体" w:cs="Times New Roman"/>
          <w:spacing w:val="-2"/>
          <w:sz w:val="24"/>
          <w:szCs w:val="24"/>
        </w:rPr>
        <w:t>合肥市生态环境局</w:t>
      </w:r>
      <w:r>
        <w:rPr>
          <w:rFonts w:hint="eastAsia"/>
          <w:lang w:val="en-US" w:eastAsia="zh-CN"/>
        </w:rPr>
        <w:t>以“环建审[2022]5号文”予以批复。</w:t>
      </w:r>
    </w:p>
    <w:p w14:paraId="40A0B1AC">
      <w:pPr>
        <w:bidi w:val="0"/>
        <w:ind w:firstLine="480" w:firstLineChars="200"/>
        <w:rPr>
          <w:rFonts w:hint="eastAsia"/>
          <w:lang w:val="en-US" w:eastAsia="zh-CN"/>
        </w:rPr>
      </w:pPr>
      <w:r>
        <w:rPr>
          <w:rFonts w:hint="default"/>
          <w:lang w:val="en-US" w:eastAsia="zh-CN"/>
        </w:rPr>
        <w:t>安徽晶科能源有限公司</w:t>
      </w:r>
      <w:r>
        <w:rPr>
          <w:rFonts w:hint="eastAsia"/>
          <w:lang w:val="en-US" w:eastAsia="zh-CN"/>
        </w:rPr>
        <w:t>于2022年6月在</w:t>
      </w:r>
      <w:r>
        <w:rPr>
          <w:rFonts w:hint="default"/>
          <w:lang w:val="en-US" w:eastAsia="zh-CN"/>
        </w:rPr>
        <w:t>合肥循环经济示范园龙兴大道与乳泉路交口东北角</w:t>
      </w:r>
      <w:r>
        <w:rPr>
          <w:rFonts w:hint="eastAsia"/>
          <w:lang w:val="en-US" w:eastAsia="zh-CN"/>
        </w:rPr>
        <w:t>投资建设“新型太阳能高效电池片项目二期工程”。该项目主要建设电池车间2、配套纯水制备装置（含浓水回收系统）、动力装置、循环冷却水系统、暖通系统及配套环保设施等，建成后</w:t>
      </w:r>
      <w:r>
        <w:rPr>
          <w:rFonts w:hint="default" w:ascii="Times New Roman" w:hAnsi="Times New Roman" w:eastAsia="宋体" w:cs="Times New Roman"/>
          <w:spacing w:val="-1"/>
          <w:sz w:val="24"/>
          <w:szCs w:val="24"/>
        </w:rPr>
        <w:t>年产新型太阳能高效电池片</w:t>
      </w:r>
      <w:r>
        <w:rPr>
          <w:rFonts w:hint="default" w:ascii="Times New Roman" w:hAnsi="Times New Roman" w:eastAsia="Times New Roman" w:cs="Times New Roman"/>
          <w:spacing w:val="-1"/>
          <w:sz w:val="24"/>
          <w:szCs w:val="24"/>
        </w:rPr>
        <w:t>8</w:t>
      </w:r>
      <w:r>
        <w:rPr>
          <w:rFonts w:hint="default" w:ascii="Times New Roman" w:hAnsi="Times New Roman" w:eastAsia="Times New Roman" w:cs="Times New Roman"/>
          <w:spacing w:val="-2"/>
          <w:sz w:val="24"/>
          <w:szCs w:val="24"/>
        </w:rPr>
        <w:t>GW</w:t>
      </w:r>
      <w:r>
        <w:rPr>
          <w:rFonts w:hint="eastAsia"/>
          <w:lang w:val="en-US" w:eastAsia="zh-CN"/>
        </w:rPr>
        <w:t>。该项目于2022年6月24日经</w:t>
      </w:r>
      <w:r>
        <w:rPr>
          <w:rFonts w:hint="default" w:ascii="Times New Roman" w:hAnsi="Times New Roman" w:eastAsia="宋体" w:cs="Times New Roman"/>
          <w:spacing w:val="-2"/>
          <w:sz w:val="24"/>
          <w:szCs w:val="24"/>
        </w:rPr>
        <w:t>合肥市生态环境局</w:t>
      </w:r>
      <w:r>
        <w:rPr>
          <w:rFonts w:hint="eastAsia"/>
          <w:lang w:val="en-US" w:eastAsia="zh-CN"/>
        </w:rPr>
        <w:t>以“环建审[2022]54号文”予以批复。</w:t>
      </w:r>
    </w:p>
    <w:p w14:paraId="5A2461A0">
      <w:pPr>
        <w:bidi w:val="0"/>
        <w:ind w:firstLine="480" w:firstLineChars="200"/>
        <w:rPr>
          <w:rFonts w:hint="default"/>
          <w:lang w:val="en-US" w:eastAsia="zh-CN"/>
        </w:rPr>
      </w:pPr>
      <w:r>
        <w:rPr>
          <w:rFonts w:hint="default"/>
          <w:lang w:val="en-US" w:eastAsia="zh-CN"/>
        </w:rPr>
        <w:t>安徽晶科能源有限公司</w:t>
      </w:r>
      <w:r>
        <w:rPr>
          <w:rFonts w:hint="eastAsia"/>
          <w:lang w:val="en-US" w:eastAsia="zh-CN"/>
        </w:rPr>
        <w:t>于2024年1月在现有厂区内投资建设“高效太阳能电池片提产改造项目”。该项目主要</w:t>
      </w:r>
      <w:r>
        <w:rPr>
          <w:rFonts w:hint="default" w:ascii="Times New Roman" w:hAnsi="Times New Roman" w:eastAsia="宋体" w:cs="Times New Roman"/>
          <w:spacing w:val="-4"/>
          <w:sz w:val="24"/>
          <w:szCs w:val="24"/>
        </w:rPr>
        <w:t>对一期、二期生产线工序进行优化，包括新增制绒、刻蚀、磷扩、硼扩、正膜、背膜等相应工序的主设备、对丝网印刷设备进行提速改造，</w:t>
      </w:r>
      <w:r>
        <w:rPr>
          <w:rFonts w:hint="default" w:ascii="Times New Roman" w:hAnsi="Times New Roman" w:eastAsia="宋体" w:cs="Times New Roman"/>
          <w:sz w:val="24"/>
          <w:szCs w:val="24"/>
        </w:rPr>
        <w:t>同时配套相关自动化、检测及外围设施系统设备，经过相关工序主设备的增加和丝网</w:t>
      </w:r>
      <w:r>
        <w:rPr>
          <w:rFonts w:hint="default" w:ascii="Times New Roman" w:hAnsi="Times New Roman" w:eastAsia="宋体" w:cs="Times New Roman"/>
          <w:spacing w:val="-1"/>
          <w:sz w:val="24"/>
          <w:szCs w:val="24"/>
        </w:rPr>
        <w:t>印刷设备的提速改造，项目一期、二期生产线实现产能升级</w:t>
      </w:r>
      <w:r>
        <w:rPr>
          <w:rFonts w:hint="eastAsia" w:ascii="Times New Roman" w:hAnsi="Times New Roman" w:cs="Times New Roman"/>
          <w:spacing w:val="-1"/>
          <w:sz w:val="24"/>
          <w:szCs w:val="24"/>
          <w:lang w:eastAsia="zh-CN"/>
        </w:rPr>
        <w:t>。</w:t>
      </w:r>
      <w:r>
        <w:rPr>
          <w:rFonts w:hint="eastAsia" w:ascii="Times New Roman" w:hAnsi="Times New Roman" w:cs="Times New Roman"/>
          <w:spacing w:val="-1"/>
          <w:sz w:val="24"/>
          <w:szCs w:val="24"/>
          <w:lang w:val="en-US" w:eastAsia="zh-CN"/>
        </w:rPr>
        <w:t>项目</w:t>
      </w:r>
      <w:r>
        <w:rPr>
          <w:rFonts w:hint="eastAsia"/>
          <w:lang w:val="en-US" w:eastAsia="zh-CN"/>
        </w:rPr>
        <w:t>建成后一期生产线新增产能0.578GW、二期生产线新增产能1.011GW；全厂合计新增产能1.589GW，形成17.589GW太阳能高效电池片的生产能力。</w:t>
      </w:r>
    </w:p>
    <w:p w14:paraId="09EAEBA1">
      <w:pPr>
        <w:ind w:firstLine="480" w:firstLineChars="200"/>
        <w:rPr>
          <w:rFonts w:hint="eastAsia"/>
          <w:lang w:val="en-US" w:eastAsia="zh-CN"/>
        </w:rPr>
      </w:pPr>
      <w:r>
        <w:rPr>
          <w:rFonts w:hint="default"/>
          <w:lang w:val="en-US" w:eastAsia="zh-CN"/>
        </w:rPr>
        <w:t>安徽晶科能源有限公司</w:t>
      </w:r>
      <w:r>
        <w:rPr>
          <w:rFonts w:hint="eastAsia"/>
          <w:lang w:val="en-US" w:eastAsia="zh-CN"/>
        </w:rPr>
        <w:t>于2024年1月在现有厂区内投资建设“N型太阳能电池HOT2.O技术改造项目”。该项目主要在一期、二期工序中分别新增“激光开模”和“后氧化”工序，同时新增工艺变更改造需要的设备，包括前硼扩、激光开模、后氧化等工序设备。该项目不新增产能，提高电池转换效率0.2-0.3%</w:t>
      </w:r>
      <w:r>
        <w:rPr>
          <w:rFonts w:hint="eastAsia" w:ascii="Times New Roman" w:hAnsi="Times New Roman" w:cs="Times New Roman"/>
          <w:spacing w:val="-1"/>
          <w:sz w:val="24"/>
          <w:szCs w:val="24"/>
          <w:lang w:eastAsia="zh-CN"/>
        </w:rPr>
        <w:t>。</w:t>
      </w:r>
      <w:r>
        <w:rPr>
          <w:rFonts w:hint="eastAsia"/>
          <w:lang w:val="en-US" w:eastAsia="zh-CN"/>
        </w:rPr>
        <w:t>该项目于2024年2月4日经</w:t>
      </w:r>
      <w:r>
        <w:rPr>
          <w:rFonts w:hint="default" w:ascii="Times New Roman" w:hAnsi="Times New Roman" w:eastAsia="宋体" w:cs="Times New Roman"/>
          <w:spacing w:val="-2"/>
          <w:sz w:val="24"/>
          <w:szCs w:val="24"/>
        </w:rPr>
        <w:t>合肥市生态环境局</w:t>
      </w:r>
      <w:r>
        <w:rPr>
          <w:rFonts w:hint="eastAsia"/>
          <w:lang w:val="en-US" w:eastAsia="zh-CN"/>
        </w:rPr>
        <w:t>以“环建审[2024]9号文”予以批复。</w:t>
      </w:r>
    </w:p>
    <w:p w14:paraId="3527EC01">
      <w:pPr>
        <w:ind w:firstLine="482" w:firstLineChars="200"/>
        <w:rPr>
          <w:rFonts w:hint="default"/>
          <w:lang w:val="en-US" w:eastAsia="zh-CN"/>
        </w:rPr>
      </w:pPr>
      <w:r>
        <w:rPr>
          <w:rFonts w:hint="eastAsia"/>
          <w:b/>
          <w:bCs/>
          <w:lang w:val="en-US" w:eastAsia="zh-CN"/>
        </w:rPr>
        <w:t>目前上述项目均已建设完成并通过完成自主竣工环保验收。</w:t>
      </w:r>
    </w:p>
    <w:p w14:paraId="6FE56474">
      <w:pPr>
        <w:ind w:firstLine="480" w:firstLineChars="200"/>
      </w:pPr>
      <w:r>
        <w:t>随着人们对可再生能源利用程度的不断</w:t>
      </w:r>
      <w:r>
        <w:rPr>
          <w:rFonts w:hint="eastAsia"/>
          <w:lang w:eastAsia="zh-CN"/>
        </w:rPr>
        <w:t>提高</w:t>
      </w:r>
      <w:r>
        <w:t>，太阳能必将成为人类利用范围最广</w:t>
      </w:r>
      <w:r>
        <w:rPr>
          <w:rFonts w:hint="eastAsia"/>
          <w:lang w:eastAsia="zh-CN"/>
        </w:rPr>
        <w:t>、</w:t>
      </w:r>
      <w:r>
        <w:t>利用量最大的可再生能源。从整个光伏产业链的角度看，不断降低生产成本、提高转换效率是光伏行业发展的核心。企业通过优化工艺流程、升级单条生产线产能、提升生产线自动化程度等手段</w:t>
      </w:r>
      <w:r>
        <w:rPr>
          <w:rFonts w:hint="eastAsia"/>
          <w:lang w:eastAsia="zh-CN"/>
        </w:rPr>
        <w:t>，进一步</w:t>
      </w:r>
      <w:r>
        <w:t>提升生产效率、提高产品质量、降低生产成本、提高核心竞争力</w:t>
      </w:r>
      <w:r>
        <w:rPr>
          <w:rFonts w:hint="eastAsia"/>
          <w:lang w:eastAsia="zh-CN"/>
        </w:rPr>
        <w:t>，从而</w:t>
      </w:r>
      <w:r>
        <w:t>进一步稳固公司在行业</w:t>
      </w:r>
      <w:r>
        <w:rPr>
          <w:rFonts w:hint="eastAsia"/>
          <w:lang w:eastAsia="zh-CN"/>
        </w:rPr>
        <w:t>中的领先</w:t>
      </w:r>
      <w:r>
        <w:t>优势，将公司建设成为光伏产业智能制造领域标杆企业。</w:t>
      </w:r>
    </w:p>
    <w:p w14:paraId="714362CB">
      <w:pPr>
        <w:ind w:firstLine="480" w:firstLineChars="200"/>
      </w:pPr>
      <w:r>
        <w:t>在此背景下，安徽晶科能源有限公司拟在合肥循环经济示范园龙兴大道与乳泉路交口东北角安徽晶科能源有限公司厂区内</w:t>
      </w:r>
      <w:r>
        <w:rPr>
          <w:rFonts w:hint="eastAsia"/>
          <w:lang w:eastAsia="zh-CN"/>
        </w:rPr>
        <w:t>，</w:t>
      </w:r>
      <w:r>
        <w:t>投资</w:t>
      </w:r>
      <w:r>
        <w:rPr>
          <w:rFonts w:hint="eastAsia" w:cs="Times New Roman"/>
          <w:color w:val="auto"/>
          <w:lang w:val="en-US" w:eastAsia="zh-CN"/>
        </w:rPr>
        <w:t>38898.6</w:t>
      </w:r>
      <w:r>
        <w:rPr>
          <w:rFonts w:cs="Times New Roman"/>
          <w:color w:val="auto"/>
        </w:rPr>
        <w:t>万元</w:t>
      </w:r>
      <w:r>
        <w:t>建设</w:t>
      </w:r>
      <w:r>
        <w:rPr>
          <w:rFonts w:hint="eastAsia"/>
          <w:lang w:val="en-US" w:eastAsia="zh-CN"/>
        </w:rPr>
        <w:t>高效太阳能电池片FP提效改造一期</w:t>
      </w:r>
      <w:r>
        <w:t>项目</w:t>
      </w:r>
      <w:r>
        <w:rPr>
          <w:rFonts w:hint="eastAsia"/>
          <w:lang w:eastAsia="zh-CN"/>
        </w:rPr>
        <w:t>。</w:t>
      </w:r>
      <w:r>
        <w:rPr>
          <w:rFonts w:hint="eastAsia" w:cs="Times New Roman"/>
          <w:color w:val="auto"/>
          <w:lang w:val="en-US" w:eastAsia="zh-CN"/>
        </w:rPr>
        <w:t>在电池车间1和电池车间2之间建设廊道，用于两个车间材料、产品的运输；同时在同期拟建“高效太阳能电池片213升级改造项目”和“高效太阳能电池片MAX改造项目”完成的基础上对电池车间1</w:t>
      </w:r>
      <w:r>
        <w:rPr>
          <w:rFonts w:hint="eastAsia" w:cs="Times New Roman"/>
          <w:color w:val="auto"/>
        </w:rPr>
        <w:t>电池片生产线</w:t>
      </w:r>
      <w:r>
        <w:rPr>
          <w:rFonts w:hint="eastAsia" w:cs="Times New Roman"/>
          <w:color w:val="auto"/>
          <w:lang w:val="en-US" w:eastAsia="zh-CN"/>
        </w:rPr>
        <w:t>进行改造</w:t>
      </w:r>
      <w:r>
        <w:rPr>
          <w:rFonts w:hint="eastAsia" w:cs="Times New Roman"/>
          <w:color w:val="auto"/>
        </w:rPr>
        <w:t>，</w:t>
      </w:r>
      <w:r>
        <w:rPr>
          <w:rFonts w:hint="eastAsia" w:cs="Times New Roman"/>
          <w:color w:val="auto"/>
          <w:lang w:val="en-US" w:eastAsia="zh-CN"/>
        </w:rPr>
        <w:t>改造现有丝网印刷、烧结设备</w:t>
      </w:r>
      <w:r>
        <w:rPr>
          <w:rFonts w:hint="eastAsia" w:cs="Times New Roman"/>
          <w:color w:val="auto"/>
        </w:rPr>
        <w:t>，新增</w:t>
      </w:r>
      <w:r>
        <w:rPr>
          <w:rFonts w:hint="eastAsia" w:cs="Times New Roman"/>
          <w:color w:val="auto"/>
          <w:lang w:val="en-US" w:eastAsia="zh-CN"/>
        </w:rPr>
        <w:t>ME（激光开模）、AC（银包铜印刷、固化）、激光划片、四分片钝化工艺，同时为四分片钝化配套铝舟及周托清洗设备</w:t>
      </w:r>
      <w:r>
        <w:rPr>
          <w:rFonts w:hint="eastAsia" w:cs="Times New Roman"/>
          <w:color w:val="auto"/>
          <w:lang w:eastAsia="zh-CN"/>
        </w:rPr>
        <w:t>。</w:t>
      </w:r>
      <w:r>
        <w:rPr>
          <w:rFonts w:hint="eastAsia" w:cs="Times New Roman"/>
          <w:color w:val="auto"/>
        </w:rPr>
        <w:t>本次</w:t>
      </w:r>
      <w:r>
        <w:rPr>
          <w:rFonts w:hint="eastAsia" w:cs="Times New Roman"/>
          <w:color w:val="auto"/>
          <w:lang w:val="en-US" w:eastAsia="zh-CN"/>
        </w:rPr>
        <w:t>技改</w:t>
      </w:r>
      <w:r>
        <w:rPr>
          <w:rFonts w:cs="Times New Roman"/>
          <w:color w:val="auto"/>
        </w:rPr>
        <w:t>项目</w:t>
      </w:r>
      <w:r>
        <w:rPr>
          <w:rFonts w:hint="eastAsia" w:cs="Times New Roman"/>
          <w:color w:val="auto"/>
        </w:rPr>
        <w:t>优化了相关技术，</w:t>
      </w:r>
      <w:r>
        <w:rPr>
          <w:rFonts w:hint="eastAsia" w:cs="Times New Roman"/>
          <w:color w:val="auto"/>
          <w:lang w:val="en-US" w:eastAsia="zh-CN"/>
        </w:rPr>
        <w:t>能够有效地降低产品的接触电阻并提高导电性，将电池车间1</w:t>
      </w:r>
      <w:r>
        <w:rPr>
          <w:rFonts w:hint="eastAsia" w:cs="Times New Roman"/>
          <w:color w:val="auto"/>
        </w:rPr>
        <w:t>电池片</w:t>
      </w:r>
      <w:r>
        <w:rPr>
          <w:rFonts w:hint="eastAsia" w:cs="Times New Roman"/>
          <w:color w:val="auto"/>
          <w:lang w:val="en-US" w:eastAsia="zh-CN"/>
        </w:rPr>
        <w:t>产品光电转换效率提升至26%。项目不新增产能，建成后全厂维持年产新型太阳能高效电池片17.589GW的生产能力不变</w:t>
      </w:r>
      <w:r>
        <w:t>。</w:t>
      </w:r>
    </w:p>
    <w:p w14:paraId="7DCAEC4F">
      <w:pPr>
        <w:ind w:firstLine="480" w:firstLineChars="200"/>
      </w:pPr>
      <w:r>
        <w:t>项目于</w:t>
      </w:r>
      <w:r>
        <w:rPr>
          <w:rFonts w:hint="eastAsia"/>
          <w:lang w:val="en-US" w:eastAsia="zh-CN"/>
        </w:rPr>
        <w:t>2025</w:t>
      </w:r>
      <w:r>
        <w:t>年</w:t>
      </w:r>
      <w:r>
        <w:rPr>
          <w:rFonts w:hint="eastAsia"/>
          <w:lang w:val="en-US" w:eastAsia="zh-CN"/>
        </w:rPr>
        <w:t>12</w:t>
      </w:r>
      <w:r>
        <w:t>月</w:t>
      </w:r>
      <w:r>
        <w:rPr>
          <w:rFonts w:hint="eastAsia"/>
          <w:lang w:val="en-US" w:eastAsia="zh-CN"/>
        </w:rPr>
        <w:t>12</w:t>
      </w:r>
      <w:r>
        <w:t>日取得肥东县经济和信息化局备案，</w:t>
      </w:r>
      <w:r>
        <w:rPr>
          <w:rFonts w:hint="eastAsia"/>
          <w:lang w:val="en-US" w:eastAsia="zh-CN"/>
        </w:rPr>
        <w:t>项目代码：2512-340122-07-02-886230，</w:t>
      </w:r>
      <w:r>
        <w:t>属于《国民经济行业分类》（GB/T4754-2017）中</w:t>
      </w:r>
      <w:r>
        <w:rPr>
          <w:rFonts w:hint="eastAsia"/>
          <w:lang w:eastAsia="zh-CN"/>
        </w:rPr>
        <w:t>“</w:t>
      </w:r>
      <w:r>
        <w:t>光伏设备及元器件制造 C3825</w:t>
      </w:r>
      <w:r>
        <w:rPr>
          <w:rFonts w:hint="eastAsia"/>
          <w:lang w:eastAsia="zh-CN"/>
        </w:rPr>
        <w:t>”</w:t>
      </w:r>
      <w:r>
        <w:t>。</w:t>
      </w:r>
    </w:p>
    <w:p w14:paraId="360D47DE">
      <w:pPr>
        <w:ind w:firstLine="480" w:firstLineChars="200"/>
      </w:pPr>
      <w:r>
        <w:t>根据《建设项目环境影响评价分类管理名录》（202</w:t>
      </w:r>
      <w:r>
        <w:rPr>
          <w:rFonts w:hint="eastAsia"/>
          <w:lang w:val="en-US" w:eastAsia="zh-CN"/>
        </w:rPr>
        <w:t>5</w:t>
      </w:r>
      <w:r>
        <w:t>年版），本项目属于该名录项目类别中：</w:t>
      </w:r>
      <w:r>
        <w:rPr>
          <w:rFonts w:hint="eastAsia"/>
          <w:lang w:eastAsia="zh-CN"/>
        </w:rPr>
        <w:t>“</w:t>
      </w:r>
      <w:r>
        <w:t>三十五、电气机械和器材制造业 38</w:t>
      </w:r>
      <w:r>
        <w:rPr>
          <w:rFonts w:hint="eastAsia"/>
          <w:lang w:eastAsia="zh-CN"/>
        </w:rPr>
        <w:t>－</w:t>
      </w:r>
      <w:r>
        <w:t>输配电及控制设备制造 382</w:t>
      </w:r>
      <w:r>
        <w:rPr>
          <w:rFonts w:hint="eastAsia"/>
          <w:lang w:eastAsia="zh-CN"/>
        </w:rPr>
        <w:t>”</w:t>
      </w:r>
      <w:r>
        <w:t>中</w:t>
      </w:r>
      <w:r>
        <w:rPr>
          <w:rFonts w:hint="eastAsia"/>
          <w:lang w:eastAsia="zh-CN"/>
        </w:rPr>
        <w:t>“</w:t>
      </w:r>
      <w:r>
        <w:t>太阳能电池片生产</w:t>
      </w:r>
      <w:r>
        <w:rPr>
          <w:rFonts w:hint="eastAsia"/>
          <w:lang w:eastAsia="zh-CN"/>
        </w:rPr>
        <w:t>”</w:t>
      </w:r>
      <w:r>
        <w:t>，因此，本项目需编制环境影响评价报告书。</w:t>
      </w:r>
    </w:p>
    <w:p w14:paraId="7C7295EB">
      <w:pPr>
        <w:ind w:firstLine="480" w:firstLineChars="200"/>
      </w:pPr>
      <w:r>
        <w:rPr>
          <w:rFonts w:ascii="Times New Roman" w:hAnsi="Times New Roman" w:cs="Times New Roman"/>
          <w:bCs/>
        </w:rPr>
        <w:t>根据</w:t>
      </w:r>
      <w:r>
        <w:rPr>
          <w:rFonts w:hint="eastAsia" w:ascii="Times New Roman" w:hAnsi="Times New Roman" w:cs="Times New Roman"/>
          <w:bCs/>
        </w:rPr>
        <w:t>《中华人民共和国生态环境法典》</w:t>
      </w:r>
      <w:r>
        <w:rPr>
          <w:rFonts w:ascii="Times New Roman" w:hAnsi="Times New Roman" w:cs="Times New Roman"/>
          <w:bCs/>
        </w:rPr>
        <w:t>和《建设项目环境保护管理条例》（国务院682号令）的有关规定，</w:t>
      </w:r>
      <w:r>
        <w:t>安徽晶科能源有限公司</w:t>
      </w:r>
      <w:r>
        <w:rPr>
          <w:rFonts w:ascii="Times New Roman" w:hAnsi="Times New Roman" w:cs="Times New Roman"/>
          <w:bCs/>
        </w:rPr>
        <w:t>委托</w:t>
      </w:r>
      <w:r>
        <w:rPr>
          <w:rFonts w:hint="eastAsia" w:ascii="Times New Roman" w:hAnsi="Times New Roman" w:cs="Times New Roman"/>
          <w:bCs/>
        </w:rPr>
        <w:t>安徽应天环保科技咨询有限公司</w:t>
      </w:r>
      <w:r>
        <w:rPr>
          <w:rFonts w:ascii="Times New Roman" w:hAnsi="Times New Roman" w:cs="Times New Roman"/>
          <w:bCs/>
        </w:rPr>
        <w:t>承担</w:t>
      </w:r>
      <w:r>
        <w:rPr>
          <w:rFonts w:hint="eastAsia" w:ascii="Times New Roman" w:hAnsi="Times New Roman" w:cs="Times New Roman"/>
          <w:bCs/>
        </w:rPr>
        <w:t>项目的</w:t>
      </w:r>
      <w:r>
        <w:rPr>
          <w:rFonts w:hint="eastAsia" w:ascii="Times New Roman" w:hAnsi="Times New Roman" w:cs="Times New Roman"/>
          <w:bCs/>
          <w:lang w:val="en-US" w:eastAsia="zh-CN"/>
        </w:rPr>
        <w:t>生态</w:t>
      </w:r>
      <w:r>
        <w:rPr>
          <w:rFonts w:ascii="Times New Roman" w:hAnsi="Times New Roman" w:cs="Times New Roman"/>
          <w:bCs/>
        </w:rPr>
        <w:t>环境影响评价工作。</w:t>
      </w:r>
      <w:r>
        <w:rPr>
          <w:rFonts w:hint="eastAsia" w:ascii="Times New Roman" w:hAnsi="Times New Roman" w:cs="Times New Roman"/>
          <w:bCs/>
        </w:rPr>
        <w:t>我</w:t>
      </w:r>
      <w:r>
        <w:rPr>
          <w:rFonts w:ascii="Times New Roman" w:hAnsi="Times New Roman" w:cs="Times New Roman"/>
          <w:bCs/>
        </w:rPr>
        <w:t>单位</w:t>
      </w:r>
      <w:r>
        <w:rPr>
          <w:rFonts w:hint="eastAsia" w:ascii="Times New Roman" w:hAnsi="Times New Roman" w:cs="Times New Roman"/>
          <w:bCs/>
        </w:rPr>
        <w:t>接受</w:t>
      </w:r>
      <w:r>
        <w:rPr>
          <w:rFonts w:ascii="Times New Roman" w:hAnsi="Times New Roman" w:cs="Times New Roman"/>
          <w:bCs/>
        </w:rPr>
        <w:t>委托后，</w:t>
      </w:r>
      <w:r>
        <w:rPr>
          <w:rFonts w:hint="eastAsia" w:ascii="Times New Roman" w:hAnsi="Times New Roman" w:cs="Times New Roman"/>
          <w:bCs/>
          <w:lang w:val="en-US" w:eastAsia="zh-CN"/>
        </w:rPr>
        <w:t>通过</w:t>
      </w:r>
      <w:r>
        <w:rPr>
          <w:rFonts w:ascii="Times New Roman" w:hAnsi="Times New Roman" w:cs="Times New Roman"/>
          <w:bCs/>
        </w:rPr>
        <w:t>现场踏勘、收集资料，针对项目</w:t>
      </w:r>
      <w:r>
        <w:rPr>
          <w:rFonts w:hint="eastAsia" w:ascii="Times New Roman" w:hAnsi="Times New Roman" w:cs="Times New Roman"/>
          <w:bCs/>
          <w:lang w:val="en-US" w:eastAsia="zh-CN"/>
        </w:rPr>
        <w:t>工艺过程中污染物产生节点</w:t>
      </w:r>
      <w:r>
        <w:rPr>
          <w:rFonts w:ascii="Times New Roman" w:hAnsi="Times New Roman" w:cs="Times New Roman"/>
          <w:bCs/>
        </w:rPr>
        <w:t>，从</w:t>
      </w:r>
      <w:r>
        <w:rPr>
          <w:rFonts w:hint="eastAsia" w:ascii="Times New Roman" w:hAnsi="Times New Roman" w:cs="Times New Roman"/>
          <w:bCs/>
          <w:lang w:val="en-US" w:eastAsia="zh-CN"/>
        </w:rPr>
        <w:t>生态</w:t>
      </w:r>
      <w:r>
        <w:rPr>
          <w:rFonts w:ascii="Times New Roman" w:hAnsi="Times New Roman" w:cs="Times New Roman"/>
          <w:bCs/>
        </w:rPr>
        <w:t>环境影响角度进行分析，并对工程中</w:t>
      </w:r>
      <w:r>
        <w:rPr>
          <w:rFonts w:hint="eastAsia" w:ascii="Times New Roman" w:hAnsi="Times New Roman" w:cs="Times New Roman"/>
          <w:bCs/>
          <w:lang w:val="en-US" w:eastAsia="zh-CN"/>
        </w:rPr>
        <w:t>产生的污染物</w:t>
      </w:r>
      <w:r>
        <w:rPr>
          <w:rFonts w:ascii="Times New Roman" w:hAnsi="Times New Roman" w:cs="Times New Roman"/>
          <w:bCs/>
        </w:rPr>
        <w:t>等提出相应的</w:t>
      </w:r>
      <w:r>
        <w:rPr>
          <w:rFonts w:hint="eastAsia" w:ascii="Times New Roman" w:hAnsi="Times New Roman" w:cs="Times New Roman"/>
          <w:bCs/>
          <w:lang w:val="en-US" w:eastAsia="zh-CN"/>
        </w:rPr>
        <w:t>污染</w:t>
      </w:r>
      <w:r>
        <w:rPr>
          <w:rFonts w:ascii="Times New Roman" w:hAnsi="Times New Roman" w:cs="Times New Roman"/>
          <w:bCs/>
        </w:rPr>
        <w:t>防治对策和管理措施，尤其对工程可能带来的环境正负影响和效益进行了客观的论述，在此基础上，编制了项目的</w:t>
      </w:r>
      <w:r>
        <w:rPr>
          <w:rFonts w:hint="eastAsia" w:ascii="Times New Roman" w:hAnsi="Times New Roman" w:cs="Times New Roman"/>
          <w:bCs/>
          <w:lang w:val="en-US" w:eastAsia="zh-CN"/>
        </w:rPr>
        <w:t>生态</w:t>
      </w:r>
      <w:r>
        <w:rPr>
          <w:rFonts w:ascii="Times New Roman" w:hAnsi="Times New Roman" w:cs="Times New Roman"/>
          <w:bCs/>
        </w:rPr>
        <w:t>环境影响报告书，</w:t>
      </w:r>
      <w:r>
        <w:rPr>
          <w:rFonts w:hint="eastAsia" w:ascii="Times New Roman" w:hAnsi="Times New Roman" w:cs="Times New Roman"/>
          <w:bCs/>
        </w:rPr>
        <w:t>呈报生态环境主管部门审批</w:t>
      </w:r>
      <w:r>
        <w:rPr>
          <w:rFonts w:ascii="Times New Roman" w:hAnsi="Times New Roman" w:cs="Times New Roman"/>
          <w:bCs/>
        </w:rPr>
        <w:t>。</w:t>
      </w:r>
    </w:p>
    <w:p w14:paraId="66796C33">
      <w:pPr>
        <w:pStyle w:val="2"/>
        <w:bidi w:val="0"/>
        <w:rPr>
          <w:rFonts w:hint="default"/>
          <w:lang w:val="en-US" w:eastAsia="zh-CN"/>
        </w:rPr>
      </w:pPr>
      <w:bookmarkStart w:id="28" w:name="_Toc30131"/>
      <w:bookmarkStart w:id="29" w:name="_Toc1460"/>
      <w:r>
        <w:rPr>
          <w:rFonts w:hint="eastAsia"/>
          <w:lang w:val="en-US" w:eastAsia="zh-CN"/>
        </w:rPr>
        <w:t>1.2 建设项目特点</w:t>
      </w:r>
      <w:bookmarkEnd w:id="28"/>
    </w:p>
    <w:p w14:paraId="4DB292F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rPr>
      </w:pPr>
      <w:r>
        <w:rPr>
          <w:rFonts w:hint="default"/>
        </w:rPr>
        <w:t>项目主要从事</w:t>
      </w:r>
      <w:r>
        <w:t>太阳能电池片</w:t>
      </w:r>
      <w:r>
        <w:rPr>
          <w:rFonts w:hint="eastAsia"/>
          <w:lang w:val="en-US" w:eastAsia="zh-CN"/>
        </w:rPr>
        <w:t>的</w:t>
      </w:r>
      <w:r>
        <w:t>生产</w:t>
      </w:r>
      <w:r>
        <w:rPr>
          <w:rFonts w:hint="default"/>
        </w:rPr>
        <w:t>，特点如下：</w:t>
      </w:r>
    </w:p>
    <w:p w14:paraId="32AB373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rPr>
        <w:t>1、</w:t>
      </w:r>
      <w:r>
        <w:rPr>
          <w:rFonts w:hint="eastAsia"/>
          <w:lang w:val="en-US" w:eastAsia="zh-CN"/>
        </w:rPr>
        <w:t>根据</w:t>
      </w:r>
      <w:r>
        <w:rPr>
          <w:rFonts w:hint="default"/>
        </w:rPr>
        <w:t>《产业结构调整指导目录（2024年本）》，本项目属于鼓励类中</w:t>
      </w:r>
      <w:r>
        <w:rPr>
          <w:rFonts w:hint="eastAsia"/>
          <w:lang w:eastAsia="zh-CN"/>
        </w:rPr>
        <w:t>“</w:t>
      </w:r>
      <w:r>
        <w:rPr>
          <w:rFonts w:hint="default"/>
        </w:rPr>
        <w:t>二十八、信息产业</w:t>
      </w:r>
      <w:r>
        <w:rPr>
          <w:rFonts w:hint="default"/>
          <w:lang w:eastAsia="zh-CN"/>
        </w:rPr>
        <w:t>，</w:t>
      </w:r>
      <w:r>
        <w:rPr>
          <w:rFonts w:hint="default"/>
          <w:lang w:val="en-US" w:eastAsia="zh-CN"/>
        </w:rPr>
        <w:t>6、</w:t>
      </w:r>
      <w:r>
        <w:rPr>
          <w:rFonts w:hint="default"/>
        </w:rPr>
        <w:t>电子元器件生产专用材料</w:t>
      </w:r>
      <w:r>
        <w:rPr>
          <w:rFonts w:hint="default"/>
          <w:lang w:val="en-US" w:eastAsia="zh-CN"/>
        </w:rPr>
        <w:t>中“</w:t>
      </w:r>
      <w:r>
        <w:rPr>
          <w:rFonts w:hint="default"/>
        </w:rPr>
        <w:t>先进的各类太阳能光伏电池及高纯晶体硅材料（多晶硅的综合电耗低于65kWh/kg，单晶硅光伏电池的转换效率大于22.5%，多晶硅电池的转化效率大于21.5%，碲化镉电池的转化效率大于17%，铜铟镓硒电池转化效率大于18%）</w:t>
      </w:r>
      <w:r>
        <w:rPr>
          <w:rFonts w:hint="eastAsia"/>
          <w:lang w:eastAsia="zh-CN"/>
        </w:rPr>
        <w:t>”</w:t>
      </w:r>
      <w:r>
        <w:rPr>
          <w:rFonts w:hint="default"/>
          <w:lang w:eastAsia="zh-CN"/>
        </w:rPr>
        <w:t>，</w:t>
      </w:r>
      <w:r>
        <w:rPr>
          <w:rFonts w:hint="default"/>
        </w:rPr>
        <w:t>本项目</w:t>
      </w:r>
      <w:r>
        <w:rPr>
          <w:rFonts w:hint="eastAsia"/>
          <w:lang w:val="en-US" w:eastAsia="zh-CN"/>
        </w:rPr>
        <w:t>完成后产品</w:t>
      </w:r>
      <w:r>
        <w:rPr>
          <w:rFonts w:hint="default"/>
        </w:rPr>
        <w:t>N型TOPcon双面单晶硅太阳能电池转化效率为</w:t>
      </w:r>
      <w:r>
        <w:rPr>
          <w:rFonts w:hint="eastAsia"/>
          <w:lang w:val="en-US" w:eastAsia="zh-CN"/>
        </w:rPr>
        <w:t>26%</w:t>
      </w:r>
      <w:r>
        <w:rPr>
          <w:rFonts w:hint="default"/>
        </w:rPr>
        <w:t>，为鼓励类项目</w:t>
      </w:r>
      <w:r>
        <w:rPr>
          <w:rFonts w:hint="default"/>
          <w:lang w:val="en-US" w:eastAsia="zh-CN"/>
        </w:rPr>
        <w:t>。</w:t>
      </w:r>
    </w:p>
    <w:p w14:paraId="5F38E7DC">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rPr>
      </w:pPr>
      <w:r>
        <w:rPr>
          <w:rFonts w:hint="default"/>
        </w:rPr>
        <w:t>2、项目位于</w:t>
      </w:r>
      <w:r>
        <w:rPr>
          <w:rFonts w:hint="default" w:ascii="Times New Roman" w:hAnsi="Times New Roman" w:eastAsia="宋体" w:cs="Times New Roman"/>
          <w:color w:val="auto"/>
          <w:sz w:val="24"/>
          <w:szCs w:val="24"/>
        </w:rPr>
        <w:t>合肥循环经济示范园龙兴大道与乳泉路交口东北角</w:t>
      </w:r>
      <w:r>
        <w:rPr>
          <w:rFonts w:hint="default"/>
        </w:rPr>
        <w:t>，</w:t>
      </w:r>
      <w:r>
        <w:rPr>
          <w:rFonts w:hint="default" w:ascii="Times New Roman" w:hAnsi="Times New Roman" w:eastAsia="宋体" w:cs="Times New Roman"/>
          <w:color w:val="auto"/>
          <w:sz w:val="24"/>
          <w:szCs w:val="24"/>
        </w:rPr>
        <w:t>根据《合肥循环经济示范园总体发展规划》（2022-2035年）</w:t>
      </w:r>
      <w:r>
        <w:rPr>
          <w:rFonts w:hint="default"/>
          <w:lang w:eastAsia="zh-CN"/>
        </w:rPr>
        <w:t>，</w:t>
      </w:r>
      <w:r>
        <w:rPr>
          <w:rFonts w:hint="default" w:ascii="Times New Roman" w:hAnsi="Times New Roman" w:eastAsia="宋体" w:cs="Times New Roman"/>
          <w:color w:val="auto"/>
          <w:sz w:val="24"/>
          <w:szCs w:val="24"/>
        </w:rPr>
        <w:t>规划主导产业</w:t>
      </w:r>
      <w:r>
        <w:rPr>
          <w:rFonts w:hint="eastAsia" w:ascii="Times New Roman" w:hAnsi="Times New Roman" w:eastAsia="宋体" w:cs="Times New Roman"/>
          <w:color w:val="auto"/>
          <w:sz w:val="24"/>
          <w:szCs w:val="24"/>
          <w:lang w:val="en-US" w:eastAsia="zh-CN"/>
        </w:rPr>
        <w:t>为</w:t>
      </w:r>
      <w:r>
        <w:rPr>
          <w:rFonts w:hint="default" w:ascii="Times New Roman" w:hAnsi="Times New Roman" w:eastAsia="宋体" w:cs="Times New Roman"/>
          <w:color w:val="auto"/>
          <w:sz w:val="24"/>
          <w:szCs w:val="24"/>
        </w:rPr>
        <w:t>新材料产业、智能产业、高端装备制造业、现代物流业，积极发展机械加工产业、静脉产业、现代农业和智慧城市产业。对于新材料产业，紧紧把握国家产业发展趋势，结合园区产业基础和区域资源优势，积极培育绿色化工、新型金属材料、新型能源材料和新型建筑材料四大特色新材料产业</w:t>
      </w:r>
      <w:r>
        <w:rPr>
          <w:rFonts w:hint="default"/>
          <w:lang w:eastAsia="zh-CN"/>
        </w:rPr>
        <w:t>。</w:t>
      </w:r>
      <w:r>
        <w:rPr>
          <w:rFonts w:hint="default"/>
          <w:lang w:val="en-US" w:eastAsia="zh-CN"/>
        </w:rPr>
        <w:t>本</w:t>
      </w:r>
      <w:r>
        <w:rPr>
          <w:rFonts w:hint="default"/>
        </w:rPr>
        <w:t>项目</w:t>
      </w:r>
      <w:r>
        <w:rPr>
          <w:rFonts w:hint="eastAsia"/>
          <w:lang w:val="en-US" w:eastAsia="zh-CN"/>
        </w:rPr>
        <w:t>行业类别为</w:t>
      </w:r>
      <w:r>
        <w:t>光伏设备及元器件制造 C3825</w:t>
      </w:r>
      <w:r>
        <w:rPr>
          <w:rFonts w:hint="default"/>
        </w:rPr>
        <w:t>，属于</w:t>
      </w:r>
      <w:r>
        <w:rPr>
          <w:rFonts w:hint="default" w:ascii="Times New Roman" w:hAnsi="Times New Roman" w:eastAsia="宋体" w:cs="Times New Roman"/>
          <w:color w:val="auto"/>
          <w:sz w:val="24"/>
          <w:szCs w:val="24"/>
        </w:rPr>
        <w:t>新材料产业</w:t>
      </w:r>
      <w:r>
        <w:rPr>
          <w:rFonts w:hint="default"/>
        </w:rPr>
        <w:t>，符合园区的主导产业定位</w:t>
      </w:r>
      <w:r>
        <w:rPr>
          <w:rFonts w:hint="default"/>
          <w:lang w:val="en-US" w:eastAsia="zh-CN"/>
        </w:rPr>
        <w:t>。</w:t>
      </w:r>
    </w:p>
    <w:p w14:paraId="73206150">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rPr>
      </w:pPr>
      <w:r>
        <w:rPr>
          <w:rFonts w:hint="default"/>
        </w:rPr>
        <w:t>3、项目</w:t>
      </w:r>
      <w:r>
        <w:rPr>
          <w:rFonts w:hint="default"/>
          <w:lang w:val="en-US" w:eastAsia="zh-CN"/>
        </w:rPr>
        <w:t>工艺过程中产生的污染物，主要污染源如产噪设施采取减振、隔声措施，</w:t>
      </w:r>
      <w:r>
        <w:rPr>
          <w:rFonts w:hint="default"/>
        </w:rPr>
        <w:t>废水、废气等污染物采取分类收集、分质处理</w:t>
      </w:r>
      <w:r>
        <w:rPr>
          <w:rFonts w:hint="default"/>
          <w:lang w:val="en-US" w:eastAsia="zh-CN"/>
        </w:rPr>
        <w:t>原则</w:t>
      </w:r>
      <w:r>
        <w:rPr>
          <w:rFonts w:hint="default"/>
          <w:lang w:eastAsia="zh-CN"/>
        </w:rPr>
        <w:t>，</w:t>
      </w:r>
      <w:r>
        <w:rPr>
          <w:rFonts w:hint="default"/>
          <w:lang w:val="en-US" w:eastAsia="zh-CN"/>
        </w:rPr>
        <w:t>一般工业固体废物和</w:t>
      </w:r>
      <w:r>
        <w:rPr>
          <w:rFonts w:hint="default"/>
        </w:rPr>
        <w:t>危险废物</w:t>
      </w:r>
      <w:r>
        <w:rPr>
          <w:rFonts w:hint="default"/>
          <w:lang w:val="en-US" w:eastAsia="zh-CN"/>
        </w:rPr>
        <w:t>规范化暂存和</w:t>
      </w:r>
      <w:r>
        <w:rPr>
          <w:rFonts w:hint="default"/>
        </w:rPr>
        <w:t>处置</w:t>
      </w:r>
      <w:r>
        <w:rPr>
          <w:rFonts w:hint="default"/>
          <w:lang w:val="en-US" w:eastAsia="zh-CN"/>
        </w:rPr>
        <w:t>等。</w:t>
      </w:r>
      <w:r>
        <w:rPr>
          <w:rFonts w:hint="default"/>
        </w:rPr>
        <w:t>污染防治措施满足《排污许可申请与核发技术规范 电池工业》（HJ</w:t>
      </w:r>
      <w:r>
        <w:rPr>
          <w:rFonts w:hint="eastAsia"/>
          <w:lang w:val="en-US" w:eastAsia="zh-CN"/>
        </w:rPr>
        <w:t xml:space="preserve"> </w:t>
      </w:r>
      <w:r>
        <w:rPr>
          <w:rFonts w:hint="default"/>
        </w:rPr>
        <w:t>967-2018）等技术政策要求</w:t>
      </w:r>
      <w:r>
        <w:rPr>
          <w:rFonts w:hint="default"/>
          <w:lang w:eastAsia="zh-CN"/>
        </w:rPr>
        <w:t>。</w:t>
      </w:r>
      <w:r>
        <w:rPr>
          <w:rFonts w:hint="default"/>
          <w:lang w:val="en-US" w:eastAsia="zh-CN"/>
        </w:rPr>
        <w:t>地下水和土壤通过分别采取</w:t>
      </w:r>
      <w:r>
        <w:rPr>
          <w:rFonts w:hint="eastAsia"/>
          <w:lang w:val="en-US" w:eastAsia="zh-CN"/>
        </w:rPr>
        <w:t>“</w:t>
      </w:r>
      <w:r>
        <w:rPr>
          <w:rFonts w:hint="default"/>
          <w:lang w:val="en-US" w:eastAsia="zh-CN"/>
        </w:rPr>
        <w:t>源头控制、过程防控和跟踪监测等</w:t>
      </w:r>
      <w:r>
        <w:rPr>
          <w:rFonts w:hint="eastAsia"/>
          <w:lang w:val="en-US" w:eastAsia="zh-CN"/>
        </w:rPr>
        <w:t>”</w:t>
      </w:r>
      <w:r>
        <w:rPr>
          <w:rFonts w:hint="default"/>
          <w:lang w:val="en-US" w:eastAsia="zh-CN"/>
        </w:rPr>
        <w:t>措施，</w:t>
      </w:r>
      <w:r>
        <w:rPr>
          <w:rFonts w:hint="default"/>
        </w:rPr>
        <w:t>防止非正常情况下对</w:t>
      </w:r>
      <w:r>
        <w:rPr>
          <w:rFonts w:hint="default"/>
          <w:lang w:val="en-US" w:eastAsia="zh-CN"/>
        </w:rPr>
        <w:t>地下水和</w:t>
      </w:r>
      <w:r>
        <w:rPr>
          <w:rFonts w:hint="default"/>
        </w:rPr>
        <w:t>土壤造成污染</w:t>
      </w:r>
      <w:r>
        <w:rPr>
          <w:rFonts w:hint="default"/>
          <w:lang w:eastAsia="zh-CN"/>
        </w:rPr>
        <w:t>。</w:t>
      </w:r>
      <w:r>
        <w:rPr>
          <w:rFonts w:hint="default"/>
          <w:lang w:val="en-US" w:eastAsia="zh-CN"/>
        </w:rPr>
        <w:t>企业通过建立完善的环境风险事故应急措施和管理机构以及有效的</w:t>
      </w:r>
      <w:r>
        <w:rPr>
          <w:rFonts w:hint="eastAsia"/>
          <w:lang w:val="en-US" w:eastAsia="zh-CN"/>
        </w:rPr>
        <w:t>“</w:t>
      </w:r>
      <w:r>
        <w:rPr>
          <w:rFonts w:hint="default"/>
          <w:lang w:val="en-US" w:eastAsia="zh-CN"/>
        </w:rPr>
        <w:t>单元-厂区-园区</w:t>
      </w:r>
      <w:r>
        <w:rPr>
          <w:rFonts w:hint="eastAsia"/>
          <w:lang w:val="en-US" w:eastAsia="zh-CN"/>
        </w:rPr>
        <w:t>”</w:t>
      </w:r>
      <w:r>
        <w:rPr>
          <w:rFonts w:hint="default"/>
          <w:lang w:val="en-US" w:eastAsia="zh-CN"/>
        </w:rPr>
        <w:t>三级防控措施，可有效预防和拦截泄露造成的事故影响。</w:t>
      </w:r>
    </w:p>
    <w:p w14:paraId="2D1E830B">
      <w:pPr>
        <w:pStyle w:val="2"/>
        <w:bidi w:val="0"/>
      </w:pPr>
      <w:bookmarkStart w:id="30" w:name="_Toc23619"/>
      <w:r>
        <w:rPr>
          <w:rFonts w:hint="default"/>
        </w:rPr>
        <w:t>1.</w:t>
      </w:r>
      <w:r>
        <w:rPr>
          <w:rFonts w:hint="eastAsia"/>
          <w:lang w:val="en-US" w:eastAsia="zh-CN"/>
        </w:rPr>
        <w:t>3</w:t>
      </w:r>
      <w:r>
        <w:rPr>
          <w:rFonts w:hint="default"/>
        </w:rPr>
        <w:t xml:space="preserve"> </w:t>
      </w:r>
      <w:bookmarkEnd w:id="29"/>
      <w:r>
        <w:rPr>
          <w:rFonts w:hint="default"/>
          <w:lang w:val="en-US" w:eastAsia="zh-CN"/>
        </w:rPr>
        <w:t>生态</w:t>
      </w:r>
      <w:r>
        <w:rPr>
          <w:rFonts w:hint="default"/>
        </w:rPr>
        <w:t>环境影响评价的工作过程</w:t>
      </w:r>
      <w:bookmarkEnd w:id="30"/>
    </w:p>
    <w:p w14:paraId="7F0C402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rPr>
        <w:t>在接受建设单位委托后</w:t>
      </w:r>
      <w:r>
        <w:rPr>
          <w:rFonts w:hint="default" w:ascii="Times New Roman" w:hAnsi="Times New Roman" w:cs="Times New Roman"/>
          <w:color w:val="auto"/>
          <w:lang w:eastAsia="zh-CN"/>
        </w:rPr>
        <w:t>，</w:t>
      </w:r>
      <w:r>
        <w:rPr>
          <w:rFonts w:hint="default" w:ascii="Times New Roman" w:hAnsi="Times New Roman" w:eastAsia="宋体" w:cs="Times New Roman"/>
          <w:color w:val="auto"/>
        </w:rPr>
        <w:t>评价单位首先研究了相关的</w:t>
      </w:r>
      <w:r>
        <w:rPr>
          <w:rFonts w:hint="eastAsia" w:cs="Times New Roman"/>
          <w:color w:val="auto"/>
          <w:lang w:eastAsia="zh-CN"/>
        </w:rPr>
        <w:t>法律法规</w:t>
      </w:r>
      <w:r>
        <w:rPr>
          <w:rFonts w:hint="default" w:ascii="Times New Roman" w:hAnsi="Times New Roman" w:eastAsia="宋体" w:cs="Times New Roman"/>
          <w:color w:val="auto"/>
        </w:rPr>
        <w:t>及规划</w:t>
      </w:r>
      <w:r>
        <w:rPr>
          <w:rFonts w:hint="default" w:ascii="Times New Roman" w:hAnsi="Times New Roman" w:cs="Times New Roman"/>
          <w:color w:val="auto"/>
          <w:lang w:eastAsia="zh-CN"/>
        </w:rPr>
        <w:t>，</w:t>
      </w:r>
      <w:r>
        <w:rPr>
          <w:rFonts w:hint="default" w:ascii="Times New Roman" w:hAnsi="Times New Roman" w:eastAsia="宋体" w:cs="Times New Roman"/>
          <w:color w:val="auto"/>
        </w:rPr>
        <w:t>确定评价文件类型。其次开展初步的现场调查及资料收集</w:t>
      </w:r>
      <w:r>
        <w:rPr>
          <w:rFonts w:hint="default" w:ascii="Times New Roman" w:hAnsi="Times New Roman" w:cs="Times New Roman"/>
          <w:color w:val="auto"/>
          <w:lang w:eastAsia="zh-CN"/>
        </w:rPr>
        <w:t>，</w:t>
      </w:r>
      <w:r>
        <w:rPr>
          <w:rFonts w:hint="default" w:ascii="Times New Roman" w:hAnsi="Times New Roman" w:eastAsia="宋体" w:cs="Times New Roman"/>
          <w:color w:val="auto"/>
        </w:rPr>
        <w:t>根据建设单位提供的资料</w:t>
      </w:r>
      <w:r>
        <w:rPr>
          <w:rFonts w:hint="default" w:ascii="Times New Roman" w:hAnsi="Times New Roman" w:cs="Times New Roman"/>
          <w:color w:val="auto"/>
          <w:lang w:eastAsia="zh-CN"/>
        </w:rPr>
        <w:t>，</w:t>
      </w:r>
      <w:r>
        <w:rPr>
          <w:rFonts w:hint="default" w:ascii="Times New Roman" w:hAnsi="Times New Roman" w:eastAsia="宋体" w:cs="Times New Roman"/>
          <w:color w:val="auto"/>
        </w:rPr>
        <w:t>进行初步的工程分析</w:t>
      </w:r>
      <w:r>
        <w:rPr>
          <w:rFonts w:hint="default" w:ascii="Times New Roman" w:hAnsi="Times New Roman" w:cs="Times New Roman"/>
          <w:color w:val="auto"/>
          <w:lang w:eastAsia="zh-CN"/>
        </w:rPr>
        <w:t>，</w:t>
      </w:r>
      <w:r>
        <w:rPr>
          <w:rFonts w:hint="default" w:ascii="Times New Roman" w:hAnsi="Times New Roman" w:eastAsia="宋体" w:cs="Times New Roman"/>
          <w:color w:val="auto"/>
        </w:rPr>
        <w:t>确定评价重点</w:t>
      </w:r>
      <w:r>
        <w:rPr>
          <w:rFonts w:hint="default" w:ascii="Times New Roman" w:hAnsi="Times New Roman" w:cs="Times New Roman"/>
          <w:color w:val="auto"/>
          <w:lang w:eastAsia="zh-CN"/>
        </w:rPr>
        <w:t>，</w:t>
      </w:r>
      <w:r>
        <w:rPr>
          <w:rFonts w:hint="default" w:ascii="Times New Roman" w:hAnsi="Times New Roman" w:eastAsia="宋体" w:cs="Times New Roman"/>
          <w:color w:val="auto"/>
        </w:rPr>
        <w:t>制定工作方案</w:t>
      </w:r>
      <w:r>
        <w:rPr>
          <w:rFonts w:hint="default" w:ascii="Times New Roman" w:hAnsi="Times New Roman" w:cs="Times New Roman"/>
          <w:color w:val="auto"/>
          <w:lang w:eastAsia="zh-CN"/>
        </w:rPr>
        <w:t>，</w:t>
      </w:r>
      <w:r>
        <w:rPr>
          <w:rFonts w:hint="default" w:ascii="Times New Roman" w:hAnsi="Times New Roman" w:eastAsia="宋体" w:cs="Times New Roman"/>
          <w:color w:val="auto"/>
        </w:rPr>
        <w:t>安排进一步环境现状详查及环境现状监测</w:t>
      </w:r>
      <w:r>
        <w:rPr>
          <w:rFonts w:hint="default" w:ascii="Times New Roman" w:hAnsi="Times New Roman" w:cs="Times New Roman"/>
          <w:color w:val="auto"/>
          <w:lang w:eastAsia="zh-CN"/>
        </w:rPr>
        <w:t>，</w:t>
      </w:r>
      <w:r>
        <w:rPr>
          <w:rFonts w:hint="default" w:ascii="Times New Roman" w:hAnsi="Times New Roman" w:eastAsia="宋体" w:cs="Times New Roman"/>
          <w:color w:val="auto"/>
        </w:rPr>
        <w:t>在资料收集完成后</w:t>
      </w:r>
      <w:r>
        <w:rPr>
          <w:rFonts w:hint="default" w:ascii="Times New Roman" w:hAnsi="Times New Roman" w:cs="Times New Roman"/>
          <w:color w:val="auto"/>
          <w:lang w:eastAsia="zh-CN"/>
        </w:rPr>
        <w:t>，</w:t>
      </w:r>
      <w:r>
        <w:rPr>
          <w:rFonts w:hint="default" w:ascii="Times New Roman" w:hAnsi="Times New Roman" w:eastAsia="宋体" w:cs="Times New Roman"/>
          <w:color w:val="auto"/>
        </w:rPr>
        <w:t>进行各专题分析</w:t>
      </w:r>
      <w:r>
        <w:rPr>
          <w:rFonts w:hint="default" w:ascii="Times New Roman" w:hAnsi="Times New Roman" w:cs="Times New Roman"/>
          <w:color w:val="auto"/>
          <w:lang w:eastAsia="zh-CN"/>
        </w:rPr>
        <w:t>，</w:t>
      </w:r>
      <w:r>
        <w:rPr>
          <w:rFonts w:hint="default" w:ascii="Times New Roman" w:hAnsi="Times New Roman" w:eastAsia="宋体" w:cs="Times New Roman"/>
          <w:color w:val="auto"/>
        </w:rPr>
        <w:t>提出环保措施并进行技术经济论证</w:t>
      </w:r>
      <w:r>
        <w:rPr>
          <w:rFonts w:hint="default" w:ascii="Times New Roman" w:hAnsi="Times New Roman" w:cs="Times New Roman"/>
          <w:color w:val="auto"/>
          <w:lang w:eastAsia="zh-CN"/>
        </w:rPr>
        <w:t>，</w:t>
      </w:r>
      <w:r>
        <w:rPr>
          <w:rFonts w:hint="default" w:ascii="Times New Roman" w:hAnsi="Times New Roman" w:eastAsia="宋体" w:cs="Times New Roman"/>
          <w:color w:val="auto"/>
        </w:rPr>
        <w:t>最终形成环评文件。</w:t>
      </w:r>
    </w:p>
    <w:p w14:paraId="64117CF5">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rFonts w:hint="eastAsia"/>
          <w:color w:val="auto"/>
        </w:rPr>
        <w:t>◆</w:t>
      </w:r>
      <w:r>
        <w:rPr>
          <w:color w:val="auto"/>
        </w:rPr>
        <w:t>2</w:t>
      </w:r>
      <w:r>
        <w:rPr>
          <w:rFonts w:hint="eastAsia"/>
          <w:color w:val="auto"/>
          <w:lang w:val="en-US" w:eastAsia="zh-CN"/>
        </w:rPr>
        <w:t>026</w:t>
      </w:r>
      <w:r>
        <w:rPr>
          <w:color w:val="auto"/>
        </w:rPr>
        <w:t>年</w:t>
      </w:r>
      <w:r>
        <w:rPr>
          <w:rFonts w:hint="eastAsia"/>
          <w:color w:val="auto"/>
          <w:lang w:val="en-US" w:eastAsia="zh-CN"/>
        </w:rPr>
        <w:t>6</w:t>
      </w:r>
      <w:r>
        <w:rPr>
          <w:color w:val="auto"/>
        </w:rPr>
        <w:t>月</w:t>
      </w:r>
      <w:r>
        <w:rPr>
          <w:rFonts w:hint="eastAsia"/>
          <w:color w:val="auto"/>
          <w:lang w:val="en-US" w:eastAsia="zh-CN"/>
        </w:rPr>
        <w:t>15</w:t>
      </w:r>
      <w:r>
        <w:rPr>
          <w:color w:val="auto"/>
        </w:rPr>
        <w:t>日，</w:t>
      </w:r>
      <w:r>
        <w:rPr>
          <w:rFonts w:hint="eastAsia"/>
          <w:color w:val="auto"/>
        </w:rPr>
        <w:t>安徽</w:t>
      </w:r>
      <w:r>
        <w:rPr>
          <w:rFonts w:hint="eastAsia"/>
          <w:color w:val="auto"/>
          <w:lang w:val="en-US" w:eastAsia="zh-CN"/>
        </w:rPr>
        <w:t>应天环保科技咨询有限</w:t>
      </w:r>
      <w:r>
        <w:rPr>
          <w:rFonts w:hint="eastAsia"/>
          <w:color w:val="auto"/>
        </w:rPr>
        <w:t>公司</w:t>
      </w:r>
      <w:r>
        <w:rPr>
          <w:color w:val="auto"/>
        </w:rPr>
        <w:t>受安徽晶科能源有限公司委托，承担《安徽晶科能源有限公司</w:t>
      </w:r>
      <w:r>
        <w:rPr>
          <w:rFonts w:hint="eastAsia"/>
          <w:color w:val="auto"/>
          <w:lang w:val="en-US" w:eastAsia="zh-CN"/>
        </w:rPr>
        <w:t>高效太阳能电池片FP提效改造一期</w:t>
      </w:r>
      <w:r>
        <w:rPr>
          <w:color w:val="auto"/>
        </w:rPr>
        <w:t>项目环境影响评价报告书》编制工作；</w:t>
      </w:r>
    </w:p>
    <w:p w14:paraId="0AB09D37">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rFonts w:hint="eastAsia"/>
          <w:color w:val="auto"/>
        </w:rPr>
        <w:t>◆</w:t>
      </w:r>
      <w:r>
        <w:rPr>
          <w:color w:val="auto"/>
        </w:rPr>
        <w:t>202</w:t>
      </w:r>
      <w:r>
        <w:rPr>
          <w:rFonts w:hint="eastAsia"/>
          <w:color w:val="auto"/>
          <w:lang w:val="en-US" w:eastAsia="zh-CN"/>
        </w:rPr>
        <w:t>6</w:t>
      </w:r>
      <w:r>
        <w:rPr>
          <w:color w:val="auto"/>
        </w:rPr>
        <w:t>年</w:t>
      </w:r>
      <w:r>
        <w:rPr>
          <w:rFonts w:hint="eastAsia"/>
          <w:color w:val="auto"/>
          <w:lang w:val="en-US" w:eastAsia="zh-CN"/>
        </w:rPr>
        <w:t>6</w:t>
      </w:r>
      <w:r>
        <w:rPr>
          <w:color w:val="auto"/>
        </w:rPr>
        <w:t>月</w:t>
      </w:r>
      <w:r>
        <w:rPr>
          <w:rFonts w:hint="eastAsia" w:ascii="Times New Roman" w:hAnsi="Times New Roman" w:cs="Times New Roman"/>
          <w:color w:val="auto"/>
          <w:lang w:val="en-US" w:eastAsia="zh-CN"/>
        </w:rPr>
        <w:t>16</w:t>
      </w:r>
      <w:r>
        <w:rPr>
          <w:rFonts w:hint="default" w:ascii="Times New Roman" w:hAnsi="Times New Roman" w:cs="Times New Roman"/>
          <w:color w:val="auto"/>
        </w:rPr>
        <w:t>日</w:t>
      </w:r>
      <w:r>
        <w:rPr>
          <w:color w:val="auto"/>
        </w:rPr>
        <w:t>，根据《环境影响评价公众参与办法》</w:t>
      </w:r>
      <w:r>
        <w:rPr>
          <w:rFonts w:hint="eastAsia"/>
          <w:color w:val="auto"/>
          <w:lang w:eastAsia="zh-CN"/>
        </w:rPr>
        <w:t>，在</w:t>
      </w:r>
      <w:r>
        <w:rPr>
          <w:color w:val="auto"/>
        </w:rPr>
        <w:t>接受环评委托后7日内，在</w:t>
      </w:r>
      <w:r>
        <w:rPr>
          <w:rFonts w:hint="eastAsia"/>
          <w:color w:val="auto"/>
          <w:lang w:val="en-US" w:eastAsia="zh-CN"/>
        </w:rPr>
        <w:t>合肥市肥东县人民政府网站</w:t>
      </w:r>
      <w:r>
        <w:rPr>
          <w:color w:val="auto"/>
        </w:rPr>
        <w:t>上发布项目环评第一次公示</w:t>
      </w:r>
      <w:r>
        <w:rPr>
          <w:rFonts w:hint="eastAsia"/>
          <w:color w:val="auto"/>
          <w:lang w:eastAsia="zh-CN"/>
        </w:rPr>
        <w:t>（https://www.feidong.gov.cn/public/14341/112596296.html）</w:t>
      </w:r>
      <w:r>
        <w:rPr>
          <w:color w:val="auto"/>
        </w:rPr>
        <w:t>；</w:t>
      </w:r>
    </w:p>
    <w:p w14:paraId="569B3BBD">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rFonts w:hint="eastAsia"/>
          <w:color w:val="auto"/>
        </w:rPr>
        <w:t>◆</w:t>
      </w:r>
      <w:r>
        <w:rPr>
          <w:color w:val="auto"/>
        </w:rPr>
        <w:t>202</w:t>
      </w:r>
      <w:r>
        <w:rPr>
          <w:rFonts w:hint="eastAsia"/>
          <w:color w:val="auto"/>
          <w:lang w:val="en-US" w:eastAsia="zh-CN"/>
        </w:rPr>
        <w:t>6</w:t>
      </w:r>
      <w:r>
        <w:rPr>
          <w:color w:val="auto"/>
        </w:rPr>
        <w:t>年</w:t>
      </w:r>
      <w:r>
        <w:rPr>
          <w:rFonts w:hint="eastAsia"/>
          <w:color w:val="auto"/>
          <w:lang w:val="en-US" w:eastAsia="zh-CN"/>
        </w:rPr>
        <w:t>6</w:t>
      </w:r>
      <w:r>
        <w:rPr>
          <w:color w:val="auto"/>
        </w:rPr>
        <w:t>月</w:t>
      </w:r>
      <w:r>
        <w:rPr>
          <w:rFonts w:hint="eastAsia"/>
          <w:color w:val="auto"/>
          <w:lang w:val="en-US" w:eastAsia="zh-CN"/>
        </w:rPr>
        <w:t>下旬</w:t>
      </w:r>
      <w:r>
        <w:rPr>
          <w:color w:val="auto"/>
        </w:rPr>
        <w:t>，</w:t>
      </w:r>
      <w:r>
        <w:rPr>
          <w:rFonts w:ascii="Times New Roman" w:hAnsi="Times New Roman" w:cs="Times New Roman"/>
          <w:bCs/>
        </w:rPr>
        <w:t>根据</w:t>
      </w:r>
      <w:r>
        <w:rPr>
          <w:rFonts w:ascii="Times New Roman" w:hAnsi="Times New Roman" w:cs="Times New Roman"/>
        </w:rPr>
        <w:t>项目可行性研究报告</w:t>
      </w:r>
      <w:r>
        <w:rPr>
          <w:rFonts w:ascii="Times New Roman" w:hAnsi="Times New Roman" w:cs="Times New Roman"/>
          <w:bCs/>
        </w:rPr>
        <w:t>及项目单位提供的其他技术资料进行工程分析，确定评价思路、评价重点及各环境要素评价等级</w:t>
      </w:r>
      <w:r>
        <w:rPr>
          <w:color w:val="auto"/>
        </w:rPr>
        <w:t>；</w:t>
      </w:r>
    </w:p>
    <w:p w14:paraId="4E18EF8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color w:val="auto"/>
          <w:lang w:val="en-US"/>
        </w:rPr>
      </w:pPr>
      <w:r>
        <w:rPr>
          <w:rFonts w:hint="eastAsia"/>
          <w:color w:val="auto"/>
        </w:rPr>
        <w:t>◆</w:t>
      </w:r>
      <w:r>
        <w:rPr>
          <w:rFonts w:hint="eastAsia"/>
          <w:color w:val="auto"/>
          <w:lang w:val="en-US" w:eastAsia="zh-CN"/>
        </w:rPr>
        <w:t>2026年7月上旬，</w:t>
      </w:r>
      <w:r>
        <w:rPr>
          <w:rFonts w:hint="eastAsia" w:ascii="Times New Roman" w:hAnsi="Times New Roman" w:cs="Times New Roman"/>
          <w:bCs/>
          <w:lang w:val="en-US" w:eastAsia="zh-CN"/>
        </w:rPr>
        <w:t>项目所在区域环境环境质量现状调查</w:t>
      </w:r>
      <w:r>
        <w:rPr>
          <w:rFonts w:hint="eastAsia" w:cs="Times New Roman"/>
          <w:bCs/>
          <w:lang w:val="en-US" w:eastAsia="zh-CN"/>
        </w:rPr>
        <w:t>；</w:t>
      </w:r>
    </w:p>
    <w:p w14:paraId="62C0B59B">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eastAsia="宋体"/>
          <w:lang w:val="en-US" w:eastAsia="zh-CN"/>
        </w:rPr>
      </w:pPr>
      <w:r>
        <w:rPr>
          <w:rFonts w:hint="eastAsia"/>
          <w:color w:val="auto"/>
        </w:rPr>
        <w:t>◆</w:t>
      </w:r>
      <w:r>
        <w:rPr>
          <w:rFonts w:hint="eastAsia"/>
          <w:color w:val="auto"/>
          <w:lang w:val="en-US" w:eastAsia="zh-CN"/>
        </w:rPr>
        <w:t>2026年7月22日，</w:t>
      </w:r>
      <w:r>
        <w:rPr>
          <w:rFonts w:ascii="Times New Roman" w:hAnsi="Times New Roman" w:cs="Times New Roman"/>
          <w:bCs/>
          <w:color w:val="auto"/>
        </w:rPr>
        <w:t>项目环评征求意见稿在</w:t>
      </w:r>
      <w:r>
        <w:rPr>
          <w:rFonts w:hint="eastAsia"/>
          <w:color w:val="auto"/>
          <w:lang w:val="en-US" w:eastAsia="zh-CN"/>
        </w:rPr>
        <w:t>合肥市肥东县人民政府网站</w:t>
      </w:r>
      <w:r>
        <w:rPr>
          <w:rFonts w:ascii="Times New Roman" w:hAnsi="Times New Roman" w:cs="Times New Roman"/>
          <w:bCs/>
          <w:color w:val="auto"/>
        </w:rPr>
        <w:t>上发布</w:t>
      </w:r>
      <w:r>
        <w:rPr>
          <w:rFonts w:hint="eastAsia" w:ascii="Times New Roman" w:hAnsi="Times New Roman" w:cs="Times New Roman"/>
          <w:bCs/>
          <w:color w:val="auto"/>
        </w:rPr>
        <w:t>（https://www.feidong.gov.cn/public/14341/112596329.html）</w:t>
      </w:r>
      <w:r>
        <w:rPr>
          <w:rFonts w:hint="eastAsia" w:ascii="Times New Roman" w:hAnsi="Times New Roman" w:cs="Times New Roman"/>
          <w:bCs/>
          <w:color w:val="auto"/>
          <w:lang w:eastAsia="zh-CN"/>
        </w:rPr>
        <w:t>；</w:t>
      </w:r>
      <w:r>
        <w:rPr>
          <w:rFonts w:hint="default" w:ascii="Times New Roman" w:hAnsi="Times New Roman" w:cs="Times New Roman"/>
          <w:color w:val="auto"/>
          <w:kern w:val="0"/>
          <w:sz w:val="24"/>
          <w:lang w:eastAsia="zh-CN"/>
        </w:rPr>
        <w:t>202</w:t>
      </w:r>
      <w:r>
        <w:rPr>
          <w:rFonts w:hint="eastAsia" w:cs="Times New Roman"/>
          <w:color w:val="auto"/>
          <w:kern w:val="0"/>
          <w:sz w:val="24"/>
          <w:lang w:val="en-US" w:eastAsia="zh-CN"/>
        </w:rPr>
        <w:t>6</w:t>
      </w:r>
      <w:r>
        <w:rPr>
          <w:rFonts w:hint="default" w:ascii="Times New Roman" w:hAnsi="Times New Roman" w:cs="Times New Roman"/>
          <w:color w:val="auto"/>
          <w:kern w:val="0"/>
          <w:sz w:val="24"/>
          <w:lang w:eastAsia="zh-CN"/>
        </w:rPr>
        <w:t>年</w:t>
      </w:r>
      <w:r>
        <w:rPr>
          <w:rFonts w:hint="eastAsia" w:cs="Times New Roman"/>
          <w:color w:val="auto"/>
          <w:kern w:val="0"/>
          <w:sz w:val="24"/>
          <w:lang w:val="en-US" w:eastAsia="zh-CN"/>
        </w:rPr>
        <w:t>7</w:t>
      </w:r>
      <w:r>
        <w:rPr>
          <w:rFonts w:hint="default" w:ascii="Times New Roman" w:hAnsi="Times New Roman" w:cs="Times New Roman"/>
          <w:color w:val="auto"/>
          <w:kern w:val="0"/>
          <w:sz w:val="24"/>
          <w:lang w:eastAsia="zh-CN"/>
        </w:rPr>
        <w:t>月</w:t>
      </w:r>
      <w:r>
        <w:rPr>
          <w:rFonts w:hint="eastAsia" w:cs="Times New Roman"/>
          <w:color w:val="auto"/>
          <w:kern w:val="0"/>
          <w:sz w:val="24"/>
          <w:lang w:val="en-US" w:eastAsia="zh-CN"/>
        </w:rPr>
        <w:t>24</w:t>
      </w:r>
      <w:r>
        <w:rPr>
          <w:rFonts w:hint="default" w:ascii="Times New Roman" w:hAnsi="Times New Roman" w:cs="Times New Roman"/>
          <w:color w:val="auto"/>
          <w:kern w:val="0"/>
          <w:sz w:val="24"/>
          <w:lang w:eastAsia="zh-CN"/>
        </w:rPr>
        <w:t>日</w:t>
      </w:r>
      <w:r>
        <w:rPr>
          <w:rFonts w:hint="default" w:ascii="Times New Roman" w:hAnsi="Times New Roman" w:cs="Times New Roman"/>
          <w:color w:val="auto"/>
          <w:kern w:val="0"/>
          <w:sz w:val="24"/>
        </w:rPr>
        <w:t>和</w:t>
      </w:r>
      <w:r>
        <w:rPr>
          <w:rFonts w:hint="default" w:ascii="Times New Roman" w:hAnsi="Times New Roman" w:cs="Times New Roman"/>
          <w:color w:val="auto"/>
          <w:kern w:val="0"/>
          <w:sz w:val="24"/>
          <w:lang w:val="en-US" w:eastAsia="zh-CN"/>
        </w:rPr>
        <w:t>202</w:t>
      </w:r>
      <w:r>
        <w:rPr>
          <w:rFonts w:hint="eastAsia" w:cs="Times New Roman"/>
          <w:color w:val="auto"/>
          <w:kern w:val="0"/>
          <w:sz w:val="24"/>
          <w:lang w:val="en-US" w:eastAsia="zh-CN"/>
        </w:rPr>
        <w:t>6</w:t>
      </w:r>
      <w:r>
        <w:rPr>
          <w:rFonts w:hint="default" w:ascii="Times New Roman" w:hAnsi="Times New Roman" w:cs="Times New Roman"/>
          <w:color w:val="auto"/>
          <w:kern w:val="0"/>
          <w:sz w:val="24"/>
          <w:lang w:val="en-US" w:eastAsia="zh-CN"/>
        </w:rPr>
        <w:t>年</w:t>
      </w:r>
      <w:r>
        <w:rPr>
          <w:rFonts w:hint="eastAsia" w:cs="Times New Roman"/>
          <w:color w:val="auto"/>
          <w:kern w:val="0"/>
          <w:sz w:val="24"/>
          <w:lang w:val="en-US" w:eastAsia="zh-CN"/>
        </w:rPr>
        <w:t>7</w:t>
      </w:r>
      <w:r>
        <w:rPr>
          <w:rFonts w:hint="default" w:ascii="Times New Roman" w:hAnsi="Times New Roman" w:cs="Times New Roman"/>
          <w:color w:val="auto"/>
          <w:kern w:val="0"/>
          <w:sz w:val="24"/>
          <w:lang w:val="en-US" w:eastAsia="zh-CN"/>
        </w:rPr>
        <w:t>月</w:t>
      </w:r>
      <w:r>
        <w:rPr>
          <w:rFonts w:hint="eastAsia" w:cs="Times New Roman"/>
          <w:color w:val="auto"/>
          <w:kern w:val="0"/>
          <w:sz w:val="24"/>
          <w:lang w:val="en-US" w:eastAsia="zh-CN"/>
        </w:rPr>
        <w:t>28</w:t>
      </w:r>
      <w:r>
        <w:rPr>
          <w:rFonts w:hint="default" w:ascii="Times New Roman" w:hAnsi="Times New Roman" w:cs="Times New Roman"/>
          <w:color w:val="auto"/>
          <w:kern w:val="0"/>
          <w:sz w:val="24"/>
          <w:lang w:val="en-US" w:eastAsia="zh-CN"/>
        </w:rPr>
        <w:t>日</w:t>
      </w:r>
      <w:r>
        <w:rPr>
          <w:rFonts w:hint="default" w:ascii="Times New Roman" w:hAnsi="Times New Roman" w:cs="Times New Roman"/>
          <w:color w:val="auto"/>
          <w:kern w:val="0"/>
          <w:sz w:val="24"/>
        </w:rPr>
        <w:t>在</w:t>
      </w:r>
      <w:r>
        <w:rPr>
          <w:rFonts w:hint="eastAsia" w:ascii="Times New Roman" w:hAnsi="Times New Roman" w:cs="Times New Roman"/>
          <w:color w:val="auto"/>
          <w:spacing w:val="5"/>
          <w:lang w:val="en-US" w:eastAsia="zh-CN"/>
        </w:rPr>
        <w:t>安徽日报</w:t>
      </w:r>
      <w:r>
        <w:rPr>
          <w:rFonts w:ascii="Times New Roman" w:hAnsi="Times New Roman" w:cs="Times New Roman"/>
          <w:color w:val="auto"/>
          <w:spacing w:val="5"/>
        </w:rPr>
        <w:t>上进行了2次报纸公示</w:t>
      </w:r>
      <w:r>
        <w:rPr>
          <w:rFonts w:hint="eastAsia" w:ascii="Times New Roman" w:hAnsi="Times New Roman" w:cs="Times New Roman"/>
          <w:color w:val="auto"/>
          <w:spacing w:val="5"/>
          <w:lang w:eastAsia="zh-CN"/>
        </w:rPr>
        <w:t>；</w:t>
      </w:r>
      <w:r>
        <w:rPr>
          <w:rFonts w:hint="eastAsia" w:ascii="Times New Roman" w:hAnsi="Times New Roman" w:cs="Times New Roman"/>
          <w:color w:val="auto"/>
          <w:spacing w:val="5"/>
          <w:lang w:val="en-US" w:eastAsia="zh-CN"/>
        </w:rPr>
        <w:t>202</w:t>
      </w:r>
      <w:r>
        <w:rPr>
          <w:rFonts w:hint="eastAsia" w:cs="Times New Roman"/>
          <w:color w:val="auto"/>
          <w:spacing w:val="5"/>
          <w:lang w:val="en-US" w:eastAsia="zh-CN"/>
        </w:rPr>
        <w:t>6</w:t>
      </w:r>
      <w:r>
        <w:rPr>
          <w:rFonts w:hint="eastAsia" w:ascii="Times New Roman" w:hAnsi="Times New Roman" w:cs="Times New Roman"/>
          <w:color w:val="auto"/>
          <w:spacing w:val="5"/>
          <w:lang w:val="en-US" w:eastAsia="zh-CN"/>
        </w:rPr>
        <w:t>年</w:t>
      </w:r>
      <w:r>
        <w:rPr>
          <w:rFonts w:hint="eastAsia" w:cs="Times New Roman"/>
          <w:color w:val="auto"/>
          <w:spacing w:val="5"/>
          <w:lang w:val="en-US" w:eastAsia="zh-CN"/>
        </w:rPr>
        <w:t>7</w:t>
      </w:r>
      <w:r>
        <w:rPr>
          <w:rFonts w:hint="eastAsia" w:ascii="Times New Roman" w:hAnsi="Times New Roman" w:cs="Times New Roman"/>
          <w:color w:val="auto"/>
          <w:spacing w:val="5"/>
          <w:lang w:val="en-US" w:eastAsia="zh-CN"/>
        </w:rPr>
        <w:t>月</w:t>
      </w:r>
      <w:r>
        <w:rPr>
          <w:rFonts w:hint="eastAsia" w:cs="Times New Roman"/>
          <w:color w:val="auto"/>
          <w:spacing w:val="5"/>
          <w:lang w:val="en-US" w:eastAsia="zh-CN"/>
        </w:rPr>
        <w:t>24</w:t>
      </w:r>
      <w:r>
        <w:rPr>
          <w:rFonts w:hint="eastAsia" w:ascii="Times New Roman" w:hAnsi="Times New Roman" w:cs="Times New Roman"/>
          <w:color w:val="auto"/>
          <w:spacing w:val="5"/>
          <w:lang w:val="en-US" w:eastAsia="zh-CN"/>
        </w:rPr>
        <w:t>日分别</w:t>
      </w:r>
      <w:r>
        <w:rPr>
          <w:rFonts w:ascii="Times New Roman" w:hAnsi="Times New Roman" w:cs="Times New Roman"/>
          <w:color w:val="auto"/>
          <w:spacing w:val="5"/>
        </w:rPr>
        <w:t>在项目所在地周边敏感点</w:t>
      </w:r>
      <w:r>
        <w:rPr>
          <w:rFonts w:hint="eastAsia" w:ascii="Times New Roman" w:hAnsi="Times New Roman" w:cs="Times New Roman"/>
          <w:color w:val="auto"/>
          <w:spacing w:val="5"/>
          <w:lang w:eastAsia="zh-CN"/>
        </w:rPr>
        <w:t>（</w:t>
      </w:r>
      <w:r>
        <w:rPr>
          <w:rFonts w:hint="eastAsia" w:cs="Times New Roman"/>
          <w:color w:val="auto"/>
          <w:spacing w:val="5"/>
          <w:lang w:val="en-US" w:eastAsia="zh-CN"/>
        </w:rPr>
        <w:t>北岗村</w:t>
      </w:r>
      <w:r>
        <w:rPr>
          <w:rFonts w:hint="eastAsia" w:ascii="Times New Roman" w:hAnsi="Times New Roman" w:cs="Times New Roman"/>
          <w:color w:val="auto"/>
          <w:spacing w:val="5"/>
          <w:lang w:val="en-US" w:eastAsia="zh-CN"/>
        </w:rPr>
        <w:t>和</w:t>
      </w:r>
      <w:r>
        <w:rPr>
          <w:rFonts w:hint="eastAsia" w:cs="Times New Roman"/>
          <w:color w:val="auto"/>
          <w:spacing w:val="5"/>
          <w:lang w:val="en-US" w:eastAsia="zh-CN"/>
        </w:rPr>
        <w:t>李贵二村</w:t>
      </w:r>
      <w:r>
        <w:rPr>
          <w:rFonts w:hint="eastAsia" w:ascii="Times New Roman" w:hAnsi="Times New Roman" w:cs="Times New Roman"/>
          <w:color w:val="auto"/>
          <w:spacing w:val="5"/>
          <w:lang w:eastAsia="zh-CN"/>
        </w:rPr>
        <w:t>）</w:t>
      </w:r>
      <w:r>
        <w:rPr>
          <w:rFonts w:ascii="Times New Roman" w:hAnsi="Times New Roman" w:cs="Times New Roman"/>
          <w:color w:val="auto"/>
          <w:spacing w:val="5"/>
        </w:rPr>
        <w:t>进行了现场公示</w:t>
      </w:r>
      <w:r>
        <w:rPr>
          <w:rFonts w:hint="eastAsia"/>
          <w:lang w:eastAsia="zh-CN"/>
        </w:rPr>
        <w:t>。</w:t>
      </w:r>
    </w:p>
    <w:p w14:paraId="0897355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eastAsia="宋体"/>
          <w:color w:val="auto"/>
          <w:lang w:eastAsia="zh-CN"/>
        </w:rPr>
      </w:pPr>
      <w:r>
        <w:rPr>
          <w:rFonts w:hint="eastAsia"/>
          <w:color w:val="auto"/>
        </w:rPr>
        <w:t>◆</w:t>
      </w:r>
      <w:r>
        <w:rPr>
          <w:rFonts w:ascii="Times New Roman" w:hAnsi="Times New Roman" w:cs="Times New Roman"/>
          <w:bCs/>
          <w:color w:val="auto"/>
        </w:rPr>
        <w:t>202</w:t>
      </w:r>
      <w:r>
        <w:rPr>
          <w:rFonts w:hint="eastAsia" w:ascii="Times New Roman" w:hAnsi="Times New Roman" w:cs="Times New Roman"/>
          <w:bCs/>
          <w:color w:val="auto"/>
          <w:lang w:val="en-US" w:eastAsia="zh-CN"/>
        </w:rPr>
        <w:t>6</w:t>
      </w:r>
      <w:r>
        <w:rPr>
          <w:rFonts w:ascii="Times New Roman" w:hAnsi="Times New Roman" w:cs="Times New Roman"/>
          <w:bCs/>
          <w:color w:val="auto"/>
        </w:rPr>
        <w:t>年</w:t>
      </w:r>
      <w:r>
        <w:rPr>
          <w:rFonts w:hint="eastAsia" w:cs="Times New Roman"/>
          <w:bCs/>
          <w:color w:val="auto"/>
          <w:lang w:val="en-US" w:eastAsia="zh-CN"/>
        </w:rPr>
        <w:t>8</w:t>
      </w:r>
      <w:r>
        <w:rPr>
          <w:rFonts w:ascii="Times New Roman" w:hAnsi="Times New Roman" w:cs="Times New Roman"/>
          <w:bCs/>
          <w:color w:val="auto"/>
        </w:rPr>
        <w:t>月，</w:t>
      </w:r>
      <w:r>
        <w:rPr>
          <w:rFonts w:ascii="Times New Roman" w:hAnsi="Times New Roman" w:cs="Times New Roman"/>
          <w:color w:val="auto"/>
        </w:rPr>
        <w:t>项目</w:t>
      </w:r>
      <w:r>
        <w:rPr>
          <w:rFonts w:hint="eastAsia" w:ascii="Times New Roman" w:hAnsi="Times New Roman" w:cs="Times New Roman"/>
          <w:color w:val="auto"/>
          <w:lang w:val="en-US" w:eastAsia="zh-CN"/>
        </w:rPr>
        <w:t>生态</w:t>
      </w:r>
      <w:r>
        <w:rPr>
          <w:rFonts w:ascii="Times New Roman" w:hAnsi="Times New Roman" w:cs="Times New Roman"/>
          <w:color w:val="auto"/>
        </w:rPr>
        <w:t>环境影响报告书进入安徽应天环保科技咨询有限公司内审程序，经校核、审核、审定后于</w:t>
      </w:r>
      <w:r>
        <w:rPr>
          <w:rFonts w:hint="eastAsia" w:cs="Times New Roman"/>
          <w:color w:val="auto"/>
          <w:lang w:val="en-US" w:eastAsia="zh-CN"/>
        </w:rPr>
        <w:t>8</w:t>
      </w:r>
      <w:r>
        <w:rPr>
          <w:rFonts w:ascii="Times New Roman" w:hAnsi="Times New Roman" w:cs="Times New Roman"/>
          <w:color w:val="auto"/>
        </w:rPr>
        <w:t>月</w:t>
      </w:r>
      <w:r>
        <w:rPr>
          <w:rFonts w:hint="eastAsia" w:cs="Times New Roman"/>
          <w:color w:val="auto"/>
          <w:lang w:val="en-US" w:eastAsia="zh-CN"/>
        </w:rPr>
        <w:t>中</w:t>
      </w:r>
      <w:r>
        <w:rPr>
          <w:rFonts w:hint="eastAsia" w:ascii="Times New Roman" w:hAnsi="Times New Roman" w:cs="Times New Roman"/>
          <w:color w:val="auto"/>
        </w:rPr>
        <w:t>旬</w:t>
      </w:r>
      <w:r>
        <w:rPr>
          <w:rFonts w:ascii="Times New Roman" w:hAnsi="Times New Roman" w:cs="Times New Roman"/>
          <w:color w:val="auto"/>
        </w:rPr>
        <w:t>送审稿定稿</w:t>
      </w:r>
      <w:r>
        <w:rPr>
          <w:rFonts w:hint="eastAsia" w:cs="Times New Roman"/>
          <w:color w:val="auto"/>
          <w:lang w:eastAsia="zh-CN"/>
        </w:rPr>
        <w:t>。</w:t>
      </w:r>
    </w:p>
    <w:p w14:paraId="289C6837">
      <w:pPr>
        <w:bidi w:val="0"/>
        <w:ind w:firstLine="480" w:firstLineChars="200"/>
        <w:rPr>
          <w:rFonts w:ascii="宋体" w:hAnsi="宋体" w:eastAsia="宋体" w:cs="宋体"/>
          <w:color w:val="auto"/>
          <w:sz w:val="24"/>
          <w:szCs w:val="24"/>
        </w:rPr>
      </w:pPr>
      <w:r>
        <w:rPr>
          <w:color w:val="auto"/>
        </w:rPr>
        <w:t>环境影响评价工作程序见图1.2-1。</w:t>
      </w:r>
    </w:p>
    <w:p w14:paraId="5A25839E">
      <w:pPr>
        <w:bidi w:val="0"/>
        <w:jc w:val="center"/>
        <w:rPr>
          <w:rFonts w:hint="default"/>
          <w:color w:val="auto"/>
        </w:rPr>
      </w:pPr>
      <w:r>
        <w:rPr>
          <w:rFonts w:ascii="Times New Roman" w:hAnsi="Times New Roman" w:cs="Times New Roman"/>
        </w:rPr>
        <w:object>
          <v:shape id="_x0000_i1025" o:spt="75" alt="" type="#_x0000_t75" style="height:496.95pt;width:419.35pt;" o:ole="t" filled="f" o:preferrelative="t" stroked="f" coordsize="21600,21600">
            <v:path/>
            <v:fill on="f" focussize="0,0"/>
            <v:stroke on="f"/>
            <v:imagedata r:id="rId10" cropleft="1708f" croptop="2807f" cropright="2602f" cropbottom="3014f" o:title=""/>
            <o:lock v:ext="edit" aspectratio="t"/>
            <w10:wrap type="none"/>
            <w10:anchorlock/>
          </v:shape>
          <o:OLEObject Type="Embed" ProgID="Word.Picture.8" ShapeID="_x0000_i1025" DrawAspect="Content" ObjectID="_1468075725" r:id="rId9">
            <o:LockedField>false</o:LockedField>
          </o:OLEObject>
        </w:object>
      </w:r>
    </w:p>
    <w:p w14:paraId="5BD84544">
      <w:pPr>
        <w:jc w:val="center"/>
        <w:rPr>
          <w:b/>
          <w:bCs/>
        </w:rPr>
      </w:pPr>
      <w:r>
        <w:rPr>
          <w:b/>
          <w:bCs/>
          <w:color w:val="auto"/>
        </w:rPr>
        <w:t>图1.</w:t>
      </w:r>
      <w:r>
        <w:rPr>
          <w:rFonts w:hint="eastAsia"/>
          <w:b/>
          <w:bCs/>
          <w:color w:val="auto"/>
          <w:lang w:val="en-US" w:eastAsia="zh-CN"/>
        </w:rPr>
        <w:t>3</w:t>
      </w:r>
      <w:r>
        <w:rPr>
          <w:b/>
          <w:bCs/>
          <w:color w:val="auto"/>
        </w:rPr>
        <w:t>-1 环境影响评价工作程序框图</w:t>
      </w:r>
    </w:p>
    <w:p w14:paraId="7872827B">
      <w:pPr>
        <w:pStyle w:val="2"/>
        <w:bidi w:val="0"/>
        <w:rPr>
          <w:rFonts w:hint="eastAsia" w:eastAsia="宋体"/>
          <w:color w:val="auto"/>
          <w:lang w:eastAsia="zh-CN"/>
        </w:rPr>
      </w:pPr>
      <w:bookmarkStart w:id="31" w:name="_Toc22836"/>
      <w:bookmarkStart w:id="32" w:name="_Toc22199"/>
      <w:r>
        <w:rPr>
          <w:color w:val="auto"/>
        </w:rPr>
        <w:t>1.</w:t>
      </w:r>
      <w:r>
        <w:rPr>
          <w:rFonts w:hint="eastAsia"/>
          <w:color w:val="auto"/>
          <w:lang w:val="en-US" w:eastAsia="zh-CN"/>
        </w:rPr>
        <w:t>4</w:t>
      </w:r>
      <w:r>
        <w:rPr>
          <w:color w:val="auto"/>
        </w:rPr>
        <w:t xml:space="preserve"> 分析判定相关</w:t>
      </w:r>
      <w:bookmarkEnd w:id="31"/>
      <w:r>
        <w:rPr>
          <w:rFonts w:hint="eastAsia"/>
          <w:color w:val="auto"/>
          <w:lang w:val="en-US" w:eastAsia="zh-CN"/>
        </w:rPr>
        <w:t>情况</w:t>
      </w:r>
      <w:bookmarkEnd w:id="32"/>
    </w:p>
    <w:p w14:paraId="319F0954">
      <w:pPr>
        <w:bidi w:val="0"/>
        <w:ind w:firstLine="480" w:firstLineChars="200"/>
        <w:rPr>
          <w:b w:val="0"/>
          <w:bCs w:val="0"/>
        </w:rPr>
      </w:pPr>
      <w:bookmarkStart w:id="33" w:name="_Toc29214"/>
      <w:r>
        <w:rPr>
          <w:rFonts w:hint="eastAsia"/>
          <w:b w:val="0"/>
          <w:bCs w:val="0"/>
          <w:lang w:val="en-US" w:eastAsia="zh-CN"/>
        </w:rPr>
        <w:t>项目选址位于</w:t>
      </w:r>
      <w:r>
        <w:rPr>
          <w:rFonts w:hint="default" w:ascii="Times New Roman" w:hAnsi="Times New Roman" w:eastAsia="宋体" w:cs="Times New Roman"/>
          <w:color w:val="auto"/>
          <w:sz w:val="24"/>
          <w:szCs w:val="24"/>
        </w:rPr>
        <w:t>合肥循环经济示范园龙兴大道与乳泉路交口东北角安徽晶科能源有限公司</w:t>
      </w:r>
      <w:r>
        <w:rPr>
          <w:rFonts w:hint="eastAsia"/>
          <w:b w:val="0"/>
          <w:bCs w:val="0"/>
          <w:lang w:val="en-US" w:eastAsia="zh-CN"/>
        </w:rPr>
        <w:t>现有厂区内。项目</w:t>
      </w:r>
      <w:r>
        <w:rPr>
          <w:b w:val="0"/>
          <w:bCs w:val="0"/>
        </w:rPr>
        <w:t>周边</w:t>
      </w:r>
      <w:r>
        <w:rPr>
          <w:rFonts w:hint="eastAsia"/>
          <w:b w:val="0"/>
          <w:bCs w:val="0"/>
          <w:lang w:val="en-US" w:eastAsia="zh-CN"/>
        </w:rPr>
        <w:t>全部为工业类企业，且园区配套完善交通、</w:t>
      </w:r>
      <w:r>
        <w:rPr>
          <w:rFonts w:hint="eastAsia"/>
          <w:b w:val="0"/>
          <w:bCs w:val="0"/>
        </w:rPr>
        <w:t>供电、供排水、供热</w:t>
      </w:r>
      <w:r>
        <w:rPr>
          <w:rFonts w:hint="eastAsia"/>
          <w:b w:val="0"/>
          <w:bCs w:val="0"/>
          <w:lang w:val="en-US" w:eastAsia="zh-CN"/>
        </w:rPr>
        <w:t>以及废水处理设施。结合</w:t>
      </w:r>
      <w:r>
        <w:rPr>
          <w:b w:val="0"/>
          <w:bCs w:val="0"/>
        </w:rPr>
        <w:t>项目各要素</w:t>
      </w:r>
      <w:r>
        <w:rPr>
          <w:rFonts w:hint="eastAsia"/>
          <w:b w:val="0"/>
          <w:bCs w:val="0"/>
          <w:lang w:val="en-US" w:eastAsia="zh-CN"/>
        </w:rPr>
        <w:t>生态</w:t>
      </w:r>
      <w:r>
        <w:rPr>
          <w:b w:val="0"/>
          <w:bCs w:val="0"/>
        </w:rPr>
        <w:t>环境影响分析，</w:t>
      </w:r>
      <w:r>
        <w:rPr>
          <w:rFonts w:hint="eastAsia"/>
          <w:b w:val="0"/>
          <w:bCs w:val="0"/>
        </w:rPr>
        <w:t>仍保留现有工程</w:t>
      </w:r>
      <w:r>
        <w:rPr>
          <w:b w:val="0"/>
          <w:bCs w:val="0"/>
        </w:rPr>
        <w:t>设置</w:t>
      </w:r>
      <w:r>
        <w:rPr>
          <w:rFonts w:hint="eastAsia"/>
          <w:b w:val="0"/>
          <w:bCs w:val="0"/>
        </w:rPr>
        <w:t>的</w:t>
      </w:r>
      <w:r>
        <w:rPr>
          <w:b w:val="0"/>
          <w:bCs w:val="0"/>
        </w:rPr>
        <w:t>1</w:t>
      </w:r>
      <w:r>
        <w:rPr>
          <w:rFonts w:hint="eastAsia"/>
          <w:b w:val="0"/>
          <w:bCs w:val="0"/>
          <w:lang w:val="en-US" w:eastAsia="zh-CN"/>
        </w:rPr>
        <w:t>5</w:t>
      </w:r>
      <w:r>
        <w:rPr>
          <w:b w:val="0"/>
          <w:bCs w:val="0"/>
        </w:rPr>
        <w:t>0m环境防护距离，目前环境防护距离内</w:t>
      </w:r>
      <w:r>
        <w:rPr>
          <w:rFonts w:hint="eastAsia"/>
          <w:b w:val="0"/>
          <w:bCs w:val="0"/>
        </w:rPr>
        <w:t>不存在环境敏感目标</w:t>
      </w:r>
      <w:r>
        <w:rPr>
          <w:b w:val="0"/>
          <w:bCs w:val="0"/>
        </w:rPr>
        <w:t>。</w:t>
      </w:r>
    </w:p>
    <w:p w14:paraId="2BED2213">
      <w:pPr>
        <w:bidi w:val="0"/>
        <w:ind w:firstLine="480" w:firstLineChars="200"/>
        <w:rPr>
          <w:rFonts w:hint="eastAsia" w:ascii="Times New Roman" w:hAnsi="Times New Roman" w:cs="Times New Roman"/>
          <w:color w:val="auto"/>
          <w:lang w:val="en-US" w:eastAsia="zh-CN"/>
        </w:rPr>
      </w:pPr>
      <w:r>
        <w:rPr>
          <w:rFonts w:hint="eastAsia"/>
          <w:b w:val="0"/>
          <w:bCs w:val="0"/>
        </w:rPr>
        <w:t>项目</w:t>
      </w:r>
      <w:r>
        <w:rPr>
          <w:rFonts w:hint="eastAsia"/>
          <w:b w:val="0"/>
          <w:bCs w:val="0"/>
          <w:lang w:val="en-US" w:eastAsia="zh-CN"/>
        </w:rPr>
        <w:t>的建设符合</w:t>
      </w:r>
      <w:r>
        <w:rPr>
          <w:rFonts w:hint="eastAsia"/>
          <w:b w:val="0"/>
          <w:bCs w:val="0"/>
        </w:rPr>
        <w:t>《产业结构</w:t>
      </w:r>
      <w:r>
        <w:rPr>
          <w:b w:val="0"/>
          <w:bCs w:val="0"/>
        </w:rPr>
        <w:t>调整指导目录（</w:t>
      </w:r>
      <w:r>
        <w:rPr>
          <w:rFonts w:hint="eastAsia"/>
          <w:b w:val="0"/>
          <w:bCs w:val="0"/>
        </w:rPr>
        <w:t>2024年</w:t>
      </w:r>
      <w:r>
        <w:rPr>
          <w:b w:val="0"/>
          <w:bCs w:val="0"/>
        </w:rPr>
        <w:t>本）</w:t>
      </w:r>
      <w:r>
        <w:rPr>
          <w:rFonts w:hint="eastAsia"/>
          <w:b w:val="0"/>
          <w:bCs w:val="0"/>
        </w:rPr>
        <w:t>》</w:t>
      </w:r>
      <w:r>
        <w:rPr>
          <w:rFonts w:hint="eastAsia" w:ascii="Times New Roman" w:hAnsi="Times New Roman" w:cs="Times New Roman"/>
          <w:color w:val="auto"/>
        </w:rPr>
        <w:t>等</w:t>
      </w:r>
      <w:r>
        <w:rPr>
          <w:rFonts w:ascii="Times New Roman" w:hAnsi="Times New Roman" w:cs="Times New Roman"/>
          <w:color w:val="auto"/>
        </w:rPr>
        <w:t>相关政策</w:t>
      </w:r>
      <w:r>
        <w:rPr>
          <w:rFonts w:hint="eastAsia" w:ascii="Times New Roman" w:hAnsi="Times New Roman" w:cs="Times New Roman"/>
          <w:color w:val="auto"/>
          <w:lang w:val="en-US" w:eastAsia="zh-CN"/>
        </w:rPr>
        <w:t>要求。</w:t>
      </w:r>
    </w:p>
    <w:p w14:paraId="746EBD48">
      <w:pPr>
        <w:bidi w:val="0"/>
        <w:ind w:firstLine="480" w:firstLineChars="200"/>
      </w:pPr>
      <w:r>
        <w:rPr>
          <w:rFonts w:hint="eastAsia"/>
          <w:lang w:val="en-US" w:eastAsia="zh-CN"/>
        </w:rPr>
        <w:t>项目的建设同时满足生态环境管控单元管控要求，并且符合《合肥市国土空间总体规划（2021-2035）》、</w:t>
      </w:r>
      <w:r>
        <w:rPr>
          <w:rFonts w:hint="eastAsia"/>
          <w:lang w:eastAsia="zh-CN"/>
        </w:rPr>
        <w:t>《合肥循环经济示范园总体发展规划》（2022-2035年）、《合肥循环经济示范园总体发展规划（2022-2035年）环境影响报告书》及其审查意见</w:t>
      </w:r>
      <w:r>
        <w:rPr>
          <w:rFonts w:hint="eastAsia"/>
          <w:lang w:val="en-US" w:eastAsia="zh-CN"/>
        </w:rPr>
        <w:t>的要求。</w:t>
      </w:r>
    </w:p>
    <w:bookmarkEnd w:id="33"/>
    <w:p w14:paraId="2AF1FA73">
      <w:pPr>
        <w:pStyle w:val="2"/>
        <w:bidi w:val="0"/>
      </w:pPr>
      <w:bookmarkStart w:id="34" w:name="_Toc369532471"/>
      <w:bookmarkStart w:id="35" w:name="_Toc29916"/>
      <w:bookmarkStart w:id="36" w:name="_Toc1739"/>
      <w:bookmarkStart w:id="37" w:name="_Toc9342"/>
      <w:r>
        <w:t>1.5</w:t>
      </w:r>
      <w:r>
        <w:rPr>
          <w:rFonts w:hint="eastAsia"/>
        </w:rPr>
        <w:t xml:space="preserve"> </w:t>
      </w:r>
      <w:r>
        <w:rPr>
          <w:rFonts w:hint="eastAsia"/>
          <w:lang w:val="en-US" w:eastAsia="zh-CN"/>
        </w:rPr>
        <w:t>生态</w:t>
      </w:r>
      <w:r>
        <w:t>环境影响评价关注的主要问题</w:t>
      </w:r>
      <w:bookmarkEnd w:id="34"/>
      <w:bookmarkEnd w:id="35"/>
      <w:bookmarkEnd w:id="36"/>
    </w:p>
    <w:p w14:paraId="247F7751">
      <w:pPr>
        <w:keepNext w:val="0"/>
        <w:keepLines w:val="0"/>
        <w:pageBreakBefore w:val="0"/>
        <w:widowControl/>
        <w:kinsoku/>
        <w:wordWrap/>
        <w:overflowPunct/>
        <w:topLinePunct w:val="0"/>
        <w:autoSpaceDE/>
        <w:autoSpaceDN/>
        <w:bidi w:val="0"/>
        <w:adjustRightInd/>
        <w:snapToGrid/>
        <w:ind w:firstLine="480" w:firstLineChars="200"/>
        <w:textAlignment w:val="auto"/>
      </w:pPr>
      <w:r>
        <w:t>本次</w:t>
      </w:r>
      <w:r>
        <w:rPr>
          <w:rFonts w:hint="eastAsia"/>
          <w:lang w:val="en-US" w:eastAsia="zh-CN"/>
        </w:rPr>
        <w:t>生态</w:t>
      </w:r>
      <w:r>
        <w:t>环境影响评价过程中关注的主要问题如下：</w:t>
      </w:r>
    </w:p>
    <w:p w14:paraId="1AF0890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rPr>
          <w:rFonts w:hint="eastAsia"/>
        </w:rPr>
        <w:t>1、</w:t>
      </w:r>
      <w:r>
        <w:t>对照</w:t>
      </w:r>
      <w:r>
        <w:rPr>
          <w:rFonts w:hint="eastAsia"/>
        </w:rPr>
        <w:t>《产业结构</w:t>
      </w:r>
      <w:r>
        <w:t>调整指导目录（</w:t>
      </w:r>
      <w:r>
        <w:rPr>
          <w:rFonts w:hint="eastAsia"/>
        </w:rPr>
        <w:t>2024年</w:t>
      </w:r>
      <w:r>
        <w:t>本）</w:t>
      </w:r>
      <w:r>
        <w:rPr>
          <w:rFonts w:hint="eastAsia"/>
        </w:rPr>
        <w:t>》</w:t>
      </w:r>
      <w:r>
        <w:rPr>
          <w:rFonts w:hint="eastAsia"/>
          <w:lang w:eastAsia="zh-CN"/>
        </w:rPr>
        <w:t>、《合肥循环经济示范园总体发展规划》（2022-2035年）、《合肥循环经济示范园总体发展规划（2022-2035年）环境影响报告书》及其审查意见</w:t>
      </w:r>
      <w:r>
        <w:rPr>
          <w:rFonts w:hint="eastAsia"/>
        </w:rPr>
        <w:t>等</w:t>
      </w:r>
      <w:r>
        <w:t>要求，分析项目建设的政策规划相符性及环境合理性</w:t>
      </w:r>
      <w:r>
        <w:rPr>
          <w:rFonts w:hint="eastAsia"/>
          <w:lang w:eastAsia="zh-CN"/>
        </w:rPr>
        <w:t>。</w:t>
      </w:r>
    </w:p>
    <w:p w14:paraId="13EF512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t>2</w:t>
      </w:r>
      <w:r>
        <w:rPr>
          <w:rFonts w:hint="eastAsia"/>
        </w:rPr>
        <w:t>、结合</w:t>
      </w:r>
      <w:r>
        <w:t>项目设计方案，</w:t>
      </w:r>
      <w:r>
        <w:rPr>
          <w:rFonts w:hint="eastAsia"/>
        </w:rPr>
        <w:t>对照</w:t>
      </w:r>
      <w:r>
        <w:rPr>
          <w:rFonts w:hint="default"/>
        </w:rPr>
        <w:t>《排污许可申请与核发技术规范 电池工业》（HJ</w:t>
      </w:r>
      <w:r>
        <w:rPr>
          <w:rFonts w:hint="eastAsia"/>
          <w:lang w:val="en-US" w:eastAsia="zh-CN"/>
        </w:rPr>
        <w:t xml:space="preserve"> </w:t>
      </w:r>
      <w:r>
        <w:rPr>
          <w:rFonts w:hint="default"/>
        </w:rPr>
        <w:t>967-2018）</w:t>
      </w:r>
      <w:r>
        <w:rPr>
          <w:rFonts w:hint="eastAsia"/>
        </w:rPr>
        <w:t>等政策要求</w:t>
      </w:r>
      <w:r>
        <w:t>，</w:t>
      </w:r>
      <w:r>
        <w:rPr>
          <w:rFonts w:hint="eastAsia"/>
        </w:rPr>
        <w:t>论证</w:t>
      </w:r>
      <w:r>
        <w:rPr>
          <w:rFonts w:hint="eastAsia"/>
          <w:lang w:val="en-US" w:eastAsia="zh-CN"/>
        </w:rPr>
        <w:t>废气治理措施的依托可行性和</w:t>
      </w:r>
      <w:r>
        <w:t>项目废气污染物稳定达标排放可行性</w:t>
      </w:r>
      <w:r>
        <w:rPr>
          <w:rFonts w:hint="eastAsia"/>
          <w:lang w:eastAsia="zh-CN"/>
        </w:rPr>
        <w:t>。</w:t>
      </w:r>
    </w:p>
    <w:p w14:paraId="2160738E">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t>3</w:t>
      </w:r>
      <w:r>
        <w:rPr>
          <w:rFonts w:hint="eastAsia"/>
        </w:rPr>
        <w:t>、结合</w:t>
      </w:r>
      <w:r>
        <w:t>项目废水污染源强、</w:t>
      </w:r>
      <w:r>
        <w:rPr>
          <w:rFonts w:hint="eastAsia"/>
          <w:lang w:eastAsia="zh-CN"/>
        </w:rPr>
        <w:t>污水处理</w:t>
      </w:r>
      <w:r>
        <w:rPr>
          <w:rFonts w:hint="eastAsia"/>
          <w:lang w:val="en-US" w:eastAsia="zh-CN"/>
        </w:rPr>
        <w:t>设施</w:t>
      </w:r>
      <w:r>
        <w:rPr>
          <w:rFonts w:hint="eastAsia"/>
        </w:rPr>
        <w:t>运行情况</w:t>
      </w:r>
      <w:r>
        <w:t>及</w:t>
      </w:r>
      <w:r>
        <w:rPr>
          <w:rFonts w:hint="eastAsia"/>
        </w:rPr>
        <w:t>污水</w:t>
      </w:r>
      <w:r>
        <w:t>接管标准限值等，论证废水</w:t>
      </w:r>
      <w:r>
        <w:rPr>
          <w:rFonts w:hint="eastAsia"/>
          <w:lang w:val="en-US" w:eastAsia="zh-CN"/>
        </w:rPr>
        <w:t>治理措施的依托可行性和废水</w:t>
      </w:r>
      <w:r>
        <w:t>污染物稳定达标排放可行性</w:t>
      </w:r>
      <w:r>
        <w:rPr>
          <w:rFonts w:hint="eastAsia"/>
          <w:lang w:eastAsia="zh-CN"/>
        </w:rPr>
        <w:t>。</w:t>
      </w:r>
    </w:p>
    <w:p w14:paraId="18D40FC7">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t>4</w:t>
      </w:r>
      <w:r>
        <w:rPr>
          <w:rFonts w:hint="eastAsia"/>
        </w:rPr>
        <w:t>、分析评价</w:t>
      </w:r>
      <w:r>
        <w:t>项目</w:t>
      </w:r>
      <w:r>
        <w:rPr>
          <w:rFonts w:hint="eastAsia"/>
          <w:lang w:val="en-US" w:eastAsia="zh-CN"/>
        </w:rPr>
        <w:t>建成</w:t>
      </w:r>
      <w:r>
        <w:t>运行后，可能排放的污染物种类和数量，重点关注</w:t>
      </w:r>
      <w:r>
        <w:rPr>
          <w:rFonts w:hint="eastAsia"/>
          <w:lang w:val="en-US" w:eastAsia="zh-CN"/>
        </w:rPr>
        <w:t>涉及</w:t>
      </w:r>
      <w:r>
        <w:t>有机废气、废水和危险废物处理措施，从</w:t>
      </w:r>
      <w:r>
        <w:rPr>
          <w:rFonts w:hint="eastAsia"/>
          <w:lang w:val="en-US" w:eastAsia="zh-CN"/>
        </w:rPr>
        <w:t>生态</w:t>
      </w:r>
      <w:r>
        <w:t>环境</w:t>
      </w:r>
      <w:r>
        <w:rPr>
          <w:rFonts w:hint="eastAsia"/>
          <w:lang w:val="en-US" w:eastAsia="zh-CN"/>
        </w:rPr>
        <w:t>影响</w:t>
      </w:r>
      <w:r>
        <w:t>角度论证项目建设的可行性</w:t>
      </w:r>
      <w:r>
        <w:rPr>
          <w:rFonts w:hint="eastAsia"/>
          <w:lang w:eastAsia="zh-CN"/>
        </w:rPr>
        <w:t>。</w:t>
      </w:r>
    </w:p>
    <w:p w14:paraId="72BCD03D">
      <w:pPr>
        <w:keepNext w:val="0"/>
        <w:keepLines w:val="0"/>
        <w:pageBreakBefore w:val="0"/>
        <w:widowControl/>
        <w:kinsoku/>
        <w:wordWrap/>
        <w:overflowPunct/>
        <w:topLinePunct w:val="0"/>
        <w:autoSpaceDE/>
        <w:autoSpaceDN/>
        <w:bidi w:val="0"/>
        <w:adjustRightInd/>
        <w:snapToGrid/>
        <w:ind w:firstLine="480" w:firstLineChars="200"/>
        <w:textAlignment w:val="auto"/>
      </w:pPr>
      <w:r>
        <w:t>5</w:t>
      </w:r>
      <w:r>
        <w:rPr>
          <w:rFonts w:hint="eastAsia"/>
        </w:rPr>
        <w:t>、</w:t>
      </w:r>
      <w:r>
        <w:t>项目涉及危险物质</w:t>
      </w:r>
      <w:r>
        <w:rPr>
          <w:rFonts w:hint="eastAsia"/>
        </w:rPr>
        <w:t>和高温</w:t>
      </w:r>
      <w:r>
        <w:t>工艺，评价</w:t>
      </w:r>
      <w:r>
        <w:rPr>
          <w:rFonts w:hint="eastAsia"/>
        </w:rPr>
        <w:t>需</w:t>
      </w:r>
      <w:r>
        <w:t>论证环境风险的可接受程度，提出切实可行的</w:t>
      </w:r>
      <w:r>
        <w:rPr>
          <w:rFonts w:hint="eastAsia"/>
        </w:rPr>
        <w:t>环境</w:t>
      </w:r>
      <w:r>
        <w:t>风险防范措施，使项目建设及运营过程对周边环境的影响降到最低。</w:t>
      </w:r>
    </w:p>
    <w:p w14:paraId="5F757324">
      <w:pPr>
        <w:pStyle w:val="2"/>
        <w:bidi w:val="0"/>
        <w:rPr>
          <w:color w:val="auto"/>
        </w:rPr>
      </w:pPr>
      <w:bookmarkStart w:id="38" w:name="_Toc27165"/>
      <w:r>
        <w:rPr>
          <w:color w:val="auto"/>
        </w:rPr>
        <w:t>1.</w:t>
      </w:r>
      <w:r>
        <w:rPr>
          <w:rFonts w:hint="eastAsia"/>
          <w:color w:val="auto"/>
          <w:lang w:val="en-US" w:eastAsia="zh-CN"/>
        </w:rPr>
        <w:t>6</w:t>
      </w:r>
      <w:r>
        <w:rPr>
          <w:color w:val="auto"/>
        </w:rPr>
        <w:t xml:space="preserve"> </w:t>
      </w:r>
      <w:bookmarkEnd w:id="37"/>
      <w:r>
        <w:rPr>
          <w:rFonts w:hint="eastAsia"/>
          <w:color w:val="auto"/>
          <w:lang w:val="en-US" w:eastAsia="zh-CN"/>
        </w:rPr>
        <w:t>生态</w:t>
      </w:r>
      <w:r>
        <w:rPr>
          <w:color w:val="auto"/>
        </w:rPr>
        <w:t>环境影响报告书的主要结论</w:t>
      </w:r>
      <w:bookmarkEnd w:id="38"/>
    </w:p>
    <w:p w14:paraId="081C78CE">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综上所述，本项目符合国家和地方产业政策要求，选址符合合肥循环经济示范园规划要求。</w:t>
      </w:r>
      <w:r>
        <w:rPr>
          <w:rFonts w:hint="eastAsia" w:ascii="Times New Roman" w:hAnsi="Times New Roman" w:cs="Times New Roman"/>
          <w:color w:val="auto"/>
        </w:rPr>
        <w:t>拟建项目实施后，通过采用各种可行污染防治措施后，各项污染物均能够做到</w:t>
      </w:r>
      <w:r>
        <w:rPr>
          <w:rFonts w:hint="eastAsia" w:ascii="Times New Roman" w:hAnsi="Times New Roman" w:cs="Times New Roman"/>
          <w:color w:val="auto"/>
          <w:lang w:val="en-US" w:eastAsia="zh-CN"/>
        </w:rPr>
        <w:t>稳定</w:t>
      </w:r>
      <w:r>
        <w:rPr>
          <w:rFonts w:hint="eastAsia" w:ascii="Times New Roman" w:hAnsi="Times New Roman" w:cs="Times New Roman"/>
          <w:color w:val="auto"/>
        </w:rPr>
        <w:t>达标排放；经预测项目拟排放的各种污染物不会降低评价区域大气、地表水、地下水、土壤和声环境质量原有功能级别；通过采取有针对性的环境风险防范措施并落实</w:t>
      </w:r>
      <w:r>
        <w:rPr>
          <w:rFonts w:hint="eastAsia" w:ascii="Times New Roman" w:hAnsi="Times New Roman" w:cs="Times New Roman"/>
          <w:color w:val="auto"/>
          <w:lang w:val="en-US" w:eastAsia="zh-CN"/>
        </w:rPr>
        <w:t>环境风险</w:t>
      </w:r>
      <w:r>
        <w:rPr>
          <w:rFonts w:hint="eastAsia" w:ascii="Times New Roman" w:hAnsi="Times New Roman" w:cs="Times New Roman"/>
          <w:color w:val="auto"/>
        </w:rPr>
        <w:t>应急预案，项目的环境风险可接受；建设单位开展的公众参与未收到公众反馈意见。因此，评价认为，拟建项目建设和生产运行过程中，在严格执行环保“三同时”制度、切实落实环评报告中提出的各项污染防治措施的前提下，从</w:t>
      </w:r>
      <w:r>
        <w:rPr>
          <w:rFonts w:hint="eastAsia" w:ascii="Times New Roman" w:hAnsi="Times New Roman" w:cs="Times New Roman"/>
          <w:color w:val="auto"/>
          <w:lang w:val="en-US" w:eastAsia="zh-CN"/>
        </w:rPr>
        <w:t>生态</w:t>
      </w:r>
      <w:r>
        <w:rPr>
          <w:rFonts w:hint="eastAsia" w:ascii="Times New Roman" w:hAnsi="Times New Roman" w:cs="Times New Roman"/>
          <w:color w:val="auto"/>
        </w:rPr>
        <w:t>环境影响角度分析，项目建设是可行的。</w:t>
      </w:r>
    </w:p>
    <w:p w14:paraId="61322F1E">
      <w:pPr>
        <w:bidi w:val="0"/>
        <w:sectPr>
          <w:footerReference r:id="rId6" w:type="default"/>
          <w:pgSz w:w="11906" w:h="16838"/>
          <w:pgMar w:top="1417" w:right="1134" w:bottom="1134" w:left="1417" w:header="851" w:footer="992" w:gutter="0"/>
          <w:pgNumType w:fmt="decimal" w:start="1"/>
          <w:cols w:space="0" w:num="1"/>
          <w:rtlGutter w:val="0"/>
          <w:docGrid w:type="lines" w:linePitch="312" w:charSpace="0"/>
        </w:sectPr>
      </w:pPr>
    </w:p>
    <w:p w14:paraId="12C71C2C">
      <w:pPr>
        <w:pStyle w:val="3"/>
        <w:bidi w:val="0"/>
        <w:jc w:val="center"/>
        <w:rPr>
          <w:rFonts w:hint="eastAsia"/>
          <w:lang w:val="en-US" w:eastAsia="zh-CN"/>
        </w:rPr>
      </w:pPr>
      <w:bookmarkStart w:id="39" w:name="_Toc29372"/>
      <w:r>
        <w:rPr>
          <w:rFonts w:hint="eastAsia"/>
          <w:lang w:val="en-US" w:eastAsia="zh-CN"/>
        </w:rPr>
        <w:t>第二章 总则</w:t>
      </w:r>
      <w:bookmarkEnd w:id="39"/>
    </w:p>
    <w:p w14:paraId="3D13CAD2">
      <w:pPr>
        <w:pStyle w:val="2"/>
        <w:bidi w:val="0"/>
        <w:rPr>
          <w:color w:val="auto"/>
        </w:rPr>
      </w:pPr>
      <w:bookmarkStart w:id="40" w:name="_Toc9356"/>
      <w:bookmarkStart w:id="41" w:name="_Toc22889"/>
      <w:r>
        <w:rPr>
          <w:color w:val="auto"/>
        </w:rPr>
        <w:t>2.1 编制依据</w:t>
      </w:r>
      <w:bookmarkEnd w:id="40"/>
      <w:bookmarkEnd w:id="41"/>
    </w:p>
    <w:p w14:paraId="7D8EC2B6">
      <w:pPr>
        <w:bidi w:val="0"/>
        <w:rPr>
          <w:b/>
          <w:bCs/>
        </w:rPr>
      </w:pPr>
      <w:bookmarkStart w:id="42" w:name="_Toc2683"/>
      <w:r>
        <w:rPr>
          <w:b/>
          <w:bCs/>
        </w:rPr>
        <w:t>2.1.1 国家法律及部门规章</w:t>
      </w:r>
    </w:p>
    <w:p w14:paraId="67771B76">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t>1</w:t>
      </w:r>
      <w:r>
        <w:rPr>
          <w:rFonts w:hint="eastAsia"/>
          <w:lang w:eastAsia="zh-CN"/>
        </w:rPr>
        <w:t>）</w:t>
      </w:r>
      <w:r>
        <w:t>《中华人民</w:t>
      </w:r>
      <w:r>
        <w:rPr>
          <w:rFonts w:hint="eastAsia"/>
          <w:lang w:val="en-US" w:eastAsia="zh-CN"/>
        </w:rPr>
        <w:t>生态环境法典</w:t>
      </w:r>
      <w:r>
        <w:t>》，20</w:t>
      </w:r>
      <w:r>
        <w:rPr>
          <w:rFonts w:hint="eastAsia"/>
          <w:lang w:val="en-US" w:eastAsia="zh-CN"/>
        </w:rPr>
        <w:t>26年</w:t>
      </w:r>
      <w:r>
        <w:t>0</w:t>
      </w:r>
      <w:r>
        <w:rPr>
          <w:rFonts w:hint="eastAsia"/>
          <w:lang w:val="en-US" w:eastAsia="zh-CN"/>
        </w:rPr>
        <w:t>8月15日</w:t>
      </w:r>
      <w:r>
        <w:t>实施；</w:t>
      </w:r>
    </w:p>
    <w:p w14:paraId="52C8C9FA">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（2）中华人民共和国国务院令 第820号 《生态环境监测条例》，2026年1月1日施行；</w:t>
      </w:r>
    </w:p>
    <w:p w14:paraId="4A033D68">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3</w:t>
      </w:r>
      <w:r>
        <w:rPr>
          <w:rFonts w:hint="eastAsia"/>
          <w:lang w:eastAsia="zh-CN"/>
        </w:rPr>
        <w:t>）</w:t>
      </w:r>
      <w:r>
        <w:t>中共中央国务院《关于全面加强生态环境保护坚决打好污染防治攻坚战的意见》</w:t>
      </w:r>
      <w:r>
        <w:rPr>
          <w:rFonts w:hint="eastAsia"/>
          <w:lang w:eastAsia="zh-CN"/>
        </w:rPr>
        <w:t>，</w:t>
      </w:r>
      <w:r>
        <w:t>2018</w:t>
      </w:r>
      <w:r>
        <w:rPr>
          <w:rFonts w:hint="eastAsia"/>
          <w:lang w:val="en-US" w:eastAsia="zh-CN"/>
        </w:rPr>
        <w:t>年</w:t>
      </w:r>
      <w:r>
        <w:t>6</w:t>
      </w:r>
      <w:r>
        <w:rPr>
          <w:rFonts w:hint="eastAsia"/>
          <w:lang w:val="en-US" w:eastAsia="zh-CN"/>
        </w:rPr>
        <w:t>月</w:t>
      </w:r>
      <w:r>
        <w:t>16</w:t>
      </w:r>
      <w:r>
        <w:rPr>
          <w:rFonts w:hint="eastAsia"/>
          <w:lang w:val="en-US" w:eastAsia="zh-CN"/>
        </w:rPr>
        <w:t>日</w:t>
      </w:r>
      <w:r>
        <w:t>；</w:t>
      </w:r>
    </w:p>
    <w:p w14:paraId="13DBFF97">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4</w:t>
      </w:r>
      <w:r>
        <w:rPr>
          <w:rFonts w:hint="eastAsia"/>
          <w:lang w:eastAsia="zh-CN"/>
        </w:rPr>
        <w:t>）</w:t>
      </w:r>
      <w:r>
        <w:t>中华人民共和国国务院令</w:t>
      </w:r>
      <w:r>
        <w:rPr>
          <w:rFonts w:hint="eastAsia"/>
          <w:lang w:val="en-US" w:eastAsia="zh-CN"/>
        </w:rPr>
        <w:t xml:space="preserve"> </w:t>
      </w:r>
      <w:r>
        <w:t>第682号</w:t>
      </w:r>
      <w:r>
        <w:rPr>
          <w:rFonts w:hint="eastAsia"/>
          <w:lang w:val="en-US" w:eastAsia="zh-CN"/>
        </w:rPr>
        <w:t xml:space="preserve"> </w:t>
      </w:r>
      <w:r>
        <w:t>《建设项目环境保护管理条例》，2017</w:t>
      </w:r>
      <w:r>
        <w:rPr>
          <w:rFonts w:hint="eastAsia"/>
          <w:lang w:eastAsia="zh-CN"/>
        </w:rPr>
        <w:t>月</w:t>
      </w:r>
      <w:r>
        <w:t>7</w:t>
      </w:r>
      <w:r>
        <w:rPr>
          <w:rFonts w:hint="eastAsia"/>
          <w:lang w:eastAsia="zh-CN"/>
        </w:rPr>
        <w:t>月</w:t>
      </w:r>
      <w:r>
        <w:t>16</w:t>
      </w:r>
      <w:r>
        <w:rPr>
          <w:rFonts w:hint="eastAsia"/>
          <w:lang w:val="en-US" w:eastAsia="zh-CN"/>
        </w:rPr>
        <w:t>日</w:t>
      </w:r>
      <w:r>
        <w:t>修订，2017</w:t>
      </w:r>
      <w:r>
        <w:rPr>
          <w:rFonts w:hint="eastAsia"/>
          <w:lang w:val="en-US" w:eastAsia="zh-CN"/>
        </w:rPr>
        <w:t>年</w:t>
      </w:r>
      <w:r>
        <w:t>10</w:t>
      </w:r>
      <w:r>
        <w:rPr>
          <w:rFonts w:hint="eastAsia"/>
          <w:lang w:eastAsia="zh-CN"/>
        </w:rPr>
        <w:t>月</w:t>
      </w:r>
      <w:r>
        <w:t>01</w:t>
      </w:r>
      <w:r>
        <w:rPr>
          <w:rFonts w:hint="eastAsia"/>
          <w:lang w:val="en-US" w:eastAsia="zh-CN"/>
        </w:rPr>
        <w:t>日</w:t>
      </w:r>
      <w:r>
        <w:t>实施；</w:t>
      </w:r>
    </w:p>
    <w:p w14:paraId="581C0208">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5</w:t>
      </w:r>
      <w:r>
        <w:rPr>
          <w:rFonts w:hint="eastAsia"/>
          <w:lang w:eastAsia="zh-CN"/>
        </w:rPr>
        <w:t>）</w:t>
      </w:r>
      <w:r>
        <w:t>国务院 国发</w:t>
      </w:r>
      <w:r>
        <w:rPr>
          <w:rFonts w:hint="eastAsia"/>
        </w:rPr>
        <w:t>〔2011〕35号</w:t>
      </w:r>
      <w:r>
        <w:rPr>
          <w:rFonts w:hint="eastAsia"/>
          <w:lang w:val="en-US" w:eastAsia="zh-CN"/>
        </w:rPr>
        <w:t xml:space="preserve"> </w:t>
      </w:r>
      <w:r>
        <w:t>《国务院关于加强环境保护重点工作的意见》</w:t>
      </w:r>
      <w:r>
        <w:rPr>
          <w:rFonts w:hint="eastAsia"/>
          <w:lang w:val="en-US" w:eastAsia="zh-CN"/>
        </w:rPr>
        <w:t>，2011年10月17日</w:t>
      </w:r>
      <w:r>
        <w:t>；</w:t>
      </w:r>
    </w:p>
    <w:p w14:paraId="18EDEB8A">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6</w:t>
      </w:r>
      <w:r>
        <w:rPr>
          <w:rFonts w:hint="eastAsia"/>
          <w:lang w:eastAsia="zh-CN"/>
        </w:rPr>
        <w:t>）</w:t>
      </w:r>
      <w:r>
        <w:t>国务院</w:t>
      </w:r>
      <w:r>
        <w:rPr>
          <w:rFonts w:hint="eastAsia"/>
        </w:rPr>
        <w:t xml:space="preserve"> </w:t>
      </w:r>
      <w:r>
        <w:t>国发</w:t>
      </w:r>
      <w:r>
        <w:rPr>
          <w:rFonts w:hint="eastAsia"/>
        </w:rPr>
        <w:t xml:space="preserve">〔2023〕24号 </w:t>
      </w:r>
      <w:r>
        <w:rPr>
          <w:rFonts w:hint="eastAsia"/>
          <w:lang w:val="en-US" w:eastAsia="zh-CN"/>
        </w:rPr>
        <w:t>国务院关于印发</w:t>
      </w:r>
      <w:r>
        <w:t>《空气质量持续改善行动计划》的通知</w:t>
      </w:r>
      <w:r>
        <w:rPr>
          <w:rFonts w:hint="eastAsia"/>
          <w:lang w:eastAsia="zh-CN"/>
        </w:rPr>
        <w:t>，</w:t>
      </w:r>
      <w:r>
        <w:rPr>
          <w:rFonts w:hint="eastAsia"/>
          <w:lang w:val="en-US" w:eastAsia="zh-CN"/>
        </w:rPr>
        <w:t>2023年11月30日</w:t>
      </w:r>
      <w:r>
        <w:rPr>
          <w:rFonts w:hint="eastAsia"/>
        </w:rPr>
        <w:t>；</w:t>
      </w:r>
    </w:p>
    <w:p w14:paraId="7F6C6167">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7</w:t>
      </w:r>
      <w:r>
        <w:rPr>
          <w:rFonts w:hint="eastAsia"/>
          <w:lang w:eastAsia="zh-CN"/>
        </w:rPr>
        <w:t>）</w:t>
      </w:r>
      <w:r>
        <w:rPr>
          <w:rFonts w:hint="eastAsia"/>
        </w:rPr>
        <w:t>国家发展和改革委员会</w:t>
      </w:r>
      <w:r>
        <w:rPr>
          <w:rFonts w:hint="eastAsia"/>
          <w:lang w:val="en-US" w:eastAsia="zh-CN"/>
        </w:rPr>
        <w:t xml:space="preserve">令 </w:t>
      </w:r>
      <w:r>
        <w:t>第7号</w:t>
      </w:r>
      <w:r>
        <w:rPr>
          <w:rFonts w:hint="eastAsia"/>
          <w:lang w:val="en-US" w:eastAsia="zh-CN"/>
        </w:rPr>
        <w:t xml:space="preserve"> </w:t>
      </w:r>
      <w:r>
        <w:t>《产业结构调整指导目录</w:t>
      </w:r>
      <w:r>
        <w:rPr>
          <w:rFonts w:hint="eastAsia"/>
          <w:lang w:eastAsia="zh-CN"/>
        </w:rPr>
        <w:t>（</w:t>
      </w:r>
      <w:r>
        <w:t>2024年本</w:t>
      </w:r>
      <w:r>
        <w:rPr>
          <w:rFonts w:hint="eastAsia"/>
          <w:lang w:eastAsia="zh-CN"/>
        </w:rPr>
        <w:t>）</w:t>
      </w:r>
      <w:r>
        <w:t>》，</w:t>
      </w:r>
      <w:r>
        <w:rPr>
          <w:rFonts w:hint="eastAsia"/>
          <w:lang w:val="en-US" w:eastAsia="zh-CN"/>
        </w:rPr>
        <w:t>2023年12月27日发布，2024年02月01日实施</w:t>
      </w:r>
      <w:r>
        <w:t>；</w:t>
      </w:r>
    </w:p>
    <w:p w14:paraId="58D8D82A">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8</w:t>
      </w:r>
      <w:r>
        <w:rPr>
          <w:rFonts w:hint="eastAsia"/>
          <w:lang w:eastAsia="zh-CN"/>
        </w:rPr>
        <w:t>）</w:t>
      </w:r>
      <w:r>
        <w:t>中华人民共和国生态环境部 环大气</w:t>
      </w:r>
      <w:r>
        <w:rPr>
          <w:rFonts w:hint="eastAsia"/>
        </w:rPr>
        <w:t>〔2019〕53号</w:t>
      </w:r>
      <w:r>
        <w:rPr>
          <w:rFonts w:hint="eastAsia"/>
          <w:lang w:val="en-US" w:eastAsia="zh-CN"/>
        </w:rPr>
        <w:t xml:space="preserve"> </w:t>
      </w:r>
      <w:r>
        <w:rPr>
          <w:rFonts w:hint="eastAsia"/>
        </w:rPr>
        <w:t>关于印发《重点行业挥发性有机物综合治理方案》的通知</w:t>
      </w:r>
      <w:r>
        <w:rPr>
          <w:rFonts w:hint="eastAsia"/>
          <w:lang w:val="en-US" w:eastAsia="zh-CN"/>
        </w:rPr>
        <w:t xml:space="preserve"> </w:t>
      </w:r>
      <w:r>
        <w:t>，2019</w:t>
      </w:r>
      <w:r>
        <w:rPr>
          <w:rFonts w:hint="eastAsia"/>
          <w:lang w:val="en-US" w:eastAsia="zh-CN"/>
        </w:rPr>
        <w:t>年0</w:t>
      </w:r>
      <w:r>
        <w:t>6</w:t>
      </w:r>
      <w:r>
        <w:rPr>
          <w:rFonts w:hint="eastAsia"/>
          <w:lang w:val="en-US" w:eastAsia="zh-CN"/>
        </w:rPr>
        <w:t>月</w:t>
      </w:r>
      <w:r>
        <w:t>26</w:t>
      </w:r>
      <w:r>
        <w:rPr>
          <w:rFonts w:hint="eastAsia"/>
          <w:lang w:val="en-US" w:eastAsia="zh-CN"/>
        </w:rPr>
        <w:t>日</w:t>
      </w:r>
      <w:r>
        <w:t>；</w:t>
      </w:r>
    </w:p>
    <w:p w14:paraId="1B8DEB91">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9</w:t>
      </w:r>
      <w:r>
        <w:rPr>
          <w:rFonts w:hint="eastAsia"/>
          <w:lang w:eastAsia="zh-CN"/>
        </w:rPr>
        <w:t>）</w:t>
      </w:r>
      <w:r>
        <w:t>中华人民共和国生态环境部</w:t>
      </w:r>
      <w:r>
        <w:rPr>
          <w:rFonts w:hint="eastAsia"/>
        </w:rPr>
        <w:t xml:space="preserve"> 部令第36号</w:t>
      </w:r>
      <w:r>
        <w:rPr>
          <w:rFonts w:hint="eastAsia"/>
          <w:lang w:val="en-US" w:eastAsia="zh-CN"/>
        </w:rPr>
        <w:t xml:space="preserve"> </w:t>
      </w:r>
      <w:r>
        <w:t>《国家危险废物名录》</w:t>
      </w:r>
      <w:r>
        <w:rPr>
          <w:rFonts w:hint="eastAsia"/>
          <w:lang w:eastAsia="zh-CN"/>
        </w:rPr>
        <w:t>（</w:t>
      </w:r>
      <w:r>
        <w:t>202</w:t>
      </w:r>
      <w:r>
        <w:rPr>
          <w:rFonts w:hint="eastAsia"/>
        </w:rPr>
        <w:t>5</w:t>
      </w:r>
      <w:r>
        <w:t>版</w:t>
      </w:r>
      <w:r>
        <w:rPr>
          <w:rFonts w:hint="eastAsia"/>
          <w:lang w:eastAsia="zh-CN"/>
        </w:rPr>
        <w:t>）</w:t>
      </w:r>
      <w:r>
        <w:t>，20</w:t>
      </w:r>
      <w:r>
        <w:rPr>
          <w:rFonts w:hint="eastAsia"/>
        </w:rPr>
        <w:t>24</w:t>
      </w:r>
      <w:r>
        <w:rPr>
          <w:rFonts w:hint="eastAsia"/>
          <w:lang w:val="en-US" w:eastAsia="zh-CN"/>
        </w:rPr>
        <w:t>年</w:t>
      </w:r>
      <w:r>
        <w:t>11</w:t>
      </w:r>
      <w:r>
        <w:rPr>
          <w:rFonts w:hint="eastAsia"/>
          <w:lang w:val="en-US" w:eastAsia="zh-CN"/>
        </w:rPr>
        <w:t>月</w:t>
      </w:r>
      <w:r>
        <w:rPr>
          <w:rFonts w:hint="eastAsia"/>
        </w:rPr>
        <w:t>26</w:t>
      </w:r>
      <w:r>
        <w:rPr>
          <w:rFonts w:hint="eastAsia"/>
          <w:lang w:val="en-US" w:eastAsia="zh-CN"/>
        </w:rPr>
        <w:t>日审议通过，2025年01月01日实施</w:t>
      </w:r>
      <w:r>
        <w:t>；</w:t>
      </w:r>
    </w:p>
    <w:p w14:paraId="46C97C0F">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10</w:t>
      </w:r>
      <w:r>
        <w:rPr>
          <w:rFonts w:hint="eastAsia"/>
          <w:lang w:eastAsia="zh-CN"/>
        </w:rPr>
        <w:t>）</w:t>
      </w:r>
      <w:r>
        <w:t>中华人民共和国原环境保护部</w:t>
      </w:r>
      <w:r>
        <w:rPr>
          <w:rFonts w:hint="eastAsia"/>
          <w:lang w:val="en-US" w:eastAsia="zh-CN"/>
        </w:rPr>
        <w:t xml:space="preserve"> </w:t>
      </w:r>
      <w:r>
        <w:t>公告2013年第31号</w:t>
      </w:r>
      <w:r>
        <w:rPr>
          <w:rFonts w:hint="eastAsia"/>
          <w:lang w:val="en-US" w:eastAsia="zh-CN"/>
        </w:rPr>
        <w:t xml:space="preserve"> </w:t>
      </w:r>
      <w:r>
        <w:t>《挥发性有机物</w:t>
      </w:r>
      <w:r>
        <w:rPr>
          <w:rFonts w:hint="eastAsia"/>
          <w:lang w:eastAsia="zh-CN"/>
        </w:rPr>
        <w:t>（</w:t>
      </w:r>
      <w:r>
        <w:t>VOCs</w:t>
      </w:r>
      <w:r>
        <w:rPr>
          <w:rFonts w:hint="eastAsia"/>
          <w:lang w:eastAsia="zh-CN"/>
        </w:rPr>
        <w:t>）</w:t>
      </w:r>
      <w:r>
        <w:t>污染防治技术政策》，2013</w:t>
      </w:r>
      <w:r>
        <w:rPr>
          <w:rFonts w:hint="eastAsia"/>
          <w:lang w:val="en-US" w:eastAsia="zh-CN"/>
        </w:rPr>
        <w:t>年0</w:t>
      </w:r>
      <w:r>
        <w:t>5</w:t>
      </w:r>
      <w:r>
        <w:rPr>
          <w:rFonts w:hint="eastAsia"/>
          <w:lang w:val="en-US" w:eastAsia="zh-CN"/>
        </w:rPr>
        <w:t>月</w:t>
      </w:r>
      <w:r>
        <w:t>24</w:t>
      </w:r>
      <w:r>
        <w:rPr>
          <w:rFonts w:hint="eastAsia"/>
          <w:lang w:val="en-US" w:eastAsia="zh-CN"/>
        </w:rPr>
        <w:t>日</w:t>
      </w:r>
      <w:r>
        <w:t>；</w:t>
      </w:r>
    </w:p>
    <w:p w14:paraId="37E398D9">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11</w:t>
      </w:r>
      <w:r>
        <w:rPr>
          <w:rFonts w:hint="eastAsia"/>
          <w:lang w:eastAsia="zh-CN"/>
        </w:rPr>
        <w:t>）</w:t>
      </w:r>
      <w:r>
        <w:t>中华人民共和国原环境保护部 环发</w:t>
      </w:r>
      <w:r>
        <w:rPr>
          <w:rFonts w:hint="eastAsia"/>
        </w:rPr>
        <w:t>〔2014〕197号</w:t>
      </w:r>
      <w:r>
        <w:rPr>
          <w:rFonts w:hint="eastAsia"/>
          <w:lang w:val="en-US" w:eastAsia="zh-CN"/>
        </w:rPr>
        <w:t xml:space="preserve"> </w:t>
      </w:r>
      <w:r>
        <w:t>关于印发《建设项目主要污染物排放总量指标审核及管理暂行办法》的通知</w:t>
      </w:r>
      <w:r>
        <w:rPr>
          <w:rFonts w:hint="eastAsia"/>
          <w:lang w:eastAsia="zh-CN"/>
        </w:rPr>
        <w:t>，2014</w:t>
      </w:r>
      <w:r>
        <w:rPr>
          <w:rFonts w:hint="eastAsia"/>
          <w:lang w:val="en-US" w:eastAsia="zh-CN"/>
        </w:rPr>
        <w:t>年</w:t>
      </w:r>
      <w:r>
        <w:rPr>
          <w:rFonts w:hint="eastAsia"/>
          <w:lang w:eastAsia="zh-CN"/>
        </w:rPr>
        <w:t>12</w:t>
      </w:r>
      <w:r>
        <w:rPr>
          <w:rFonts w:hint="eastAsia"/>
          <w:lang w:val="en-US" w:eastAsia="zh-CN"/>
        </w:rPr>
        <w:t>月</w:t>
      </w:r>
      <w:r>
        <w:rPr>
          <w:rFonts w:hint="eastAsia"/>
          <w:lang w:eastAsia="zh-CN"/>
        </w:rPr>
        <w:t>30</w:t>
      </w:r>
      <w:r>
        <w:rPr>
          <w:rFonts w:hint="eastAsia"/>
          <w:lang w:val="en-US" w:eastAsia="zh-CN"/>
        </w:rPr>
        <w:t>日</w:t>
      </w:r>
      <w:r>
        <w:t>；</w:t>
      </w:r>
    </w:p>
    <w:p w14:paraId="01227FE7">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12</w:t>
      </w:r>
      <w:r>
        <w:rPr>
          <w:rFonts w:hint="eastAsia"/>
          <w:lang w:eastAsia="zh-CN"/>
        </w:rPr>
        <w:t>）</w:t>
      </w:r>
      <w:r>
        <w:t>中华人民共和国生态环境部 环环评〔2021〕45 号《关于加强高耗能、高排放建设项目生态环境源头防控的指导意见》，2021</w:t>
      </w:r>
      <w:r>
        <w:rPr>
          <w:rFonts w:hint="eastAsia"/>
          <w:lang w:val="en-US" w:eastAsia="zh-CN"/>
        </w:rPr>
        <w:t>年0</w:t>
      </w:r>
      <w:r>
        <w:t>5</w:t>
      </w:r>
      <w:r>
        <w:rPr>
          <w:rFonts w:hint="eastAsia"/>
          <w:lang w:val="en-US" w:eastAsia="zh-CN"/>
        </w:rPr>
        <w:t>月</w:t>
      </w:r>
      <w:r>
        <w:t>30</w:t>
      </w:r>
      <w:r>
        <w:rPr>
          <w:rFonts w:hint="eastAsia"/>
          <w:lang w:val="en-US" w:eastAsia="zh-CN"/>
        </w:rPr>
        <w:t>日</w:t>
      </w:r>
      <w:r>
        <w:t>；</w:t>
      </w:r>
    </w:p>
    <w:p w14:paraId="3B921281">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13</w:t>
      </w:r>
      <w:r>
        <w:rPr>
          <w:rFonts w:hint="eastAsia"/>
          <w:lang w:eastAsia="zh-CN"/>
        </w:rPr>
        <w:t>）</w:t>
      </w:r>
      <w:r>
        <w:t>中华人民共和国生态环境部办公厅 环办综合函〔2021〕495号《关于印发</w:t>
      </w:r>
      <w:r>
        <w:rPr>
          <w:rFonts w:hint="eastAsia"/>
        </w:rPr>
        <w:t>〈</w:t>
      </w:r>
      <w:r>
        <w:t>环境保护综合名录</w:t>
      </w:r>
      <w:r>
        <w:rPr>
          <w:rFonts w:hint="eastAsia"/>
          <w:lang w:eastAsia="zh-CN"/>
        </w:rPr>
        <w:t>（</w:t>
      </w:r>
      <w:r>
        <w:t>2021版</w:t>
      </w:r>
      <w:r>
        <w:rPr>
          <w:rFonts w:hint="eastAsia"/>
          <w:lang w:eastAsia="zh-CN"/>
        </w:rPr>
        <w:t>）</w:t>
      </w:r>
      <w:r>
        <w:rPr>
          <w:rFonts w:hint="eastAsia"/>
        </w:rPr>
        <w:t>〉的通知》</w:t>
      </w:r>
      <w:r>
        <w:t>，2021</w:t>
      </w:r>
      <w:r>
        <w:rPr>
          <w:rFonts w:hint="eastAsia"/>
          <w:lang w:val="en-US" w:eastAsia="zh-CN"/>
        </w:rPr>
        <w:t>年</w:t>
      </w:r>
      <w:r>
        <w:t>10</w:t>
      </w:r>
      <w:r>
        <w:rPr>
          <w:rFonts w:hint="eastAsia"/>
          <w:lang w:val="en-US" w:eastAsia="zh-CN"/>
        </w:rPr>
        <w:t>月</w:t>
      </w:r>
      <w:r>
        <w:t>25；</w:t>
      </w:r>
    </w:p>
    <w:p w14:paraId="425645A5">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14</w:t>
      </w:r>
      <w:r>
        <w:rPr>
          <w:rFonts w:hint="eastAsia"/>
          <w:lang w:eastAsia="zh-CN"/>
        </w:rPr>
        <w:t>）</w:t>
      </w:r>
      <w:r>
        <w:t>中华人民共和国生态环境部、中华人民共和国公安部、中华人民共和国交通运输部 部令第23号 《危险废物转移管理办法》，2021</w:t>
      </w:r>
      <w:r>
        <w:rPr>
          <w:rFonts w:hint="eastAsia"/>
          <w:lang w:val="en-US" w:eastAsia="zh-CN"/>
        </w:rPr>
        <w:t>年</w:t>
      </w:r>
      <w:r>
        <w:t>12</w:t>
      </w:r>
      <w:r>
        <w:rPr>
          <w:rFonts w:hint="eastAsia"/>
          <w:lang w:val="en-US" w:eastAsia="zh-CN"/>
        </w:rPr>
        <w:t>月0</w:t>
      </w:r>
      <w:r>
        <w:t>3</w:t>
      </w:r>
      <w:r>
        <w:rPr>
          <w:rFonts w:hint="eastAsia"/>
          <w:lang w:val="en-US" w:eastAsia="zh-CN"/>
        </w:rPr>
        <w:t>日</w:t>
      </w:r>
      <w:r>
        <w:t>；</w:t>
      </w:r>
    </w:p>
    <w:p w14:paraId="2F2D9D8C">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15</w:t>
      </w:r>
      <w:r>
        <w:rPr>
          <w:rFonts w:hint="eastAsia"/>
          <w:lang w:eastAsia="zh-CN"/>
        </w:rPr>
        <w:t>）</w:t>
      </w:r>
      <w:r>
        <w:t>中华人民共和国国务院办公厅 国办函〔2021〕47号 《关于印发强化危险废物监管和利用处置能力改革实施方案的通知》，2021</w:t>
      </w:r>
      <w:r>
        <w:rPr>
          <w:rFonts w:hint="eastAsia"/>
          <w:lang w:val="en-US" w:eastAsia="zh-CN"/>
        </w:rPr>
        <w:t>年0</w:t>
      </w:r>
      <w:r>
        <w:t>5</w:t>
      </w:r>
      <w:r>
        <w:rPr>
          <w:rFonts w:hint="eastAsia"/>
          <w:lang w:val="en-US" w:eastAsia="zh-CN"/>
        </w:rPr>
        <w:t>月</w:t>
      </w:r>
      <w:r>
        <w:t>11</w:t>
      </w:r>
      <w:r>
        <w:rPr>
          <w:rFonts w:hint="eastAsia"/>
          <w:lang w:val="en-US" w:eastAsia="zh-CN"/>
        </w:rPr>
        <w:t>日</w:t>
      </w:r>
      <w:r>
        <w:t>；</w:t>
      </w:r>
    </w:p>
    <w:p w14:paraId="19825509">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16</w:t>
      </w:r>
      <w:r>
        <w:rPr>
          <w:rFonts w:hint="eastAsia"/>
          <w:lang w:eastAsia="zh-CN"/>
        </w:rPr>
        <w:t>）</w:t>
      </w:r>
      <w:r>
        <w:t>生态环境部</w:t>
      </w:r>
      <w:r>
        <w:rPr>
          <w:rFonts w:hint="eastAsia"/>
          <w:lang w:val="en-US" w:eastAsia="zh-CN"/>
        </w:rPr>
        <w:t xml:space="preserve"> 中央文明办 国家发展和改革委员会等 </w:t>
      </w:r>
      <w:r>
        <w:t>环大气〔2023〕1号</w:t>
      </w:r>
      <w:r>
        <w:rPr>
          <w:rFonts w:hint="eastAsia"/>
          <w:lang w:val="en-US" w:eastAsia="zh-CN"/>
        </w:rPr>
        <w:t xml:space="preserve"> </w:t>
      </w:r>
      <w:r>
        <w:t>《</w:t>
      </w:r>
      <w:r>
        <w:rPr>
          <w:rFonts w:hint="eastAsia"/>
        </w:rPr>
        <w:t>关于印发《“十四五”噪声污染防治行动计划》的通知</w:t>
      </w:r>
      <w:r>
        <w:t>，2023</w:t>
      </w:r>
      <w:r>
        <w:rPr>
          <w:rFonts w:hint="eastAsia"/>
          <w:lang w:val="en-US" w:eastAsia="zh-CN"/>
        </w:rPr>
        <w:t>年0</w:t>
      </w:r>
      <w:r>
        <w:t>1</w:t>
      </w:r>
      <w:r>
        <w:rPr>
          <w:rFonts w:hint="eastAsia"/>
          <w:lang w:val="en-US" w:eastAsia="zh-CN"/>
        </w:rPr>
        <w:t>月0</w:t>
      </w:r>
      <w:r>
        <w:t>3</w:t>
      </w:r>
      <w:r>
        <w:rPr>
          <w:rFonts w:hint="eastAsia"/>
          <w:lang w:val="en-US" w:eastAsia="zh-CN"/>
        </w:rPr>
        <w:t>日</w:t>
      </w:r>
      <w:r>
        <w:t>；</w:t>
      </w:r>
    </w:p>
    <w:p w14:paraId="34B6304A">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17</w:t>
      </w:r>
      <w:r>
        <w:rPr>
          <w:rFonts w:hint="eastAsia"/>
          <w:lang w:eastAsia="zh-CN"/>
        </w:rPr>
        <w:t>）</w:t>
      </w:r>
      <w:r>
        <w:rPr>
          <w:rFonts w:hint="eastAsia"/>
        </w:rPr>
        <w:t>生态环境部</w:t>
      </w:r>
      <w:r>
        <w:rPr>
          <w:rFonts w:hint="eastAsia"/>
          <w:lang w:val="en-US" w:eastAsia="zh-CN"/>
        </w:rPr>
        <w:t xml:space="preserve"> 部</w:t>
      </w:r>
      <w:r>
        <w:rPr>
          <w:rFonts w:hint="eastAsia"/>
        </w:rPr>
        <w:t>令第32号</w:t>
      </w:r>
      <w:r>
        <w:rPr>
          <w:rFonts w:hint="eastAsia"/>
          <w:lang w:val="en-US" w:eastAsia="zh-CN"/>
        </w:rPr>
        <w:t xml:space="preserve"> </w:t>
      </w:r>
      <w:r>
        <w:rPr>
          <w:rFonts w:hint="eastAsia"/>
        </w:rPr>
        <w:t>《排污许可管理办法》</w:t>
      </w:r>
      <w:r>
        <w:rPr>
          <w:rFonts w:hint="eastAsia"/>
          <w:lang w:eastAsia="zh-CN"/>
        </w:rPr>
        <w:t>，</w:t>
      </w:r>
      <w:r>
        <w:rPr>
          <w:rFonts w:hint="eastAsia"/>
        </w:rPr>
        <w:t>2024</w:t>
      </w:r>
      <w:r>
        <w:rPr>
          <w:rFonts w:hint="eastAsia"/>
          <w:lang w:val="en-US" w:eastAsia="zh-CN"/>
        </w:rPr>
        <w:t>年0</w:t>
      </w:r>
      <w:r>
        <w:rPr>
          <w:rFonts w:hint="eastAsia"/>
        </w:rPr>
        <w:t>4</w:t>
      </w:r>
      <w:r>
        <w:rPr>
          <w:rFonts w:hint="eastAsia"/>
          <w:lang w:val="en-US" w:eastAsia="zh-CN"/>
        </w:rPr>
        <w:t>月0</w:t>
      </w:r>
      <w:r>
        <w:rPr>
          <w:rFonts w:hint="eastAsia"/>
        </w:rPr>
        <w:t>1</w:t>
      </w:r>
      <w:r>
        <w:rPr>
          <w:rFonts w:hint="eastAsia"/>
          <w:lang w:val="en-US" w:eastAsia="zh-CN"/>
        </w:rPr>
        <w:t>日</w:t>
      </w:r>
      <w:r>
        <w:rPr>
          <w:rFonts w:hint="eastAsia"/>
        </w:rPr>
        <w:t>公布，2024</w:t>
      </w:r>
      <w:r>
        <w:rPr>
          <w:rFonts w:hint="eastAsia"/>
          <w:lang w:val="en-US" w:eastAsia="zh-CN"/>
        </w:rPr>
        <w:t>年0</w:t>
      </w:r>
      <w:r>
        <w:rPr>
          <w:rFonts w:hint="eastAsia"/>
        </w:rPr>
        <w:t>7</w:t>
      </w:r>
      <w:r>
        <w:rPr>
          <w:rFonts w:hint="eastAsia"/>
          <w:lang w:val="en-US" w:eastAsia="zh-CN"/>
        </w:rPr>
        <w:t>月0</w:t>
      </w:r>
      <w:r>
        <w:rPr>
          <w:rFonts w:hint="eastAsia"/>
        </w:rPr>
        <w:t>1</w:t>
      </w:r>
      <w:r>
        <w:rPr>
          <w:rFonts w:hint="eastAsia"/>
          <w:lang w:val="en-US" w:eastAsia="zh-CN"/>
        </w:rPr>
        <w:t>日</w:t>
      </w:r>
      <w:r>
        <w:rPr>
          <w:rFonts w:hint="eastAsia"/>
        </w:rPr>
        <w:t>施行</w:t>
      </w:r>
      <w:r>
        <w:t>；</w:t>
      </w:r>
    </w:p>
    <w:p w14:paraId="159CF396">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lang w:eastAsia="zh-CN"/>
        </w:rPr>
        <w:t>（</w:t>
      </w:r>
      <w:r>
        <w:rPr>
          <w:rFonts w:hint="eastAsia"/>
          <w:lang w:val="en-US" w:eastAsia="zh-CN"/>
        </w:rPr>
        <w:t>18</w:t>
      </w:r>
      <w:r>
        <w:rPr>
          <w:rFonts w:hint="eastAsia"/>
          <w:lang w:eastAsia="zh-CN"/>
        </w:rPr>
        <w:t>）</w:t>
      </w:r>
      <w:r>
        <w:rPr>
          <w:rFonts w:hint="eastAsia"/>
          <w:color w:val="auto"/>
        </w:rPr>
        <w:t>《重点行业挥发性有机物综合治理方案（2024年版）》</w:t>
      </w:r>
      <w:r>
        <w:t>；</w:t>
      </w:r>
    </w:p>
    <w:p w14:paraId="67F5652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rPr>
          <w:rFonts w:hint="eastAsia"/>
          <w:lang w:eastAsia="zh-CN"/>
        </w:rPr>
        <w:t>（</w:t>
      </w:r>
      <w:r>
        <w:rPr>
          <w:rFonts w:hint="eastAsia"/>
          <w:lang w:val="en-US" w:eastAsia="zh-CN"/>
        </w:rPr>
        <w:t>19</w:t>
      </w:r>
      <w:r>
        <w:rPr>
          <w:rFonts w:hint="eastAsia"/>
          <w:lang w:eastAsia="zh-CN"/>
        </w:rPr>
        <w:t>）</w:t>
      </w:r>
      <w:r>
        <w:rPr>
          <w:rFonts w:hint="eastAsia"/>
          <w:color w:val="auto"/>
        </w:rPr>
        <w:t>《国务院关于促进光伏产业健康发展的若干意见》（国发</w:t>
      </w:r>
      <w:r>
        <w:rPr>
          <w:rFonts w:hint="eastAsia"/>
          <w:color w:val="auto"/>
          <w:lang w:eastAsia="zh-CN"/>
        </w:rPr>
        <w:t>〔2013〕24号</w:t>
      </w:r>
      <w:r>
        <w:rPr>
          <w:rFonts w:hint="eastAsia"/>
          <w:color w:val="auto"/>
        </w:rPr>
        <w:t>，2013年7月4日发布）</w:t>
      </w:r>
      <w:r>
        <w:rPr>
          <w:rFonts w:hint="eastAsia"/>
          <w:lang w:eastAsia="zh-CN"/>
        </w:rPr>
        <w:t>；</w:t>
      </w:r>
    </w:p>
    <w:p w14:paraId="05F0C370">
      <w:pPr>
        <w:bidi w:val="0"/>
        <w:rPr>
          <w:rFonts w:hint="default" w:eastAsia="宋体"/>
          <w:b/>
          <w:bCs/>
          <w:lang w:val="en-US" w:eastAsia="zh-CN"/>
        </w:rPr>
      </w:pPr>
      <w:r>
        <w:rPr>
          <w:rFonts w:hint="eastAsia"/>
          <w:b/>
          <w:bCs/>
          <w:lang w:val="en-US" w:eastAsia="zh-CN"/>
        </w:rPr>
        <w:t>2.1.2 地方法规及政策规章</w:t>
      </w:r>
    </w:p>
    <w:p w14:paraId="35E5187B">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（1）</w:t>
      </w:r>
      <w:r>
        <w:t>安徽省人大常委会</w:t>
      </w:r>
      <w:r>
        <w:rPr>
          <w:rFonts w:hint="eastAsia"/>
        </w:rPr>
        <w:t>，</w:t>
      </w:r>
      <w:r>
        <w:t>《安徽省环境保护条例》，</w:t>
      </w:r>
      <w:r>
        <w:rPr>
          <w:rFonts w:hint="eastAsia"/>
          <w:lang w:val="en-US" w:eastAsia="zh-CN"/>
        </w:rPr>
        <w:t>2024年11月22日修正，</w:t>
      </w:r>
      <w:r>
        <w:t>20</w:t>
      </w:r>
      <w:r>
        <w:rPr>
          <w:rFonts w:hint="eastAsia"/>
        </w:rPr>
        <w:t>24</w:t>
      </w:r>
      <w:r>
        <w:rPr>
          <w:rFonts w:hint="eastAsia"/>
          <w:lang w:val="en-US" w:eastAsia="zh-CN"/>
        </w:rPr>
        <w:t>年</w:t>
      </w:r>
      <w:r>
        <w:t>1</w:t>
      </w:r>
      <w:r>
        <w:rPr>
          <w:rFonts w:hint="eastAsia"/>
        </w:rPr>
        <w:t>1</w:t>
      </w:r>
      <w:r>
        <w:t>月</w:t>
      </w:r>
      <w:r>
        <w:rPr>
          <w:rFonts w:hint="eastAsia"/>
        </w:rPr>
        <w:t>26</w:t>
      </w:r>
      <w:r>
        <w:t>日施行；</w:t>
      </w:r>
    </w:p>
    <w:p w14:paraId="4A07EE53">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（2）</w:t>
      </w:r>
      <w:r>
        <w:t>安徽省人大常委会，《安徽省大气污染防治条例》，201</w:t>
      </w:r>
      <w:r>
        <w:rPr>
          <w:rFonts w:hint="eastAsia"/>
        </w:rPr>
        <w:t>8</w:t>
      </w:r>
      <w:r>
        <w:rPr>
          <w:rFonts w:hint="eastAsia"/>
          <w:lang w:val="en-US" w:eastAsia="zh-CN"/>
        </w:rPr>
        <w:t>年</w:t>
      </w:r>
      <w:r>
        <w:rPr>
          <w:rFonts w:hint="eastAsia"/>
        </w:rPr>
        <w:t>11</w:t>
      </w:r>
      <w:r>
        <w:t>月1日施行；</w:t>
      </w:r>
    </w:p>
    <w:p w14:paraId="3B4C68DA">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（3）</w:t>
      </w:r>
      <w:r>
        <w:rPr>
          <w:color w:val="auto"/>
        </w:rPr>
        <w:t>《巢湖流域水污染防治条例》（修订），2020年3月1日起施行</w:t>
      </w:r>
      <w:r>
        <w:t>；</w:t>
      </w:r>
    </w:p>
    <w:p w14:paraId="1F03E311">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（4）安徽省生态环境厅，《关于全面执行大气污染物特别排放限值的通知》（</w:t>
      </w:r>
      <w:r>
        <w:t>皖环函</w:t>
      </w:r>
      <w:r>
        <w:rPr>
          <w:rFonts w:hint="eastAsia"/>
        </w:rPr>
        <w:t>（</w:t>
      </w:r>
      <w:r>
        <w:t>2019）1120号</w:t>
      </w:r>
      <w:r>
        <w:rPr>
          <w:rFonts w:hint="eastAsia"/>
        </w:rPr>
        <w:t>）</w:t>
      </w:r>
      <w:r>
        <w:t>，2019年12月24日</w:t>
      </w:r>
      <w:r>
        <w:rPr>
          <w:rFonts w:hint="eastAsia"/>
        </w:rPr>
        <w:t>；</w:t>
      </w:r>
    </w:p>
    <w:p w14:paraId="5BEACFEE">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5</w:t>
      </w:r>
      <w:r>
        <w:rPr>
          <w:rFonts w:hint="eastAsia"/>
        </w:rPr>
        <w:t>）安徽省生态环境厅，《安徽省生态环境厅关于印发加强高耗能、高排放项目生态环境源头防控的实施意见的通知》，2</w:t>
      </w:r>
      <w:r>
        <w:t>021</w:t>
      </w:r>
      <w:r>
        <w:rPr>
          <w:rFonts w:hint="eastAsia"/>
        </w:rPr>
        <w:t>年0</w:t>
      </w:r>
      <w:r>
        <w:t>6</w:t>
      </w:r>
      <w:r>
        <w:rPr>
          <w:rFonts w:hint="eastAsia"/>
        </w:rPr>
        <w:t>月1</w:t>
      </w:r>
      <w:r>
        <w:t>7</w:t>
      </w:r>
      <w:r>
        <w:rPr>
          <w:rFonts w:hint="eastAsia"/>
        </w:rPr>
        <w:t>日；</w:t>
      </w:r>
    </w:p>
    <w:p w14:paraId="76681B41">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6</w:t>
      </w:r>
      <w:r>
        <w:rPr>
          <w:rFonts w:hint="eastAsia"/>
        </w:rPr>
        <w:t>）安徽省人民政府，《</w:t>
      </w:r>
      <w:r>
        <w:t>安徽省人民政府关于加快实施</w:t>
      </w:r>
      <w:r>
        <w:rPr>
          <w:rFonts w:hint="eastAsia"/>
          <w:lang w:eastAsia="zh-CN"/>
        </w:rPr>
        <w:t>“</w:t>
      </w:r>
      <w:r>
        <w:t>三线一单</w:t>
      </w:r>
      <w:r>
        <w:rPr>
          <w:rFonts w:hint="eastAsia"/>
          <w:lang w:eastAsia="zh-CN"/>
        </w:rPr>
        <w:t>”</w:t>
      </w:r>
      <w:r>
        <w:t>生态环境分区管控的通知</w:t>
      </w:r>
      <w:r>
        <w:rPr>
          <w:rFonts w:hint="eastAsia"/>
        </w:rPr>
        <w:t>》</w:t>
      </w:r>
      <w:r>
        <w:t>，20</w:t>
      </w:r>
      <w:r>
        <w:rPr>
          <w:rFonts w:hint="eastAsia"/>
        </w:rPr>
        <w:t>20</w:t>
      </w:r>
      <w:r>
        <w:t>年</w:t>
      </w:r>
      <w:r>
        <w:rPr>
          <w:rFonts w:hint="eastAsia"/>
        </w:rPr>
        <w:t>7</w:t>
      </w:r>
      <w:r>
        <w:t>月</w:t>
      </w:r>
      <w:r>
        <w:rPr>
          <w:rFonts w:hint="eastAsia"/>
        </w:rPr>
        <w:t>10</w:t>
      </w:r>
      <w:r>
        <w:t>日；</w:t>
      </w:r>
    </w:p>
    <w:p w14:paraId="1F41C29B">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7</w:t>
      </w:r>
      <w:r>
        <w:rPr>
          <w:rFonts w:hint="eastAsia"/>
        </w:rPr>
        <w:t>）安徽省生态环境厅，</w:t>
      </w:r>
      <w:r>
        <w:t>《安徽省环保厅关于进一步加强建设项目新增大气主要污染物总量指标管理工作的通知》（皖环发[20</w:t>
      </w:r>
      <w:r>
        <w:rPr>
          <w:rFonts w:hint="eastAsia"/>
        </w:rPr>
        <w:t>17</w:t>
      </w:r>
      <w:r>
        <w:t>]19号）；</w:t>
      </w:r>
    </w:p>
    <w:p w14:paraId="294EB6EE">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8</w:t>
      </w:r>
      <w:r>
        <w:rPr>
          <w:rFonts w:hint="eastAsia"/>
        </w:rPr>
        <w:t>）</w:t>
      </w:r>
      <w:r>
        <w:rPr>
          <w:color w:val="auto"/>
        </w:rPr>
        <w:t>《关于全面打造水清岸绿产业优美丽长江（安徽）经济带的实施意见（升级版</w:t>
      </w:r>
      <w:r>
        <w:rPr>
          <w:rFonts w:hint="eastAsia"/>
          <w:color w:val="auto"/>
          <w:lang w:eastAsia="zh-CN"/>
        </w:rPr>
        <w:t>）》</w:t>
      </w:r>
      <w:r>
        <w:rPr>
          <w:color w:val="auto"/>
        </w:rPr>
        <w:t>（皖发</w:t>
      </w:r>
      <w:r>
        <w:rPr>
          <w:rFonts w:hint="eastAsia"/>
          <w:color w:val="auto"/>
          <w:lang w:eastAsia="zh-CN"/>
        </w:rPr>
        <w:t>〔2021〕19号</w:t>
      </w:r>
      <w:r>
        <w:rPr>
          <w:color w:val="auto"/>
        </w:rPr>
        <w:t>）</w:t>
      </w:r>
      <w:r>
        <w:rPr>
          <w:rFonts w:hint="eastAsia"/>
        </w:rPr>
        <w:t>；</w:t>
      </w:r>
    </w:p>
    <w:p w14:paraId="77699B9F">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9</w:t>
      </w:r>
      <w:r>
        <w:rPr>
          <w:rFonts w:hint="eastAsia"/>
        </w:rPr>
        <w:t>）</w:t>
      </w:r>
      <w:r>
        <w:rPr>
          <w:color w:val="auto"/>
        </w:rPr>
        <w:t>《巢湖流域禁止和限制的产业产品目录的通知》（皖发改环资〔2021〕6号）</w:t>
      </w:r>
      <w:r>
        <w:rPr>
          <w:rFonts w:hint="eastAsia"/>
        </w:rPr>
        <w:t>；</w:t>
      </w:r>
    </w:p>
    <w:p w14:paraId="3767379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rPr>
          <w:rFonts w:hint="eastAsia"/>
        </w:rPr>
        <w:t>（1</w:t>
      </w:r>
      <w:r>
        <w:rPr>
          <w:rFonts w:hint="eastAsia"/>
          <w:lang w:val="en-US" w:eastAsia="zh-CN"/>
        </w:rPr>
        <w:t>0</w:t>
      </w:r>
      <w:r>
        <w:rPr>
          <w:rFonts w:hint="eastAsia"/>
        </w:rPr>
        <w:t>）《安徽省空气质量持续改善行动方案》（安徽省人民政府2024年6月26日）</w:t>
      </w:r>
      <w:r>
        <w:rPr>
          <w:rFonts w:hint="eastAsia"/>
          <w:lang w:eastAsia="zh-CN"/>
        </w:rPr>
        <w:t>；</w:t>
      </w:r>
    </w:p>
    <w:p w14:paraId="7BFBAEF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rPr>
          <w:rFonts w:hint="eastAsia"/>
          <w:lang w:eastAsia="zh-CN"/>
        </w:rPr>
        <w:t>（</w:t>
      </w:r>
      <w:r>
        <w:rPr>
          <w:rFonts w:hint="eastAsia"/>
          <w:lang w:val="en-US" w:eastAsia="zh-CN"/>
        </w:rPr>
        <w:t>11</w:t>
      </w:r>
      <w:r>
        <w:rPr>
          <w:rFonts w:hint="eastAsia"/>
          <w:lang w:eastAsia="zh-CN"/>
        </w:rPr>
        <w:t>）</w:t>
      </w:r>
      <w:r>
        <w:rPr>
          <w:rFonts w:hint="eastAsia"/>
          <w:color w:val="auto"/>
        </w:rPr>
        <w:t>《安徽省生态保护红线（2023年调整版）》（2023年12月发布）</w:t>
      </w:r>
      <w:r>
        <w:rPr>
          <w:rFonts w:hint="eastAsia"/>
          <w:lang w:eastAsia="zh-CN"/>
        </w:rPr>
        <w:t>；</w:t>
      </w:r>
    </w:p>
    <w:p w14:paraId="3352CE37">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rPr>
      </w:pPr>
      <w:r>
        <w:rPr>
          <w:rFonts w:hint="eastAsia"/>
          <w:lang w:eastAsia="zh-CN"/>
        </w:rPr>
        <w:t>（</w:t>
      </w:r>
      <w:r>
        <w:rPr>
          <w:rFonts w:hint="eastAsia"/>
          <w:lang w:val="en-US" w:eastAsia="zh-CN"/>
        </w:rPr>
        <w:t>12</w:t>
      </w:r>
      <w:r>
        <w:rPr>
          <w:rFonts w:hint="eastAsia"/>
          <w:lang w:eastAsia="zh-CN"/>
        </w:rPr>
        <w:t>）</w:t>
      </w:r>
      <w:r>
        <w:rPr>
          <w:rFonts w:hint="eastAsia"/>
        </w:rPr>
        <w:t>《安徽省“十四五”生态环境保护规划》（皖环发[2022]8号，2022年1月27日）；</w:t>
      </w:r>
    </w:p>
    <w:p w14:paraId="5E9A31E7">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eastAsia="zh-CN"/>
        </w:rPr>
      </w:pPr>
      <w:r>
        <w:rPr>
          <w:rFonts w:hint="eastAsia"/>
          <w:lang w:eastAsia="zh-CN"/>
        </w:rPr>
        <w:t>（</w:t>
      </w:r>
      <w:r>
        <w:rPr>
          <w:rFonts w:hint="eastAsia"/>
          <w:lang w:val="en-US" w:eastAsia="zh-CN"/>
        </w:rPr>
        <w:t>13</w:t>
      </w:r>
      <w:r>
        <w:rPr>
          <w:rFonts w:hint="eastAsia"/>
          <w:lang w:eastAsia="zh-CN"/>
        </w:rPr>
        <w:t>）</w:t>
      </w:r>
      <w:r>
        <w:rPr>
          <w:color w:val="auto"/>
        </w:rPr>
        <w:t>《合肥市大气污染防治条例》（20</w:t>
      </w:r>
      <w:r>
        <w:rPr>
          <w:rFonts w:hint="eastAsia"/>
          <w:color w:val="auto"/>
          <w:lang w:val="en-US" w:eastAsia="zh-CN"/>
        </w:rPr>
        <w:t>24</w:t>
      </w:r>
      <w:r>
        <w:rPr>
          <w:color w:val="auto"/>
        </w:rPr>
        <w:t>修订</w:t>
      </w:r>
      <w:r>
        <w:rPr>
          <w:rFonts w:hint="eastAsia"/>
          <w:color w:val="auto"/>
          <w:lang w:eastAsia="zh-CN"/>
        </w:rPr>
        <w:t>，</w:t>
      </w:r>
      <w:r>
        <w:rPr>
          <w:color w:val="auto"/>
        </w:rPr>
        <w:t>2024年12月施行）</w:t>
      </w:r>
      <w:r>
        <w:rPr>
          <w:rFonts w:hint="eastAsia"/>
          <w:lang w:eastAsia="zh-CN"/>
        </w:rPr>
        <w:t>；</w:t>
      </w:r>
    </w:p>
    <w:p w14:paraId="679C59DD">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14</w:t>
      </w:r>
      <w:r>
        <w:rPr>
          <w:rFonts w:hint="eastAsia"/>
        </w:rPr>
        <w:t>）</w:t>
      </w:r>
      <w:r>
        <w:rPr>
          <w:color w:val="auto"/>
        </w:rPr>
        <w:t>《</w:t>
      </w:r>
      <w:r>
        <w:rPr>
          <w:rFonts w:ascii="宋体" w:hAnsi="宋体" w:eastAsia="宋体" w:cs="宋体"/>
          <w:color w:val="auto"/>
          <w:sz w:val="24"/>
          <w:szCs w:val="24"/>
        </w:rPr>
        <w:t>合肥市噪声污染防治条例</w:t>
      </w:r>
      <w:r>
        <w:rPr>
          <w:color w:val="auto"/>
        </w:rPr>
        <w:t>》（20</w:t>
      </w:r>
      <w:r>
        <w:rPr>
          <w:rFonts w:hint="eastAsia"/>
          <w:color w:val="auto"/>
          <w:lang w:val="en-US" w:eastAsia="zh-CN"/>
        </w:rPr>
        <w:t>24</w:t>
      </w:r>
      <w:r>
        <w:rPr>
          <w:color w:val="auto"/>
        </w:rPr>
        <w:t>修订</w:t>
      </w:r>
      <w:r>
        <w:rPr>
          <w:rFonts w:hint="eastAsia"/>
          <w:color w:val="auto"/>
          <w:lang w:eastAsia="zh-CN"/>
        </w:rPr>
        <w:t>，</w:t>
      </w:r>
      <w:r>
        <w:rPr>
          <w:color w:val="auto"/>
        </w:rPr>
        <w:t>2024年</w:t>
      </w:r>
      <w:r>
        <w:rPr>
          <w:rFonts w:hint="eastAsia"/>
          <w:color w:val="auto"/>
          <w:lang w:val="en-US" w:eastAsia="zh-CN"/>
        </w:rPr>
        <w:t>10</w:t>
      </w:r>
      <w:r>
        <w:rPr>
          <w:color w:val="auto"/>
        </w:rPr>
        <w:t>月施行）</w:t>
      </w:r>
      <w:r>
        <w:rPr>
          <w:rFonts w:hint="eastAsia"/>
        </w:rPr>
        <w:t>；</w:t>
      </w:r>
    </w:p>
    <w:p w14:paraId="2A40B14E">
      <w:pPr>
        <w:keepNext w:val="0"/>
        <w:keepLines w:val="0"/>
        <w:pageBreakBefore w:val="0"/>
        <w:widowControl/>
        <w:kinsoku/>
        <w:wordWrap/>
        <w:overflowPunct/>
        <w:topLinePunct w:val="0"/>
        <w:autoSpaceDE/>
        <w:autoSpaceDN/>
        <w:bidi w:val="0"/>
        <w:adjustRightInd/>
        <w:snapToGrid/>
        <w:ind w:firstLine="480" w:firstLineChars="200"/>
        <w:textAlignment w:val="auto"/>
      </w:pPr>
      <w:r>
        <w:rPr>
          <w:rFonts w:hint="eastAsia"/>
        </w:rPr>
        <w:t>（</w:t>
      </w:r>
      <w:r>
        <w:rPr>
          <w:rFonts w:hint="eastAsia"/>
          <w:lang w:val="en-US" w:eastAsia="zh-CN"/>
        </w:rPr>
        <w:t>15</w:t>
      </w:r>
      <w:r>
        <w:rPr>
          <w:rFonts w:hint="eastAsia"/>
        </w:rPr>
        <w:t>）</w:t>
      </w:r>
      <w:r>
        <w:rPr>
          <w:color w:val="auto"/>
        </w:rPr>
        <w:t>《合肥市水环境保护条例》（20</w:t>
      </w:r>
      <w:r>
        <w:rPr>
          <w:rFonts w:hint="eastAsia"/>
          <w:color w:val="auto"/>
          <w:lang w:val="en-US" w:eastAsia="zh-CN"/>
        </w:rPr>
        <w:t>24</w:t>
      </w:r>
      <w:r>
        <w:rPr>
          <w:color w:val="auto"/>
        </w:rPr>
        <w:t>修订</w:t>
      </w:r>
      <w:r>
        <w:rPr>
          <w:rFonts w:hint="eastAsia"/>
          <w:color w:val="auto"/>
          <w:lang w:eastAsia="zh-CN"/>
        </w:rPr>
        <w:t>，</w:t>
      </w:r>
      <w:r>
        <w:rPr>
          <w:color w:val="auto"/>
        </w:rPr>
        <w:t>2024年12月</w:t>
      </w:r>
      <w:r>
        <w:rPr>
          <w:rFonts w:hint="eastAsia"/>
          <w:color w:val="auto"/>
          <w:lang w:eastAsia="zh-CN"/>
        </w:rPr>
        <w:t>施行</w:t>
      </w:r>
      <w:r>
        <w:rPr>
          <w:color w:val="auto"/>
        </w:rPr>
        <w:t>）</w:t>
      </w:r>
      <w:r>
        <w:rPr>
          <w:rFonts w:hint="eastAsia"/>
        </w:rPr>
        <w:t>；</w:t>
      </w:r>
    </w:p>
    <w:bookmarkEnd w:id="42"/>
    <w:p w14:paraId="2487FF4E">
      <w:pPr>
        <w:bidi w:val="0"/>
        <w:rPr>
          <w:rFonts w:hint="eastAsia"/>
          <w:b/>
          <w:bCs/>
          <w:lang w:val="en-US" w:eastAsia="en-US"/>
        </w:rPr>
      </w:pPr>
      <w:bookmarkStart w:id="43" w:name="_Toc8260"/>
      <w:bookmarkStart w:id="44" w:name="_Toc3492"/>
      <w:bookmarkStart w:id="45" w:name="_Toc20630"/>
      <w:r>
        <w:rPr>
          <w:rFonts w:hint="eastAsia"/>
          <w:b/>
          <w:bCs/>
          <w:lang w:val="en-US" w:eastAsia="en-US"/>
        </w:rPr>
        <w:t>2.1.3</w:t>
      </w:r>
      <w:r>
        <w:rPr>
          <w:rFonts w:hint="eastAsia"/>
          <w:b/>
          <w:bCs/>
          <w:lang w:val="en-US" w:eastAsia="zh-CN"/>
        </w:rPr>
        <w:t xml:space="preserve"> </w:t>
      </w:r>
      <w:r>
        <w:rPr>
          <w:rFonts w:hint="eastAsia"/>
          <w:b/>
          <w:bCs/>
          <w:lang w:val="en-US" w:eastAsia="en-US"/>
        </w:rPr>
        <w:t>导则规范</w:t>
      </w:r>
      <w:bookmarkEnd w:id="43"/>
      <w:bookmarkEnd w:id="44"/>
      <w:bookmarkEnd w:id="45"/>
    </w:p>
    <w:p w14:paraId="5359EEF5">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（1）《环境影响评价技术导则</w:t>
      </w:r>
      <w:r>
        <w:rPr>
          <w:rFonts w:hint="eastAsia"/>
          <w:color w:val="auto"/>
          <w:lang w:val="en-US" w:eastAsia="zh-CN"/>
        </w:rPr>
        <w:t xml:space="preserve"> </w:t>
      </w:r>
      <w:r>
        <w:rPr>
          <w:color w:val="auto"/>
        </w:rPr>
        <w:t>总纲》（HJ2.1-2016）；</w:t>
      </w:r>
    </w:p>
    <w:p w14:paraId="2DB087D6">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（2）《环境影响评价技术导则</w:t>
      </w:r>
      <w:r>
        <w:rPr>
          <w:rFonts w:hint="eastAsia"/>
          <w:color w:val="auto"/>
          <w:lang w:val="en-US" w:eastAsia="zh-CN"/>
        </w:rPr>
        <w:t xml:space="preserve"> </w:t>
      </w:r>
      <w:r>
        <w:rPr>
          <w:color w:val="auto"/>
        </w:rPr>
        <w:t>大气环境》（HJ2.2-2018）；</w:t>
      </w:r>
    </w:p>
    <w:p w14:paraId="0B88F0BC">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（3）《环境影响评价技术导则</w:t>
      </w:r>
      <w:r>
        <w:rPr>
          <w:rFonts w:hint="eastAsia"/>
          <w:color w:val="auto"/>
          <w:lang w:val="en-US" w:eastAsia="zh-CN"/>
        </w:rPr>
        <w:t xml:space="preserve"> </w:t>
      </w:r>
      <w:r>
        <w:rPr>
          <w:color w:val="auto"/>
        </w:rPr>
        <w:t>地表水环境》（HJ2.3-2018）；</w:t>
      </w:r>
    </w:p>
    <w:p w14:paraId="311ABA8C">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（4）《环境影响评价技术导则</w:t>
      </w:r>
      <w:r>
        <w:rPr>
          <w:rFonts w:hint="eastAsia"/>
          <w:color w:val="auto"/>
          <w:lang w:val="en-US" w:eastAsia="zh-CN"/>
        </w:rPr>
        <w:t xml:space="preserve"> </w:t>
      </w:r>
      <w:r>
        <w:rPr>
          <w:color w:val="auto"/>
        </w:rPr>
        <w:t>地下水环境》（HJ610-20</w:t>
      </w:r>
      <w:r>
        <w:rPr>
          <w:rFonts w:hint="eastAsia"/>
          <w:color w:val="auto"/>
          <w:lang w:val="en-US" w:eastAsia="zh-CN"/>
        </w:rPr>
        <w:t>25</w:t>
      </w:r>
      <w:r>
        <w:rPr>
          <w:color w:val="auto"/>
        </w:rPr>
        <w:t>）；</w:t>
      </w:r>
    </w:p>
    <w:p w14:paraId="6A855C12">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（5）《环境影响评价技术导则</w:t>
      </w:r>
      <w:r>
        <w:rPr>
          <w:rFonts w:hint="eastAsia"/>
          <w:color w:val="auto"/>
          <w:lang w:val="en-US" w:eastAsia="zh-CN"/>
        </w:rPr>
        <w:t xml:space="preserve"> </w:t>
      </w:r>
      <w:r>
        <w:rPr>
          <w:color w:val="auto"/>
        </w:rPr>
        <w:t>声环境》（HJ2.4-2021）；</w:t>
      </w:r>
    </w:p>
    <w:p w14:paraId="2970E825">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（6）《环境影响评价技术导则</w:t>
      </w:r>
      <w:r>
        <w:rPr>
          <w:rFonts w:hint="eastAsia"/>
          <w:color w:val="auto"/>
          <w:lang w:val="en-US" w:eastAsia="zh-CN"/>
        </w:rPr>
        <w:t xml:space="preserve"> </w:t>
      </w:r>
      <w:r>
        <w:rPr>
          <w:color w:val="auto"/>
        </w:rPr>
        <w:t>生态影响》（HJ19-2022）；</w:t>
      </w:r>
    </w:p>
    <w:p w14:paraId="407E5D90">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（7）《环境影响评价技术导则</w:t>
      </w:r>
      <w:r>
        <w:rPr>
          <w:rFonts w:hint="eastAsia"/>
          <w:color w:val="auto"/>
          <w:lang w:val="en-US" w:eastAsia="zh-CN"/>
        </w:rPr>
        <w:t xml:space="preserve"> </w:t>
      </w:r>
      <w:r>
        <w:rPr>
          <w:color w:val="auto"/>
        </w:rPr>
        <w:t>土壤环境》（HJ964-20</w:t>
      </w:r>
      <w:r>
        <w:rPr>
          <w:rFonts w:hint="eastAsia"/>
          <w:color w:val="auto"/>
          <w:lang w:val="en-US" w:eastAsia="zh-CN"/>
        </w:rPr>
        <w:t>25</w:t>
      </w:r>
      <w:r>
        <w:rPr>
          <w:color w:val="auto"/>
        </w:rPr>
        <w:t>）；</w:t>
      </w:r>
    </w:p>
    <w:p w14:paraId="709091EE">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（8）《大气污染治理工程技术导则》（HJ2000-2010）；</w:t>
      </w:r>
    </w:p>
    <w:p w14:paraId="77E11114">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（9）《水污染治理工程技术导则》（HJ2015-2012）；</w:t>
      </w:r>
    </w:p>
    <w:p w14:paraId="3C671F93">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（10）《建设项目环境风险评价技术导则》（HJ169-2018）；</w:t>
      </w:r>
    </w:p>
    <w:p w14:paraId="74E13E06">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（11）《固体废物处理处置工程技术导则》（HJ2035-2013）；</w:t>
      </w:r>
    </w:p>
    <w:p w14:paraId="3FF8200B">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（12）《危险废物处置工程技术导则》（HJ2042-2014）；</w:t>
      </w:r>
    </w:p>
    <w:p w14:paraId="18E5D569">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（13）《危险废物贮存污染控制标准》（GB18597-2023）；</w:t>
      </w:r>
    </w:p>
    <w:p w14:paraId="7A28636D">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（14）《一般工业固体废物贮存和填埋污染控制标准》（GB18599-2020）；</w:t>
      </w:r>
    </w:p>
    <w:p w14:paraId="24763091">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（15）《光伏制造行业规范条件（202</w:t>
      </w:r>
      <w:r>
        <w:rPr>
          <w:rFonts w:hint="eastAsia"/>
          <w:color w:val="auto"/>
          <w:lang w:val="en-US" w:eastAsia="zh-CN"/>
        </w:rPr>
        <w:t>4</w:t>
      </w:r>
      <w:r>
        <w:rPr>
          <w:color w:val="auto"/>
        </w:rPr>
        <w:t>年本）》（</w:t>
      </w:r>
      <w:r>
        <w:rPr>
          <w:rFonts w:hint="eastAsia"/>
          <w:color w:val="auto"/>
          <w:lang w:val="en-US" w:eastAsia="zh-CN"/>
        </w:rPr>
        <w:t>2024年6月发布</w:t>
      </w:r>
      <w:r>
        <w:rPr>
          <w:color w:val="auto"/>
        </w:rPr>
        <w:t>）；</w:t>
      </w:r>
    </w:p>
    <w:p w14:paraId="159FCD5F">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（16）《排污许可证申请与核发技术规范</w:t>
      </w:r>
      <w:r>
        <w:rPr>
          <w:rFonts w:hint="eastAsia"/>
          <w:color w:val="auto"/>
          <w:lang w:val="en-US" w:eastAsia="zh-CN"/>
        </w:rPr>
        <w:t xml:space="preserve"> </w:t>
      </w:r>
      <w:r>
        <w:rPr>
          <w:color w:val="auto"/>
        </w:rPr>
        <w:t>电池工业》（HJ967-2018）；</w:t>
      </w:r>
    </w:p>
    <w:p w14:paraId="53D514A6">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（17）《排污单位自行监测技术指南</w:t>
      </w:r>
      <w:r>
        <w:rPr>
          <w:rFonts w:hint="eastAsia"/>
          <w:color w:val="auto"/>
          <w:lang w:val="en-US" w:eastAsia="zh-CN"/>
        </w:rPr>
        <w:t xml:space="preserve"> </w:t>
      </w:r>
      <w:r>
        <w:rPr>
          <w:color w:val="auto"/>
        </w:rPr>
        <w:t>电池工业》（HJ1204-2021）；</w:t>
      </w:r>
    </w:p>
    <w:p w14:paraId="1038498C">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（18）《光伏电池行业清洁生产评价指标体系》（国家发展改革委、环境保护部、工业和信息化部公告2016年第21号）。</w:t>
      </w:r>
    </w:p>
    <w:p w14:paraId="74F3BB72">
      <w:pPr>
        <w:bidi w:val="0"/>
        <w:rPr>
          <w:rFonts w:hint="eastAsia"/>
          <w:b/>
          <w:bCs/>
          <w:color w:val="auto"/>
          <w:lang w:val="en-US" w:eastAsia="en-US"/>
        </w:rPr>
      </w:pPr>
      <w:bookmarkStart w:id="46" w:name="_Toc20590"/>
      <w:bookmarkStart w:id="47" w:name="_Toc32471"/>
      <w:r>
        <w:rPr>
          <w:rFonts w:hint="eastAsia"/>
          <w:b/>
          <w:bCs/>
          <w:color w:val="auto"/>
          <w:lang w:val="en-US" w:eastAsia="en-US"/>
        </w:rPr>
        <w:t>2.1.4</w:t>
      </w:r>
      <w:r>
        <w:rPr>
          <w:rFonts w:hint="eastAsia"/>
          <w:b/>
          <w:bCs/>
          <w:color w:val="auto"/>
          <w:lang w:val="en-US" w:eastAsia="zh-CN"/>
        </w:rPr>
        <w:t xml:space="preserve"> </w:t>
      </w:r>
      <w:r>
        <w:rPr>
          <w:rFonts w:hint="eastAsia"/>
          <w:b/>
          <w:bCs/>
          <w:color w:val="auto"/>
          <w:lang w:val="en-US" w:eastAsia="en-US"/>
        </w:rPr>
        <w:t>相关资料</w:t>
      </w:r>
      <w:bookmarkEnd w:id="46"/>
      <w:bookmarkEnd w:id="47"/>
    </w:p>
    <w:p w14:paraId="0C5A0049">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w:t>
      </w:r>
      <w:r>
        <w:rPr>
          <w:rFonts w:hint="eastAsia"/>
          <w:color w:val="auto"/>
        </w:rPr>
        <w:t>1</w:t>
      </w:r>
      <w:r>
        <w:rPr>
          <w:color w:val="auto"/>
        </w:rPr>
        <w:t>）</w:t>
      </w:r>
      <w:r>
        <w:rPr>
          <w:rFonts w:hint="default"/>
          <w:color w:val="auto"/>
        </w:rPr>
        <w:t>肥东县经济和信息化局</w:t>
      </w:r>
      <w:r>
        <w:rPr>
          <w:color w:val="auto"/>
        </w:rPr>
        <w:t>《</w:t>
      </w:r>
      <w:r>
        <w:rPr>
          <w:rFonts w:hint="default" w:ascii="Times New Roman" w:hAnsi="Times New Roman" w:eastAsia="宋体" w:cs="Times New Roman"/>
          <w:color w:val="auto"/>
          <w:sz w:val="24"/>
          <w:szCs w:val="24"/>
        </w:rPr>
        <w:t>安徽晶科能源有限公司高效太阳能电池片FP提效改</w:t>
      </w:r>
      <w:r>
        <w:rPr>
          <w:rFonts w:hint="eastAsia" w:ascii="Times New Roman" w:hAnsi="Times New Roman" w:eastAsia="宋体" w:cs="Times New Roman"/>
          <w:color w:val="auto"/>
          <w:sz w:val="24"/>
          <w:szCs w:val="24"/>
          <w:lang w:val="en-US" w:eastAsia="zh-CN"/>
        </w:rPr>
        <w:t>造</w:t>
      </w:r>
      <w:r>
        <w:rPr>
          <w:rFonts w:hint="default" w:ascii="Times New Roman" w:hAnsi="Times New Roman" w:eastAsia="宋体" w:cs="Times New Roman"/>
          <w:color w:val="auto"/>
          <w:sz w:val="24"/>
          <w:szCs w:val="24"/>
        </w:rPr>
        <w:t>一期项目</w:t>
      </w:r>
      <w:r>
        <w:rPr>
          <w:color w:val="auto"/>
        </w:rPr>
        <w:t>备案表》（项目编码：</w:t>
      </w:r>
      <w:r>
        <w:rPr>
          <w:rFonts w:hint="eastAsia" w:ascii="Times New Roman" w:hAnsi="Times New Roman" w:eastAsia="宋体" w:cs="Times New Roman"/>
          <w:color w:val="auto"/>
          <w:sz w:val="24"/>
          <w:szCs w:val="24"/>
          <w:lang w:val="en-US" w:eastAsia="zh-CN"/>
        </w:rPr>
        <w:t>2512-340122-07-02-886230</w:t>
      </w:r>
      <w:r>
        <w:rPr>
          <w:color w:val="auto"/>
        </w:rPr>
        <w:t>）；</w:t>
      </w:r>
    </w:p>
    <w:p w14:paraId="1EC57BC1">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w:t>
      </w:r>
      <w:r>
        <w:rPr>
          <w:rFonts w:hint="eastAsia"/>
          <w:color w:val="auto"/>
        </w:rPr>
        <w:t>2</w:t>
      </w:r>
      <w:r>
        <w:rPr>
          <w:color w:val="auto"/>
        </w:rPr>
        <w:t>）《</w:t>
      </w:r>
      <w:r>
        <w:rPr>
          <w:rFonts w:hint="default" w:ascii="Times New Roman" w:hAnsi="Times New Roman" w:eastAsia="宋体" w:cs="Times New Roman"/>
          <w:color w:val="auto"/>
          <w:sz w:val="24"/>
          <w:szCs w:val="24"/>
        </w:rPr>
        <w:t>安徽晶科能源有限公司高效太阳能电池片FP提效改</w:t>
      </w:r>
      <w:r>
        <w:rPr>
          <w:rFonts w:hint="eastAsia" w:ascii="Times New Roman" w:hAnsi="Times New Roman" w:eastAsia="宋体" w:cs="Times New Roman"/>
          <w:color w:val="auto"/>
          <w:sz w:val="24"/>
          <w:szCs w:val="24"/>
          <w:lang w:val="en-US" w:eastAsia="zh-CN"/>
        </w:rPr>
        <w:t>造</w:t>
      </w:r>
      <w:r>
        <w:rPr>
          <w:rFonts w:hint="default" w:ascii="Times New Roman" w:hAnsi="Times New Roman" w:eastAsia="宋体" w:cs="Times New Roman"/>
          <w:color w:val="auto"/>
          <w:sz w:val="24"/>
          <w:szCs w:val="24"/>
        </w:rPr>
        <w:t>一期项目</w:t>
      </w:r>
      <w:r>
        <w:rPr>
          <w:color w:val="auto"/>
        </w:rPr>
        <w:t>可行性研究报告》；</w:t>
      </w:r>
    </w:p>
    <w:p w14:paraId="4825256C">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rFonts w:hint="eastAsia"/>
          <w:color w:val="auto"/>
        </w:rPr>
        <w:t>（3）</w:t>
      </w:r>
      <w:r>
        <w:rPr>
          <w:rFonts w:hint="eastAsia"/>
          <w:lang w:eastAsia="zh-CN"/>
        </w:rPr>
        <w:t>《合肥循环经济示范园总体发展规划（2022-2035年）环境影响报告书》及其审查意见</w:t>
      </w:r>
      <w:r>
        <w:rPr>
          <w:rFonts w:hint="eastAsia"/>
          <w:color w:val="auto"/>
        </w:rPr>
        <w:t>；</w:t>
      </w:r>
    </w:p>
    <w:p w14:paraId="559D440C">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w:t>
      </w:r>
      <w:r>
        <w:rPr>
          <w:rFonts w:hint="eastAsia"/>
          <w:color w:val="auto"/>
        </w:rPr>
        <w:t>4</w:t>
      </w:r>
      <w:r>
        <w:rPr>
          <w:color w:val="auto"/>
        </w:rPr>
        <w:t>）</w:t>
      </w:r>
      <w:r>
        <w:rPr>
          <w:rFonts w:hint="default" w:ascii="Times New Roman" w:hAnsi="Times New Roman" w:eastAsia="宋体" w:cs="Times New Roman"/>
          <w:color w:val="auto"/>
          <w:sz w:val="24"/>
          <w:szCs w:val="24"/>
        </w:rPr>
        <w:t>安徽晶科能源有限公司</w:t>
      </w:r>
      <w:r>
        <w:rPr>
          <w:color w:val="auto"/>
        </w:rPr>
        <w:t>提供的其他相关资料。</w:t>
      </w:r>
    </w:p>
    <w:p w14:paraId="4BCBD3AF">
      <w:pPr>
        <w:pStyle w:val="2"/>
        <w:bidi w:val="0"/>
        <w:rPr>
          <w:rFonts w:hint="eastAsia"/>
          <w:lang w:val="en-US" w:eastAsia="en-US"/>
        </w:rPr>
      </w:pPr>
      <w:bookmarkStart w:id="48" w:name="_Toc28641"/>
      <w:bookmarkStart w:id="49" w:name="_Toc30769"/>
      <w:bookmarkStart w:id="50" w:name="_Toc14009"/>
      <w:r>
        <w:rPr>
          <w:rFonts w:hint="eastAsia"/>
          <w:lang w:val="en-US" w:eastAsia="en-US"/>
        </w:rPr>
        <w:t>2.2</w:t>
      </w:r>
      <w:r>
        <w:rPr>
          <w:rFonts w:hint="eastAsia"/>
          <w:lang w:val="en-US" w:eastAsia="zh-CN"/>
        </w:rPr>
        <w:t xml:space="preserve"> </w:t>
      </w:r>
      <w:bookmarkEnd w:id="48"/>
      <w:bookmarkEnd w:id="49"/>
      <w:r>
        <w:rPr>
          <w:rFonts w:hint="eastAsia"/>
          <w:lang w:val="en-US" w:eastAsia="zh-CN"/>
        </w:rPr>
        <w:t>评价因子与评价标准</w:t>
      </w:r>
      <w:bookmarkEnd w:id="50"/>
    </w:p>
    <w:p w14:paraId="49ACC4AA">
      <w:pPr>
        <w:bidi w:val="0"/>
        <w:rPr>
          <w:rFonts w:hint="eastAsia"/>
          <w:b/>
          <w:bCs/>
          <w:lang w:val="en-US" w:eastAsia="en-US"/>
        </w:rPr>
      </w:pPr>
      <w:bookmarkStart w:id="51" w:name="_Toc15366"/>
      <w:bookmarkStart w:id="52" w:name="_Toc19695"/>
      <w:bookmarkStart w:id="53" w:name="_Toc21675"/>
      <w:r>
        <w:rPr>
          <w:rFonts w:hint="eastAsia"/>
          <w:b/>
          <w:bCs/>
          <w:lang w:val="en-US" w:eastAsia="en-US"/>
        </w:rPr>
        <w:t>2.2.1</w:t>
      </w:r>
      <w:r>
        <w:rPr>
          <w:rFonts w:hint="eastAsia"/>
          <w:b/>
          <w:bCs/>
          <w:lang w:val="en-US" w:eastAsia="zh-CN"/>
        </w:rPr>
        <w:t xml:space="preserve"> </w:t>
      </w:r>
      <w:bookmarkEnd w:id="51"/>
      <w:bookmarkEnd w:id="52"/>
      <w:bookmarkEnd w:id="53"/>
      <w:r>
        <w:rPr>
          <w:rFonts w:hint="eastAsia"/>
          <w:b/>
          <w:bCs/>
          <w:lang w:val="en-US" w:eastAsia="zh-CN"/>
        </w:rPr>
        <w:t>生态环境影响识别</w:t>
      </w:r>
    </w:p>
    <w:p w14:paraId="4FDEDE8C">
      <w:pPr>
        <w:bidi w:val="0"/>
        <w:ind w:firstLine="480" w:firstLineChars="200"/>
        <w:rPr>
          <w:color w:val="auto"/>
        </w:rPr>
        <w:sectPr>
          <w:pgSz w:w="11906" w:h="16838"/>
          <w:pgMar w:top="1417" w:right="1134" w:bottom="1134" w:left="1417" w:header="851" w:footer="992" w:gutter="0"/>
          <w:pgNumType w:fmt="decimal"/>
          <w:cols w:space="0" w:num="1"/>
          <w:rtlGutter w:val="0"/>
          <w:docGrid w:type="lines" w:linePitch="312" w:charSpace="0"/>
        </w:sectPr>
      </w:pPr>
      <w:r>
        <w:rPr>
          <w:color w:val="auto"/>
        </w:rPr>
        <w:t>根据本项目的工程特点，通过初步分析识别环境因素，并依据污染物排放量的大小等，筛选本评价的各项评价因子汇总见下表。</w:t>
      </w:r>
    </w:p>
    <w:p w14:paraId="10F4FD30">
      <w:pPr>
        <w:bidi w:val="0"/>
        <w:jc w:val="center"/>
        <w:rPr>
          <w:rFonts w:hint="eastAsia"/>
          <w:b/>
          <w:bCs/>
          <w:lang w:val="en-US" w:eastAsia="zh-CN"/>
        </w:rPr>
      </w:pPr>
      <w:r>
        <w:rPr>
          <w:b/>
          <w:bCs/>
        </w:rPr>
        <w:t>表2.2.1-1 项目</w:t>
      </w:r>
      <w:r>
        <w:rPr>
          <w:rFonts w:hint="eastAsia"/>
          <w:b/>
          <w:bCs/>
          <w:lang w:val="en-US" w:eastAsia="zh-CN"/>
        </w:rPr>
        <w:t>生态</w:t>
      </w:r>
      <w:r>
        <w:rPr>
          <w:b/>
          <w:bCs/>
        </w:rPr>
        <w:t>环境影响</w:t>
      </w:r>
      <w:r>
        <w:rPr>
          <w:rFonts w:hint="eastAsia"/>
          <w:b/>
          <w:bCs/>
          <w:lang w:val="en-US" w:eastAsia="zh-CN"/>
        </w:rPr>
        <w:t>矩阵识别表</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1421"/>
        <w:gridCol w:w="811"/>
        <w:gridCol w:w="928"/>
        <w:gridCol w:w="939"/>
        <w:gridCol w:w="811"/>
        <w:gridCol w:w="811"/>
        <w:gridCol w:w="805"/>
        <w:gridCol w:w="811"/>
        <w:gridCol w:w="811"/>
        <w:gridCol w:w="1340"/>
        <w:gridCol w:w="1198"/>
        <w:gridCol w:w="812"/>
        <w:gridCol w:w="943"/>
        <w:gridCol w:w="812"/>
        <w:gridCol w:w="824"/>
      </w:tblGrid>
      <w:tr w14:paraId="1D829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6" w:hRule="atLeast"/>
        </w:trPr>
        <w:tc>
          <w:tcPr>
            <w:tcW w:w="641" w:type="pct"/>
            <w:gridSpan w:val="2"/>
            <w:vMerge w:val="restart"/>
            <w:vAlign w:val="center"/>
            <mc:AlternateContent>
              <mc:Choice Requires="wpsCustomData">
                <wpsCustomData:diagonals>
                  <wpsCustomData:diagonal from="30000" to="10000">
                    <wpsCustomData:border w:val="single" w:color="auto" w:sz="4" w:space="0"/>
                  </wpsCustomData:diagonal>
                </wpsCustomData:diagonals>
              </mc:Choice>
            </mc:AlternateContent>
          </w:tcPr>
          <w:p w14:paraId="6086D55A">
            <w:pPr>
              <w:widowControl w:val="0"/>
              <w:bidi w:val="0"/>
              <w:spacing w:line="240" w:lineRule="auto"/>
              <w:jc w:val="center"/>
              <w:rPr>
                <w:rFonts w:hint="default"/>
                <w:b/>
                <w:bCs/>
                <w:sz w:val="21"/>
                <w:szCs w:val="21"/>
                <w:lang w:val="en-US" w:eastAsia="zh-CN"/>
              </w:rPr>
            </w:pPr>
          </w:p>
          <w:p w14:paraId="6D8A9667">
            <w:pPr>
              <w:widowControl w:val="0"/>
              <w:bidi w:val="0"/>
              <w:spacing w:line="240" w:lineRule="auto"/>
              <w:jc w:val="center"/>
              <w:rPr>
                <w:rFonts w:hint="default"/>
                <w:b/>
                <w:bCs/>
                <w:sz w:val="21"/>
                <w:szCs w:val="21"/>
                <w:lang w:val="en-US" w:eastAsia="zh-CN"/>
              </w:rPr>
            </w:pPr>
          </w:p>
          <w:p w14:paraId="5C8ABAE0">
            <w:pPr>
              <w:widowControl w:val="0"/>
              <w:bidi w:val="0"/>
              <w:spacing w:line="240" w:lineRule="auto"/>
              <w:jc w:val="center"/>
              <mc:AlternateContent>
                <mc:Choice Requires="wpsCustomData">
                  <wpsCustomData:diagonalParaType/>
                </mc:Choice>
              </mc:AlternateContent>
              <w:rPr>
                <w:rFonts w:hint="default"/>
                <w:b/>
                <w:bCs/>
                <w:sz w:val="21"/>
                <w:szCs w:val="21"/>
                <w:lang w:val="en-US" w:eastAsia="zh-CN"/>
              </w:rPr>
            </w:pPr>
            <w:r>
              <w:rPr>
                <w:rFonts w:hint="eastAsia"/>
                <w:b/>
                <w:bCs/>
                <w:sz w:val="21"/>
                <w:szCs w:val="21"/>
                <w:lang w:val="en-US" w:eastAsia="zh-CN"/>
              </w:rPr>
              <w:t>影响因素</w:t>
            </w:r>
          </w:p>
          <w:p w14:paraId="6DBD8B37">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影响受体</w:t>
            </w:r>
          </w:p>
        </w:tc>
        <w:tc>
          <w:tcPr>
            <w:tcW w:w="1472" w:type="pct"/>
            <w:gridSpan w:val="5"/>
            <w:vAlign w:val="center"/>
          </w:tcPr>
          <w:p w14:paraId="7AC09CD7">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自然环境</w:t>
            </w:r>
          </w:p>
        </w:tc>
        <w:tc>
          <w:tcPr>
            <w:tcW w:w="1321" w:type="pct"/>
            <w:gridSpan w:val="4"/>
            <w:vAlign w:val="center"/>
          </w:tcPr>
          <w:p w14:paraId="5AAD6350">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生态环境</w:t>
            </w:r>
          </w:p>
        </w:tc>
        <w:tc>
          <w:tcPr>
            <w:tcW w:w="1563" w:type="pct"/>
            <w:gridSpan w:val="5"/>
            <w:vAlign w:val="center"/>
          </w:tcPr>
          <w:p w14:paraId="4FE1848E">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社会环境</w:t>
            </w:r>
          </w:p>
        </w:tc>
      </w:tr>
      <w:tr w14:paraId="327A6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1" w:type="pct"/>
            <w:gridSpan w:val="2"/>
            <w:vMerge w:val="continue"/>
            <w:vAlign w:val="center"/>
          </w:tcPr>
          <w:p w14:paraId="0D31DBE8">
            <w:pPr>
              <w:widowControl w:val="0"/>
              <w:bidi w:val="0"/>
              <w:spacing w:line="240" w:lineRule="auto"/>
              <w:jc w:val="center"/>
              <w:rPr>
                <w:rFonts w:hint="default"/>
                <w:b/>
                <w:bCs/>
                <w:sz w:val="21"/>
                <w:szCs w:val="21"/>
                <w:lang w:val="en-US" w:eastAsia="zh-CN"/>
              </w:rPr>
            </w:pPr>
          </w:p>
        </w:tc>
        <w:tc>
          <w:tcPr>
            <w:tcW w:w="281" w:type="pct"/>
            <w:vAlign w:val="center"/>
          </w:tcPr>
          <w:p w14:paraId="23145388">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环境空气</w:t>
            </w:r>
          </w:p>
        </w:tc>
        <w:tc>
          <w:tcPr>
            <w:tcW w:w="329" w:type="pct"/>
            <w:vAlign w:val="center"/>
          </w:tcPr>
          <w:p w14:paraId="415EC90D">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地表水环境</w:t>
            </w:r>
          </w:p>
        </w:tc>
        <w:tc>
          <w:tcPr>
            <w:tcW w:w="329" w:type="pct"/>
            <w:vAlign w:val="center"/>
          </w:tcPr>
          <w:p w14:paraId="6638B317">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地下水环境</w:t>
            </w:r>
          </w:p>
        </w:tc>
        <w:tc>
          <w:tcPr>
            <w:tcW w:w="284" w:type="pct"/>
            <w:vAlign w:val="center"/>
          </w:tcPr>
          <w:p w14:paraId="6A906A2D">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土壤环境</w:t>
            </w:r>
          </w:p>
        </w:tc>
        <w:tc>
          <w:tcPr>
            <w:tcW w:w="248" w:type="pct"/>
            <w:vAlign w:val="center"/>
          </w:tcPr>
          <w:p w14:paraId="653BCD0F">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声环境</w:t>
            </w:r>
          </w:p>
        </w:tc>
        <w:tc>
          <w:tcPr>
            <w:tcW w:w="284" w:type="pct"/>
            <w:vAlign w:val="center"/>
          </w:tcPr>
          <w:p w14:paraId="49F916D3">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陆域生物</w:t>
            </w:r>
          </w:p>
        </w:tc>
        <w:tc>
          <w:tcPr>
            <w:tcW w:w="284" w:type="pct"/>
            <w:vAlign w:val="center"/>
          </w:tcPr>
          <w:p w14:paraId="7399E5FD">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水生生物</w:t>
            </w:r>
          </w:p>
        </w:tc>
        <w:tc>
          <w:tcPr>
            <w:tcW w:w="284" w:type="pct"/>
            <w:vAlign w:val="center"/>
          </w:tcPr>
          <w:p w14:paraId="071B35CD">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渔业资源</w:t>
            </w:r>
          </w:p>
        </w:tc>
        <w:tc>
          <w:tcPr>
            <w:tcW w:w="469" w:type="pct"/>
            <w:vAlign w:val="center"/>
          </w:tcPr>
          <w:p w14:paraId="617BFDEF">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主要生态保护区域</w:t>
            </w:r>
          </w:p>
        </w:tc>
        <w:tc>
          <w:tcPr>
            <w:tcW w:w="418" w:type="pct"/>
            <w:vAlign w:val="center"/>
          </w:tcPr>
          <w:p w14:paraId="6807E7D9">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农业与土地利用</w:t>
            </w:r>
          </w:p>
        </w:tc>
        <w:tc>
          <w:tcPr>
            <w:tcW w:w="241" w:type="pct"/>
            <w:vAlign w:val="center"/>
          </w:tcPr>
          <w:p w14:paraId="2B020721">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居民区</w:t>
            </w:r>
          </w:p>
        </w:tc>
        <w:tc>
          <w:tcPr>
            <w:tcW w:w="330" w:type="pct"/>
            <w:vAlign w:val="center"/>
          </w:tcPr>
          <w:p w14:paraId="13927FD6">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特定保护区</w:t>
            </w:r>
          </w:p>
        </w:tc>
        <w:tc>
          <w:tcPr>
            <w:tcW w:w="284" w:type="pct"/>
            <w:vAlign w:val="center"/>
          </w:tcPr>
          <w:p w14:paraId="1C3BA085">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人群健康</w:t>
            </w:r>
          </w:p>
        </w:tc>
        <w:tc>
          <w:tcPr>
            <w:tcW w:w="290" w:type="pct"/>
            <w:vAlign w:val="center"/>
          </w:tcPr>
          <w:p w14:paraId="0AB3B1C9">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环境规划</w:t>
            </w:r>
          </w:p>
        </w:tc>
      </w:tr>
      <w:tr w14:paraId="2E816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restart"/>
            <w:vAlign w:val="center"/>
          </w:tcPr>
          <w:p w14:paraId="52F830FD">
            <w:pPr>
              <w:widowControl w:val="0"/>
              <w:bidi w:val="0"/>
              <w:spacing w:line="240" w:lineRule="auto"/>
              <w:jc w:val="center"/>
              <w:rPr>
                <w:rFonts w:hint="default"/>
                <w:sz w:val="21"/>
                <w:szCs w:val="21"/>
                <w:lang w:val="en-US" w:eastAsia="zh-CN"/>
              </w:rPr>
            </w:pPr>
            <w:r>
              <w:rPr>
                <w:rFonts w:hint="eastAsia"/>
                <w:sz w:val="21"/>
                <w:szCs w:val="21"/>
                <w:lang w:val="en-US" w:eastAsia="zh-CN"/>
              </w:rPr>
              <w:t>施工期</w:t>
            </w:r>
          </w:p>
        </w:tc>
        <w:tc>
          <w:tcPr>
            <w:tcW w:w="495" w:type="pct"/>
            <w:vAlign w:val="center"/>
          </w:tcPr>
          <w:p w14:paraId="603B69F3">
            <w:pPr>
              <w:widowControl w:val="0"/>
              <w:bidi w:val="0"/>
              <w:spacing w:line="240" w:lineRule="auto"/>
              <w:jc w:val="center"/>
              <w:rPr>
                <w:rFonts w:hint="default"/>
                <w:sz w:val="21"/>
                <w:szCs w:val="21"/>
                <w:lang w:val="en-US" w:eastAsia="zh-CN"/>
              </w:rPr>
            </w:pPr>
            <w:r>
              <w:rPr>
                <w:rFonts w:hint="eastAsia"/>
                <w:sz w:val="21"/>
                <w:szCs w:val="21"/>
                <w:lang w:val="en-US" w:eastAsia="zh-CN"/>
              </w:rPr>
              <w:t>施工废（污）水</w:t>
            </w:r>
          </w:p>
        </w:tc>
        <w:tc>
          <w:tcPr>
            <w:tcW w:w="815" w:type="dxa"/>
            <w:vAlign w:val="center"/>
          </w:tcPr>
          <w:p w14:paraId="113E2D9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2F62A195">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955" w:type="dxa"/>
            <w:vAlign w:val="center"/>
          </w:tcPr>
          <w:p w14:paraId="0549A32A">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1F13C812">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723" w:type="dxa"/>
            <w:vAlign w:val="center"/>
          </w:tcPr>
          <w:p w14:paraId="2F395575">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4AFD0DAF">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0AB6679D">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7589EAD3">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1361" w:type="dxa"/>
            <w:vAlign w:val="center"/>
          </w:tcPr>
          <w:p w14:paraId="25E4312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3B43EEF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2C4FDD3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3C3B5B2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54082A2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42" w:type="dxa"/>
            <w:vAlign w:val="center"/>
          </w:tcPr>
          <w:p w14:paraId="6743839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66F0C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76D4237A">
            <w:pPr>
              <w:widowControl w:val="0"/>
              <w:bidi w:val="0"/>
              <w:spacing w:line="240" w:lineRule="auto"/>
              <w:jc w:val="center"/>
              <w:rPr>
                <w:rFonts w:hint="default"/>
                <w:sz w:val="21"/>
                <w:szCs w:val="21"/>
                <w:lang w:val="en-US" w:eastAsia="zh-CN"/>
              </w:rPr>
            </w:pPr>
          </w:p>
        </w:tc>
        <w:tc>
          <w:tcPr>
            <w:tcW w:w="495" w:type="pct"/>
            <w:vAlign w:val="center"/>
          </w:tcPr>
          <w:p w14:paraId="3EFC56BC">
            <w:pPr>
              <w:widowControl w:val="0"/>
              <w:bidi w:val="0"/>
              <w:spacing w:line="240" w:lineRule="auto"/>
              <w:jc w:val="center"/>
              <w:rPr>
                <w:rFonts w:hint="default"/>
                <w:sz w:val="21"/>
                <w:szCs w:val="21"/>
                <w:lang w:val="en-US" w:eastAsia="zh-CN"/>
              </w:rPr>
            </w:pPr>
            <w:r>
              <w:rPr>
                <w:rFonts w:hint="eastAsia"/>
                <w:sz w:val="21"/>
                <w:szCs w:val="21"/>
                <w:lang w:val="en-US" w:eastAsia="zh-CN"/>
              </w:rPr>
              <w:t>施工扬尘</w:t>
            </w:r>
          </w:p>
        </w:tc>
        <w:tc>
          <w:tcPr>
            <w:tcW w:w="815" w:type="dxa"/>
            <w:vAlign w:val="center"/>
          </w:tcPr>
          <w:p w14:paraId="0B6C009B">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954" w:type="dxa"/>
            <w:vAlign w:val="center"/>
          </w:tcPr>
          <w:p w14:paraId="2B3018A2">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1684643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72BE1DF">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723" w:type="dxa"/>
            <w:vAlign w:val="center"/>
          </w:tcPr>
          <w:p w14:paraId="22DA587F">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33214642">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54EAF10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5923059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2807168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627E93F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5F231270">
            <w:pPr>
              <w:widowControl w:val="0"/>
              <w:bidi w:val="0"/>
              <w:spacing w:line="240" w:lineRule="auto"/>
              <w:jc w:val="center"/>
              <w:rPr>
                <w:rFonts w:hint="default"/>
                <w:sz w:val="21"/>
                <w:szCs w:val="21"/>
                <w:lang w:val="en-US" w:eastAsia="zh-CN"/>
              </w:rPr>
            </w:pPr>
            <w:r>
              <w:rPr>
                <w:rFonts w:hint="default"/>
                <w:sz w:val="21"/>
                <w:szCs w:val="21"/>
                <w:lang w:val="en-US" w:eastAsia="zh-CN"/>
              </w:rPr>
              <w:t>-S-1-I</w:t>
            </w:r>
          </w:p>
        </w:tc>
        <w:tc>
          <w:tcPr>
            <w:tcW w:w="958" w:type="dxa"/>
            <w:vAlign w:val="center"/>
          </w:tcPr>
          <w:p w14:paraId="24983835">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3DFCED2">
            <w:pPr>
              <w:widowControl w:val="0"/>
              <w:bidi w:val="0"/>
              <w:spacing w:line="240" w:lineRule="auto"/>
              <w:jc w:val="center"/>
              <w:rPr>
                <w:rFonts w:hint="default"/>
                <w:sz w:val="21"/>
                <w:szCs w:val="21"/>
                <w:lang w:val="en-US" w:eastAsia="zh-CN"/>
              </w:rPr>
            </w:pPr>
            <w:r>
              <w:rPr>
                <w:rFonts w:hint="default"/>
                <w:sz w:val="21"/>
                <w:szCs w:val="21"/>
                <w:lang w:val="en-US" w:eastAsia="zh-CN"/>
              </w:rPr>
              <w:t>-S-1-I</w:t>
            </w:r>
          </w:p>
        </w:tc>
        <w:tc>
          <w:tcPr>
            <w:tcW w:w="842" w:type="dxa"/>
            <w:vAlign w:val="center"/>
          </w:tcPr>
          <w:p w14:paraId="6497BA86">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183A3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361DC125">
            <w:pPr>
              <w:widowControl w:val="0"/>
              <w:bidi w:val="0"/>
              <w:spacing w:line="240" w:lineRule="auto"/>
              <w:jc w:val="center"/>
              <w:rPr>
                <w:rFonts w:hint="default"/>
                <w:sz w:val="21"/>
                <w:szCs w:val="21"/>
                <w:lang w:val="en-US" w:eastAsia="zh-CN"/>
              </w:rPr>
            </w:pPr>
          </w:p>
        </w:tc>
        <w:tc>
          <w:tcPr>
            <w:tcW w:w="495" w:type="pct"/>
            <w:vAlign w:val="center"/>
          </w:tcPr>
          <w:p w14:paraId="4AB384F9">
            <w:pPr>
              <w:widowControl w:val="0"/>
              <w:bidi w:val="0"/>
              <w:spacing w:line="240" w:lineRule="auto"/>
              <w:jc w:val="center"/>
              <w:rPr>
                <w:rFonts w:hint="default"/>
                <w:sz w:val="21"/>
                <w:szCs w:val="21"/>
                <w:lang w:val="en-US" w:eastAsia="zh-CN"/>
              </w:rPr>
            </w:pPr>
            <w:r>
              <w:rPr>
                <w:rFonts w:hint="eastAsia"/>
                <w:sz w:val="21"/>
                <w:szCs w:val="21"/>
                <w:lang w:val="en-US" w:eastAsia="zh-CN"/>
              </w:rPr>
              <w:t>施工噪声</w:t>
            </w:r>
          </w:p>
        </w:tc>
        <w:tc>
          <w:tcPr>
            <w:tcW w:w="815" w:type="dxa"/>
            <w:vAlign w:val="center"/>
          </w:tcPr>
          <w:p w14:paraId="6004293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60C6027F">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4D2789F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6429A4D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723" w:type="dxa"/>
            <w:vAlign w:val="center"/>
          </w:tcPr>
          <w:p w14:paraId="32B6505E">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824" w:type="dxa"/>
            <w:vAlign w:val="center"/>
          </w:tcPr>
          <w:p w14:paraId="2E329359">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3DEEA82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60855DB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211BFAF6">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568FF13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4CBB5B40">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958" w:type="dxa"/>
            <w:vAlign w:val="center"/>
          </w:tcPr>
          <w:p w14:paraId="364B3CD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6F2924C5">
            <w:pPr>
              <w:widowControl w:val="0"/>
              <w:bidi w:val="0"/>
              <w:spacing w:line="240" w:lineRule="auto"/>
              <w:jc w:val="center"/>
              <w:rPr>
                <w:rFonts w:hint="default"/>
                <w:sz w:val="21"/>
                <w:szCs w:val="21"/>
                <w:lang w:val="en-US" w:eastAsia="zh-CN"/>
              </w:rPr>
            </w:pPr>
            <w:r>
              <w:rPr>
                <w:rFonts w:hint="default"/>
                <w:sz w:val="21"/>
                <w:szCs w:val="21"/>
                <w:lang w:val="en-US" w:eastAsia="zh-CN"/>
              </w:rPr>
              <w:t>-S-1-I</w:t>
            </w:r>
          </w:p>
        </w:tc>
        <w:tc>
          <w:tcPr>
            <w:tcW w:w="842" w:type="dxa"/>
            <w:vAlign w:val="center"/>
          </w:tcPr>
          <w:p w14:paraId="6AEDB2D0">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48248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206A6EF4">
            <w:pPr>
              <w:widowControl w:val="0"/>
              <w:bidi w:val="0"/>
              <w:spacing w:line="240" w:lineRule="auto"/>
              <w:jc w:val="center"/>
              <w:rPr>
                <w:rFonts w:hint="default"/>
                <w:sz w:val="21"/>
                <w:szCs w:val="21"/>
                <w:lang w:val="en-US" w:eastAsia="zh-CN"/>
              </w:rPr>
            </w:pPr>
          </w:p>
        </w:tc>
        <w:tc>
          <w:tcPr>
            <w:tcW w:w="495" w:type="pct"/>
            <w:vAlign w:val="center"/>
          </w:tcPr>
          <w:p w14:paraId="7FBD7EF9">
            <w:pPr>
              <w:widowControl w:val="0"/>
              <w:bidi w:val="0"/>
              <w:spacing w:line="240" w:lineRule="auto"/>
              <w:jc w:val="center"/>
              <w:rPr>
                <w:rFonts w:hint="default"/>
                <w:sz w:val="21"/>
                <w:szCs w:val="21"/>
                <w:lang w:val="en-US" w:eastAsia="zh-CN"/>
              </w:rPr>
            </w:pPr>
            <w:r>
              <w:rPr>
                <w:rFonts w:hint="eastAsia"/>
                <w:sz w:val="21"/>
                <w:szCs w:val="21"/>
                <w:lang w:val="en-US" w:eastAsia="zh-CN"/>
              </w:rPr>
              <w:t>渣土垃圾</w:t>
            </w:r>
          </w:p>
        </w:tc>
        <w:tc>
          <w:tcPr>
            <w:tcW w:w="815" w:type="dxa"/>
            <w:vAlign w:val="center"/>
          </w:tcPr>
          <w:p w14:paraId="2EC85823">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954" w:type="dxa"/>
            <w:vAlign w:val="center"/>
          </w:tcPr>
          <w:p w14:paraId="04E99464">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955" w:type="dxa"/>
            <w:vAlign w:val="center"/>
          </w:tcPr>
          <w:p w14:paraId="0A894849">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296C520E">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723" w:type="dxa"/>
            <w:vAlign w:val="center"/>
          </w:tcPr>
          <w:p w14:paraId="7B2F597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330B8A7">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37535DA6">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824" w:type="dxa"/>
            <w:vAlign w:val="center"/>
          </w:tcPr>
          <w:p w14:paraId="553F7C0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40B391C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18E0E57E">
            <w:pPr>
              <w:widowControl w:val="0"/>
              <w:bidi w:val="0"/>
              <w:spacing w:line="240" w:lineRule="auto"/>
              <w:jc w:val="center"/>
              <w:rPr>
                <w:rFonts w:hint="default"/>
                <w:sz w:val="21"/>
                <w:szCs w:val="21"/>
                <w:lang w:val="en-US" w:eastAsia="zh-CN"/>
              </w:rPr>
            </w:pPr>
            <w:r>
              <w:rPr>
                <w:rFonts w:hint="default"/>
                <w:sz w:val="21"/>
                <w:szCs w:val="21"/>
                <w:lang w:val="en-US" w:eastAsia="zh-CN"/>
              </w:rPr>
              <w:t>-S-1-D</w:t>
            </w:r>
          </w:p>
        </w:tc>
        <w:tc>
          <w:tcPr>
            <w:tcW w:w="699" w:type="dxa"/>
            <w:vAlign w:val="center"/>
          </w:tcPr>
          <w:p w14:paraId="75D4EAE2">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0A9E7A4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2222D5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42" w:type="dxa"/>
            <w:vAlign w:val="center"/>
          </w:tcPr>
          <w:p w14:paraId="130BBC6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7A248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7E3A61BC">
            <w:pPr>
              <w:widowControl w:val="0"/>
              <w:bidi w:val="0"/>
              <w:spacing w:line="240" w:lineRule="auto"/>
              <w:jc w:val="center"/>
              <w:rPr>
                <w:rFonts w:hint="default"/>
                <w:sz w:val="21"/>
                <w:szCs w:val="21"/>
                <w:lang w:val="en-US" w:eastAsia="zh-CN"/>
              </w:rPr>
            </w:pPr>
          </w:p>
        </w:tc>
        <w:tc>
          <w:tcPr>
            <w:tcW w:w="495" w:type="pct"/>
            <w:vAlign w:val="center"/>
          </w:tcPr>
          <w:p w14:paraId="74542C2B">
            <w:pPr>
              <w:widowControl w:val="0"/>
              <w:bidi w:val="0"/>
              <w:spacing w:line="240" w:lineRule="auto"/>
              <w:jc w:val="center"/>
              <w:rPr>
                <w:rFonts w:hint="default"/>
                <w:sz w:val="21"/>
                <w:szCs w:val="21"/>
                <w:lang w:val="en-US" w:eastAsia="zh-CN"/>
              </w:rPr>
            </w:pPr>
            <w:r>
              <w:rPr>
                <w:rFonts w:hint="eastAsia"/>
                <w:sz w:val="21"/>
                <w:szCs w:val="21"/>
                <w:lang w:val="en-US" w:eastAsia="zh-CN"/>
              </w:rPr>
              <w:t>基坑开挖</w:t>
            </w:r>
          </w:p>
        </w:tc>
        <w:tc>
          <w:tcPr>
            <w:tcW w:w="815" w:type="dxa"/>
            <w:vAlign w:val="center"/>
          </w:tcPr>
          <w:p w14:paraId="1BF9EC15">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5E352C2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06D859F1">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824" w:type="dxa"/>
            <w:vAlign w:val="center"/>
          </w:tcPr>
          <w:p w14:paraId="2AF8E331">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723" w:type="dxa"/>
            <w:vAlign w:val="center"/>
          </w:tcPr>
          <w:p w14:paraId="4DC5010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49FCCC28">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824" w:type="dxa"/>
            <w:vAlign w:val="center"/>
          </w:tcPr>
          <w:p w14:paraId="6E35CF8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44B1036F">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6C93A27F">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08CA0F29">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699" w:type="dxa"/>
            <w:vAlign w:val="center"/>
          </w:tcPr>
          <w:p w14:paraId="2F68975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2B69CF1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71319A4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42" w:type="dxa"/>
            <w:vAlign w:val="center"/>
          </w:tcPr>
          <w:p w14:paraId="7265408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1FFDA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restart"/>
            <w:vAlign w:val="center"/>
          </w:tcPr>
          <w:p w14:paraId="7D75C899">
            <w:pPr>
              <w:widowControl w:val="0"/>
              <w:bidi w:val="0"/>
              <w:spacing w:line="240" w:lineRule="auto"/>
              <w:jc w:val="center"/>
              <w:rPr>
                <w:rFonts w:hint="default"/>
                <w:sz w:val="21"/>
                <w:szCs w:val="21"/>
                <w:lang w:val="en-US" w:eastAsia="zh-CN"/>
              </w:rPr>
            </w:pPr>
            <w:r>
              <w:rPr>
                <w:rFonts w:hint="eastAsia"/>
                <w:sz w:val="21"/>
                <w:szCs w:val="21"/>
                <w:lang w:val="en-US" w:eastAsia="zh-CN"/>
              </w:rPr>
              <w:t>运行期</w:t>
            </w:r>
          </w:p>
        </w:tc>
        <w:tc>
          <w:tcPr>
            <w:tcW w:w="495" w:type="pct"/>
            <w:vAlign w:val="center"/>
          </w:tcPr>
          <w:p w14:paraId="49B7B6FD">
            <w:pPr>
              <w:widowControl w:val="0"/>
              <w:bidi w:val="0"/>
              <w:spacing w:line="240" w:lineRule="auto"/>
              <w:jc w:val="center"/>
              <w:rPr>
                <w:rFonts w:hint="default"/>
                <w:sz w:val="21"/>
                <w:szCs w:val="21"/>
                <w:lang w:val="en-US" w:eastAsia="zh-CN"/>
              </w:rPr>
            </w:pPr>
            <w:r>
              <w:rPr>
                <w:rFonts w:hint="eastAsia"/>
                <w:sz w:val="21"/>
                <w:szCs w:val="21"/>
                <w:lang w:val="en-US" w:eastAsia="zh-CN"/>
              </w:rPr>
              <w:t>废水排放</w:t>
            </w:r>
          </w:p>
        </w:tc>
        <w:tc>
          <w:tcPr>
            <w:tcW w:w="815" w:type="dxa"/>
            <w:vAlign w:val="center"/>
          </w:tcPr>
          <w:p w14:paraId="0AA12F20">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71F68132">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955" w:type="dxa"/>
            <w:vAlign w:val="center"/>
          </w:tcPr>
          <w:p w14:paraId="0A61477B">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24" w:type="dxa"/>
            <w:vAlign w:val="center"/>
          </w:tcPr>
          <w:p w14:paraId="5B009AC4">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723" w:type="dxa"/>
            <w:vAlign w:val="center"/>
          </w:tcPr>
          <w:p w14:paraId="02C878B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4078580E">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0CCAB9A5">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824" w:type="dxa"/>
            <w:vAlign w:val="center"/>
          </w:tcPr>
          <w:p w14:paraId="1DC1A2BB">
            <w:pPr>
              <w:widowControl w:val="0"/>
              <w:bidi w:val="0"/>
              <w:spacing w:line="240" w:lineRule="auto"/>
              <w:jc w:val="center"/>
              <w:rPr>
                <w:rFonts w:hint="default"/>
                <w:sz w:val="21"/>
                <w:szCs w:val="21"/>
                <w:lang w:val="en-US" w:eastAsia="zh-CN"/>
              </w:rPr>
            </w:pPr>
            <w:r>
              <w:rPr>
                <w:rFonts w:hint="default"/>
                <w:sz w:val="21"/>
                <w:szCs w:val="21"/>
                <w:lang w:val="en-US" w:eastAsia="zh-CN"/>
              </w:rPr>
              <w:t>-L-2-D</w:t>
            </w:r>
          </w:p>
        </w:tc>
        <w:tc>
          <w:tcPr>
            <w:tcW w:w="1361" w:type="dxa"/>
            <w:vAlign w:val="center"/>
          </w:tcPr>
          <w:p w14:paraId="3CAA3763">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1213" w:type="dxa"/>
            <w:vAlign w:val="center"/>
          </w:tcPr>
          <w:p w14:paraId="5357FCFE">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699" w:type="dxa"/>
            <w:vAlign w:val="center"/>
          </w:tcPr>
          <w:p w14:paraId="0A3D4D5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1CC68107">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0CD044AE">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42" w:type="dxa"/>
            <w:vAlign w:val="center"/>
          </w:tcPr>
          <w:p w14:paraId="2AC0A329">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r>
      <w:tr w14:paraId="5D147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236B862C">
            <w:pPr>
              <w:widowControl w:val="0"/>
              <w:bidi w:val="0"/>
              <w:spacing w:line="240" w:lineRule="auto"/>
              <w:jc w:val="center"/>
              <w:rPr>
                <w:rFonts w:hint="default"/>
                <w:sz w:val="21"/>
                <w:szCs w:val="21"/>
                <w:lang w:val="en-US" w:eastAsia="zh-CN"/>
              </w:rPr>
            </w:pPr>
          </w:p>
        </w:tc>
        <w:tc>
          <w:tcPr>
            <w:tcW w:w="495" w:type="pct"/>
            <w:vAlign w:val="center"/>
          </w:tcPr>
          <w:p w14:paraId="00B01334">
            <w:pPr>
              <w:widowControl w:val="0"/>
              <w:bidi w:val="0"/>
              <w:spacing w:line="240" w:lineRule="auto"/>
              <w:jc w:val="center"/>
              <w:rPr>
                <w:rFonts w:hint="default"/>
                <w:sz w:val="21"/>
                <w:szCs w:val="21"/>
                <w:lang w:val="en-US" w:eastAsia="zh-CN"/>
              </w:rPr>
            </w:pPr>
            <w:r>
              <w:rPr>
                <w:rFonts w:hint="eastAsia"/>
                <w:sz w:val="21"/>
                <w:szCs w:val="21"/>
                <w:lang w:val="en-US" w:eastAsia="zh-CN"/>
              </w:rPr>
              <w:t>废气排放</w:t>
            </w:r>
          </w:p>
        </w:tc>
        <w:tc>
          <w:tcPr>
            <w:tcW w:w="815" w:type="dxa"/>
            <w:vAlign w:val="center"/>
          </w:tcPr>
          <w:p w14:paraId="5DC52265">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954" w:type="dxa"/>
            <w:vAlign w:val="center"/>
          </w:tcPr>
          <w:p w14:paraId="6EA65F9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7813B9A6">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7BD337D">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723" w:type="dxa"/>
            <w:vAlign w:val="center"/>
          </w:tcPr>
          <w:p w14:paraId="0733BF7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A82E09B">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4645D240">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7BF055F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05D262C7">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1213" w:type="dxa"/>
            <w:vAlign w:val="center"/>
          </w:tcPr>
          <w:p w14:paraId="606716D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3EC95C36">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958" w:type="dxa"/>
            <w:vAlign w:val="center"/>
          </w:tcPr>
          <w:p w14:paraId="275AC5C8">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260DE046">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842" w:type="dxa"/>
            <w:vAlign w:val="center"/>
          </w:tcPr>
          <w:p w14:paraId="1A1FF187">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r>
      <w:tr w14:paraId="43A5C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67AEEA8D">
            <w:pPr>
              <w:widowControl w:val="0"/>
              <w:bidi w:val="0"/>
              <w:spacing w:line="240" w:lineRule="auto"/>
              <w:jc w:val="center"/>
              <w:rPr>
                <w:rFonts w:hint="default"/>
                <w:sz w:val="21"/>
                <w:szCs w:val="21"/>
                <w:lang w:val="en-US" w:eastAsia="zh-CN"/>
              </w:rPr>
            </w:pPr>
          </w:p>
        </w:tc>
        <w:tc>
          <w:tcPr>
            <w:tcW w:w="495" w:type="pct"/>
            <w:vAlign w:val="center"/>
          </w:tcPr>
          <w:p w14:paraId="446DC83F">
            <w:pPr>
              <w:widowControl w:val="0"/>
              <w:bidi w:val="0"/>
              <w:spacing w:line="240" w:lineRule="auto"/>
              <w:jc w:val="center"/>
              <w:rPr>
                <w:rFonts w:hint="default"/>
                <w:sz w:val="21"/>
                <w:szCs w:val="21"/>
                <w:lang w:val="en-US" w:eastAsia="zh-CN"/>
              </w:rPr>
            </w:pPr>
            <w:r>
              <w:rPr>
                <w:rFonts w:hint="eastAsia"/>
                <w:sz w:val="21"/>
                <w:szCs w:val="21"/>
                <w:lang w:val="en-US" w:eastAsia="zh-CN"/>
              </w:rPr>
              <w:t>噪声排放</w:t>
            </w:r>
          </w:p>
        </w:tc>
        <w:tc>
          <w:tcPr>
            <w:tcW w:w="815" w:type="dxa"/>
            <w:vAlign w:val="center"/>
          </w:tcPr>
          <w:p w14:paraId="39022F9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076E391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1FE0EC65">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1300336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723" w:type="dxa"/>
            <w:vAlign w:val="center"/>
          </w:tcPr>
          <w:p w14:paraId="4BD3250D">
            <w:pPr>
              <w:widowControl w:val="0"/>
              <w:bidi w:val="0"/>
              <w:spacing w:line="240" w:lineRule="auto"/>
              <w:jc w:val="center"/>
              <w:rPr>
                <w:rFonts w:hint="default"/>
                <w:sz w:val="21"/>
                <w:szCs w:val="21"/>
                <w:lang w:val="en-US" w:eastAsia="zh-CN"/>
              </w:rPr>
            </w:pPr>
            <w:r>
              <w:rPr>
                <w:rFonts w:hint="default"/>
                <w:sz w:val="21"/>
                <w:szCs w:val="21"/>
                <w:lang w:val="en-US" w:eastAsia="zh-CN"/>
              </w:rPr>
              <w:t>-L-2-D</w:t>
            </w:r>
          </w:p>
        </w:tc>
        <w:tc>
          <w:tcPr>
            <w:tcW w:w="824" w:type="dxa"/>
            <w:vAlign w:val="center"/>
          </w:tcPr>
          <w:p w14:paraId="355E548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696B5D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35DAA82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567A5452">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2C94DEC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386F2DA4">
            <w:pPr>
              <w:widowControl w:val="0"/>
              <w:bidi w:val="0"/>
              <w:spacing w:line="240" w:lineRule="auto"/>
              <w:jc w:val="center"/>
              <w:rPr>
                <w:rFonts w:hint="default"/>
                <w:sz w:val="21"/>
                <w:szCs w:val="21"/>
                <w:lang w:val="en-US" w:eastAsia="zh-CN"/>
              </w:rPr>
            </w:pPr>
            <w:r>
              <w:rPr>
                <w:rFonts w:hint="default"/>
                <w:sz w:val="21"/>
                <w:szCs w:val="21"/>
                <w:lang w:val="en-US" w:eastAsia="zh-CN"/>
              </w:rPr>
              <w:t>-L-2-D</w:t>
            </w:r>
          </w:p>
        </w:tc>
        <w:tc>
          <w:tcPr>
            <w:tcW w:w="958" w:type="dxa"/>
            <w:vAlign w:val="center"/>
          </w:tcPr>
          <w:p w14:paraId="03849BA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363D6900">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42" w:type="dxa"/>
            <w:vAlign w:val="center"/>
          </w:tcPr>
          <w:p w14:paraId="696E132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6EF37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6ED2B80F">
            <w:pPr>
              <w:widowControl w:val="0"/>
              <w:bidi w:val="0"/>
              <w:spacing w:line="240" w:lineRule="auto"/>
              <w:jc w:val="center"/>
              <w:rPr>
                <w:rFonts w:hint="default"/>
                <w:sz w:val="21"/>
                <w:szCs w:val="21"/>
                <w:lang w:val="en-US" w:eastAsia="zh-CN"/>
              </w:rPr>
            </w:pPr>
          </w:p>
        </w:tc>
        <w:tc>
          <w:tcPr>
            <w:tcW w:w="495" w:type="pct"/>
            <w:vAlign w:val="center"/>
          </w:tcPr>
          <w:p w14:paraId="1A91DDC8">
            <w:pPr>
              <w:widowControl w:val="0"/>
              <w:bidi w:val="0"/>
              <w:spacing w:line="240" w:lineRule="auto"/>
              <w:jc w:val="center"/>
              <w:rPr>
                <w:rFonts w:hint="default"/>
                <w:sz w:val="21"/>
                <w:szCs w:val="21"/>
                <w:lang w:val="en-US" w:eastAsia="zh-CN"/>
              </w:rPr>
            </w:pPr>
            <w:r>
              <w:rPr>
                <w:rFonts w:hint="eastAsia"/>
                <w:sz w:val="21"/>
                <w:szCs w:val="21"/>
                <w:lang w:val="en-US" w:eastAsia="zh-CN"/>
              </w:rPr>
              <w:t>固体废物</w:t>
            </w:r>
          </w:p>
        </w:tc>
        <w:tc>
          <w:tcPr>
            <w:tcW w:w="815" w:type="dxa"/>
            <w:vAlign w:val="center"/>
          </w:tcPr>
          <w:p w14:paraId="6D8ADD59">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4" w:type="dxa"/>
            <w:vAlign w:val="center"/>
          </w:tcPr>
          <w:p w14:paraId="66C1C707">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5" w:type="dxa"/>
            <w:vAlign w:val="center"/>
          </w:tcPr>
          <w:p w14:paraId="630DCA0F">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24" w:type="dxa"/>
            <w:vAlign w:val="center"/>
          </w:tcPr>
          <w:p w14:paraId="57AB388F">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723" w:type="dxa"/>
            <w:vAlign w:val="center"/>
          </w:tcPr>
          <w:p w14:paraId="70406B1D">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410E52AD">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50A3EAD3">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5C968976">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161618F5">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1391CDA8">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699" w:type="dxa"/>
            <w:vAlign w:val="center"/>
          </w:tcPr>
          <w:p w14:paraId="7E7E00A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3416DAC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7F5242ED">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42" w:type="dxa"/>
            <w:vAlign w:val="center"/>
          </w:tcPr>
          <w:p w14:paraId="05FA893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26EB2D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34B3C6AF">
            <w:pPr>
              <w:widowControl w:val="0"/>
              <w:bidi w:val="0"/>
              <w:spacing w:line="240" w:lineRule="auto"/>
              <w:jc w:val="center"/>
              <w:rPr>
                <w:rFonts w:hint="default"/>
                <w:sz w:val="21"/>
                <w:szCs w:val="21"/>
                <w:lang w:val="en-US" w:eastAsia="zh-CN"/>
              </w:rPr>
            </w:pPr>
          </w:p>
        </w:tc>
        <w:tc>
          <w:tcPr>
            <w:tcW w:w="495" w:type="pct"/>
            <w:vAlign w:val="center"/>
          </w:tcPr>
          <w:p w14:paraId="03540182">
            <w:pPr>
              <w:widowControl w:val="0"/>
              <w:bidi w:val="0"/>
              <w:spacing w:line="240" w:lineRule="auto"/>
              <w:jc w:val="center"/>
              <w:rPr>
                <w:rFonts w:hint="default"/>
                <w:sz w:val="21"/>
                <w:szCs w:val="21"/>
                <w:lang w:val="en-US" w:eastAsia="zh-CN"/>
              </w:rPr>
            </w:pPr>
            <w:r>
              <w:rPr>
                <w:rFonts w:hint="eastAsia"/>
                <w:sz w:val="21"/>
                <w:szCs w:val="21"/>
                <w:lang w:val="en-US" w:eastAsia="zh-CN"/>
              </w:rPr>
              <w:t>事故风险</w:t>
            </w:r>
          </w:p>
        </w:tc>
        <w:tc>
          <w:tcPr>
            <w:tcW w:w="815" w:type="dxa"/>
            <w:vAlign w:val="center"/>
          </w:tcPr>
          <w:p w14:paraId="01289A5B">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954" w:type="dxa"/>
            <w:vAlign w:val="center"/>
          </w:tcPr>
          <w:p w14:paraId="04193784">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955" w:type="dxa"/>
            <w:vAlign w:val="center"/>
          </w:tcPr>
          <w:p w14:paraId="31B3AB3D">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824" w:type="dxa"/>
            <w:vAlign w:val="center"/>
          </w:tcPr>
          <w:p w14:paraId="44B43F14">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723" w:type="dxa"/>
            <w:vAlign w:val="center"/>
          </w:tcPr>
          <w:p w14:paraId="5F484EA6">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7E22911B">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824" w:type="dxa"/>
            <w:vAlign w:val="center"/>
          </w:tcPr>
          <w:p w14:paraId="508EE4F2">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824" w:type="dxa"/>
            <w:vAlign w:val="center"/>
          </w:tcPr>
          <w:p w14:paraId="7065D243">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1361" w:type="dxa"/>
            <w:vAlign w:val="center"/>
          </w:tcPr>
          <w:p w14:paraId="6FE939AB">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1213" w:type="dxa"/>
            <w:vAlign w:val="center"/>
          </w:tcPr>
          <w:p w14:paraId="54C10E2E">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699" w:type="dxa"/>
            <w:vAlign w:val="center"/>
          </w:tcPr>
          <w:p w14:paraId="0C7FB237">
            <w:pPr>
              <w:widowControl w:val="0"/>
              <w:bidi w:val="0"/>
              <w:spacing w:line="240" w:lineRule="auto"/>
              <w:jc w:val="center"/>
              <w:rPr>
                <w:rFonts w:hint="default"/>
                <w:sz w:val="21"/>
                <w:szCs w:val="21"/>
                <w:lang w:val="en-US" w:eastAsia="zh-CN"/>
              </w:rPr>
            </w:pPr>
            <w:r>
              <w:rPr>
                <w:rFonts w:hint="default"/>
                <w:sz w:val="21"/>
                <w:szCs w:val="21"/>
                <w:lang w:val="en-US" w:eastAsia="zh-CN"/>
              </w:rPr>
              <w:t>-S-2-I</w:t>
            </w:r>
          </w:p>
        </w:tc>
        <w:tc>
          <w:tcPr>
            <w:tcW w:w="958" w:type="dxa"/>
            <w:vAlign w:val="center"/>
          </w:tcPr>
          <w:p w14:paraId="5DF1FF59">
            <w:pPr>
              <w:widowControl w:val="0"/>
              <w:bidi w:val="0"/>
              <w:spacing w:line="240" w:lineRule="auto"/>
              <w:jc w:val="center"/>
              <w:rPr>
                <w:rFonts w:hint="default"/>
                <w:sz w:val="21"/>
                <w:szCs w:val="21"/>
                <w:lang w:val="en-US" w:eastAsia="zh-CN"/>
              </w:rPr>
            </w:pPr>
            <w:r>
              <w:rPr>
                <w:rFonts w:hint="default"/>
                <w:sz w:val="21"/>
                <w:szCs w:val="21"/>
                <w:lang w:val="en-US" w:eastAsia="zh-CN"/>
              </w:rPr>
              <w:t>-S-2-D</w:t>
            </w:r>
          </w:p>
        </w:tc>
        <w:tc>
          <w:tcPr>
            <w:tcW w:w="824" w:type="dxa"/>
            <w:vAlign w:val="center"/>
          </w:tcPr>
          <w:p w14:paraId="1AF38881">
            <w:pPr>
              <w:widowControl w:val="0"/>
              <w:bidi w:val="0"/>
              <w:spacing w:line="240" w:lineRule="auto"/>
              <w:jc w:val="center"/>
              <w:rPr>
                <w:rFonts w:hint="default"/>
                <w:sz w:val="21"/>
                <w:szCs w:val="21"/>
                <w:lang w:val="en-US" w:eastAsia="zh-CN"/>
              </w:rPr>
            </w:pPr>
            <w:r>
              <w:rPr>
                <w:rFonts w:hint="default"/>
                <w:sz w:val="21"/>
                <w:szCs w:val="21"/>
                <w:lang w:val="en-US" w:eastAsia="zh-CN"/>
              </w:rPr>
              <w:t>-S-3-D</w:t>
            </w:r>
          </w:p>
        </w:tc>
        <w:tc>
          <w:tcPr>
            <w:tcW w:w="842" w:type="dxa"/>
            <w:vAlign w:val="center"/>
          </w:tcPr>
          <w:p w14:paraId="69D0EED9">
            <w:pPr>
              <w:widowControl w:val="0"/>
              <w:bidi w:val="0"/>
              <w:spacing w:line="240" w:lineRule="auto"/>
              <w:jc w:val="center"/>
              <w:rPr>
                <w:rFonts w:hint="default"/>
                <w:sz w:val="21"/>
                <w:szCs w:val="21"/>
                <w:lang w:val="en-US" w:eastAsia="zh-CN"/>
              </w:rPr>
            </w:pPr>
            <w:r>
              <w:rPr>
                <w:rFonts w:hint="default"/>
                <w:sz w:val="21"/>
                <w:szCs w:val="21"/>
                <w:lang w:val="en-US" w:eastAsia="zh-CN"/>
              </w:rPr>
              <w:t>-S-1-I</w:t>
            </w:r>
          </w:p>
        </w:tc>
      </w:tr>
      <w:tr w14:paraId="24E5C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restart"/>
            <w:vAlign w:val="center"/>
          </w:tcPr>
          <w:p w14:paraId="65B4EB2E">
            <w:pPr>
              <w:widowControl w:val="0"/>
              <w:bidi w:val="0"/>
              <w:spacing w:line="240" w:lineRule="auto"/>
              <w:jc w:val="center"/>
              <w:rPr>
                <w:rFonts w:hint="default"/>
                <w:sz w:val="21"/>
                <w:szCs w:val="21"/>
                <w:lang w:val="en-US" w:eastAsia="zh-CN"/>
              </w:rPr>
            </w:pPr>
            <w:r>
              <w:rPr>
                <w:rFonts w:hint="eastAsia"/>
                <w:sz w:val="21"/>
                <w:szCs w:val="21"/>
                <w:lang w:val="en-US" w:eastAsia="zh-CN"/>
              </w:rPr>
              <w:t>服务期满后</w:t>
            </w:r>
          </w:p>
        </w:tc>
        <w:tc>
          <w:tcPr>
            <w:tcW w:w="495" w:type="pct"/>
            <w:vAlign w:val="center"/>
          </w:tcPr>
          <w:p w14:paraId="1DF2E4A3">
            <w:pPr>
              <w:widowControl w:val="0"/>
              <w:bidi w:val="0"/>
              <w:spacing w:line="240" w:lineRule="auto"/>
              <w:jc w:val="center"/>
              <w:rPr>
                <w:rFonts w:hint="default"/>
                <w:sz w:val="21"/>
                <w:szCs w:val="21"/>
                <w:lang w:val="en-US" w:eastAsia="zh-CN"/>
              </w:rPr>
            </w:pPr>
            <w:r>
              <w:rPr>
                <w:rFonts w:hint="eastAsia"/>
                <w:sz w:val="21"/>
                <w:szCs w:val="21"/>
                <w:lang w:val="en-US" w:eastAsia="zh-CN"/>
              </w:rPr>
              <w:t>废水排放</w:t>
            </w:r>
          </w:p>
        </w:tc>
        <w:tc>
          <w:tcPr>
            <w:tcW w:w="815" w:type="dxa"/>
            <w:vAlign w:val="center"/>
          </w:tcPr>
          <w:p w14:paraId="61784EF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425489C3">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5" w:type="dxa"/>
            <w:vAlign w:val="center"/>
          </w:tcPr>
          <w:p w14:paraId="59487898">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24" w:type="dxa"/>
            <w:vAlign w:val="center"/>
          </w:tcPr>
          <w:p w14:paraId="4781C29F">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723" w:type="dxa"/>
            <w:vAlign w:val="center"/>
          </w:tcPr>
          <w:p w14:paraId="2B3F3D2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C51C39E">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3CF2AE36">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370E32A0">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3EFD452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734CCBC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3C11802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3E7FA1D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0E93CA8">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42" w:type="dxa"/>
            <w:vAlign w:val="center"/>
          </w:tcPr>
          <w:p w14:paraId="17FBA35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49548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3B2FAE2B">
            <w:pPr>
              <w:widowControl w:val="0"/>
              <w:bidi w:val="0"/>
              <w:spacing w:line="240" w:lineRule="auto"/>
              <w:jc w:val="center"/>
              <w:rPr>
                <w:rFonts w:hint="default"/>
                <w:sz w:val="21"/>
                <w:szCs w:val="21"/>
                <w:lang w:val="en-US" w:eastAsia="zh-CN"/>
              </w:rPr>
            </w:pPr>
          </w:p>
        </w:tc>
        <w:tc>
          <w:tcPr>
            <w:tcW w:w="495" w:type="pct"/>
            <w:vAlign w:val="center"/>
          </w:tcPr>
          <w:p w14:paraId="47F36B8C">
            <w:pPr>
              <w:widowControl w:val="0"/>
              <w:bidi w:val="0"/>
              <w:spacing w:line="240" w:lineRule="auto"/>
              <w:jc w:val="center"/>
              <w:rPr>
                <w:rFonts w:hint="default"/>
                <w:sz w:val="21"/>
                <w:szCs w:val="21"/>
                <w:lang w:val="en-US" w:eastAsia="zh-CN"/>
              </w:rPr>
            </w:pPr>
            <w:r>
              <w:rPr>
                <w:rFonts w:hint="eastAsia"/>
                <w:sz w:val="21"/>
                <w:szCs w:val="21"/>
                <w:lang w:val="en-US" w:eastAsia="zh-CN"/>
              </w:rPr>
              <w:t>废气排放</w:t>
            </w:r>
          </w:p>
        </w:tc>
        <w:tc>
          <w:tcPr>
            <w:tcW w:w="815" w:type="dxa"/>
            <w:vAlign w:val="center"/>
          </w:tcPr>
          <w:p w14:paraId="02C16AD8">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4" w:type="dxa"/>
            <w:vAlign w:val="center"/>
          </w:tcPr>
          <w:p w14:paraId="546C430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5" w:type="dxa"/>
            <w:vAlign w:val="center"/>
          </w:tcPr>
          <w:p w14:paraId="1563BEAE">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5290ED25">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723" w:type="dxa"/>
            <w:vAlign w:val="center"/>
          </w:tcPr>
          <w:p w14:paraId="08DC2A3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12239C1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3001EB2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29543BB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50C3AA7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46CFD86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2168032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27E59359">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7AD4D70">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42" w:type="dxa"/>
            <w:vAlign w:val="center"/>
          </w:tcPr>
          <w:p w14:paraId="5750116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07CDB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2A5503A9">
            <w:pPr>
              <w:widowControl w:val="0"/>
              <w:bidi w:val="0"/>
              <w:spacing w:line="240" w:lineRule="auto"/>
              <w:jc w:val="center"/>
              <w:rPr>
                <w:rFonts w:hint="default"/>
                <w:sz w:val="21"/>
                <w:szCs w:val="21"/>
                <w:lang w:val="en-US" w:eastAsia="zh-CN"/>
              </w:rPr>
            </w:pPr>
          </w:p>
        </w:tc>
        <w:tc>
          <w:tcPr>
            <w:tcW w:w="495" w:type="pct"/>
            <w:vAlign w:val="center"/>
          </w:tcPr>
          <w:p w14:paraId="3EEB050D">
            <w:pPr>
              <w:widowControl w:val="0"/>
              <w:bidi w:val="0"/>
              <w:spacing w:line="240" w:lineRule="auto"/>
              <w:jc w:val="center"/>
              <w:rPr>
                <w:rFonts w:hint="default"/>
                <w:sz w:val="21"/>
                <w:szCs w:val="21"/>
                <w:lang w:val="en-US" w:eastAsia="zh-CN"/>
              </w:rPr>
            </w:pPr>
            <w:r>
              <w:rPr>
                <w:rFonts w:hint="eastAsia"/>
                <w:sz w:val="21"/>
                <w:szCs w:val="21"/>
                <w:lang w:val="en-US" w:eastAsia="zh-CN"/>
              </w:rPr>
              <w:t>固体废物</w:t>
            </w:r>
          </w:p>
        </w:tc>
        <w:tc>
          <w:tcPr>
            <w:tcW w:w="815" w:type="dxa"/>
            <w:vAlign w:val="center"/>
          </w:tcPr>
          <w:p w14:paraId="6583C55B">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336E4E46">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5" w:type="dxa"/>
            <w:vAlign w:val="center"/>
          </w:tcPr>
          <w:p w14:paraId="741B46B9">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24" w:type="dxa"/>
            <w:vAlign w:val="center"/>
          </w:tcPr>
          <w:p w14:paraId="56F5B62B">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723" w:type="dxa"/>
            <w:vAlign w:val="center"/>
          </w:tcPr>
          <w:p w14:paraId="7AFC6050">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393EE4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53E21F6">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7C9F6FA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2CC69C9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4C87AE32">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699" w:type="dxa"/>
            <w:vAlign w:val="center"/>
          </w:tcPr>
          <w:p w14:paraId="6156519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62DC5501">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03ADEAD0">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42" w:type="dxa"/>
            <w:vAlign w:val="center"/>
          </w:tcPr>
          <w:p w14:paraId="6D789777">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r w14:paraId="74F39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6" w:type="pct"/>
            <w:vMerge w:val="continue"/>
            <w:vAlign w:val="center"/>
          </w:tcPr>
          <w:p w14:paraId="754EE2EC">
            <w:pPr>
              <w:widowControl w:val="0"/>
              <w:bidi w:val="0"/>
              <w:spacing w:line="240" w:lineRule="auto"/>
              <w:jc w:val="center"/>
              <w:rPr>
                <w:rFonts w:hint="default"/>
                <w:sz w:val="21"/>
                <w:szCs w:val="21"/>
                <w:lang w:val="en-US" w:eastAsia="zh-CN"/>
              </w:rPr>
            </w:pPr>
          </w:p>
        </w:tc>
        <w:tc>
          <w:tcPr>
            <w:tcW w:w="495" w:type="pct"/>
            <w:vAlign w:val="center"/>
          </w:tcPr>
          <w:p w14:paraId="33E7DC18">
            <w:pPr>
              <w:widowControl w:val="0"/>
              <w:bidi w:val="0"/>
              <w:spacing w:line="240" w:lineRule="auto"/>
              <w:jc w:val="center"/>
              <w:rPr>
                <w:rFonts w:hint="default"/>
                <w:sz w:val="21"/>
                <w:szCs w:val="21"/>
                <w:lang w:val="en-US" w:eastAsia="zh-CN"/>
              </w:rPr>
            </w:pPr>
            <w:r>
              <w:rPr>
                <w:rFonts w:hint="eastAsia"/>
                <w:sz w:val="21"/>
                <w:szCs w:val="21"/>
                <w:lang w:val="en-US" w:eastAsia="zh-CN"/>
              </w:rPr>
              <w:t>事故风险</w:t>
            </w:r>
          </w:p>
        </w:tc>
        <w:tc>
          <w:tcPr>
            <w:tcW w:w="815" w:type="dxa"/>
            <w:vAlign w:val="center"/>
          </w:tcPr>
          <w:p w14:paraId="7A21C17A">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4" w:type="dxa"/>
            <w:vAlign w:val="center"/>
          </w:tcPr>
          <w:p w14:paraId="4B3FC676">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955" w:type="dxa"/>
            <w:vAlign w:val="center"/>
          </w:tcPr>
          <w:p w14:paraId="67D7AAD4">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24" w:type="dxa"/>
            <w:vAlign w:val="center"/>
          </w:tcPr>
          <w:p w14:paraId="3A5933A0">
            <w:pPr>
              <w:widowControl w:val="0"/>
              <w:bidi w:val="0"/>
              <w:spacing w:line="240" w:lineRule="auto"/>
              <w:jc w:val="center"/>
              <w:rPr>
                <w:rFonts w:hint="default"/>
                <w:sz w:val="21"/>
                <w:szCs w:val="21"/>
                <w:lang w:val="en-US" w:eastAsia="zh-CN"/>
              </w:rPr>
            </w:pPr>
            <w:r>
              <w:rPr>
                <w:rFonts w:hint="default"/>
                <w:sz w:val="21"/>
                <w:szCs w:val="21"/>
                <w:lang w:val="en-US" w:eastAsia="zh-CN"/>
              </w:rPr>
              <w:t>-L-3-D</w:t>
            </w:r>
          </w:p>
        </w:tc>
        <w:tc>
          <w:tcPr>
            <w:tcW w:w="723" w:type="dxa"/>
            <w:vAlign w:val="center"/>
          </w:tcPr>
          <w:p w14:paraId="22B12D5C">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6B30EEDF">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55CA8957">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824" w:type="dxa"/>
            <w:vAlign w:val="center"/>
          </w:tcPr>
          <w:p w14:paraId="5728DE44">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361" w:type="dxa"/>
            <w:vAlign w:val="center"/>
          </w:tcPr>
          <w:p w14:paraId="6CC73133">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1213" w:type="dxa"/>
            <w:vAlign w:val="center"/>
          </w:tcPr>
          <w:p w14:paraId="25882921">
            <w:pPr>
              <w:widowControl w:val="0"/>
              <w:bidi w:val="0"/>
              <w:spacing w:line="240" w:lineRule="auto"/>
              <w:jc w:val="center"/>
              <w:rPr>
                <w:rFonts w:hint="default"/>
                <w:sz w:val="21"/>
                <w:szCs w:val="21"/>
                <w:lang w:val="en-US" w:eastAsia="zh-CN"/>
              </w:rPr>
            </w:pPr>
            <w:r>
              <w:rPr>
                <w:rFonts w:hint="default"/>
                <w:sz w:val="21"/>
                <w:szCs w:val="21"/>
                <w:lang w:val="en-US" w:eastAsia="zh-CN"/>
              </w:rPr>
              <w:t>-L-1-I</w:t>
            </w:r>
          </w:p>
        </w:tc>
        <w:tc>
          <w:tcPr>
            <w:tcW w:w="699" w:type="dxa"/>
            <w:vAlign w:val="center"/>
          </w:tcPr>
          <w:p w14:paraId="094BA51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958" w:type="dxa"/>
            <w:vAlign w:val="center"/>
          </w:tcPr>
          <w:p w14:paraId="7FF24E16">
            <w:pPr>
              <w:widowControl w:val="0"/>
              <w:bidi w:val="0"/>
              <w:spacing w:line="240" w:lineRule="auto"/>
              <w:jc w:val="center"/>
              <w:rPr>
                <w:rFonts w:hint="default"/>
                <w:sz w:val="21"/>
                <w:szCs w:val="21"/>
                <w:lang w:val="en-US" w:eastAsia="zh-CN"/>
              </w:rPr>
            </w:pPr>
            <w:r>
              <w:rPr>
                <w:rFonts w:hint="default"/>
                <w:sz w:val="21"/>
                <w:szCs w:val="21"/>
                <w:lang w:val="en-US" w:eastAsia="zh-CN"/>
              </w:rPr>
              <w:t>0</w:t>
            </w:r>
          </w:p>
        </w:tc>
        <w:tc>
          <w:tcPr>
            <w:tcW w:w="824" w:type="dxa"/>
            <w:vAlign w:val="center"/>
          </w:tcPr>
          <w:p w14:paraId="79A8B815">
            <w:pPr>
              <w:widowControl w:val="0"/>
              <w:bidi w:val="0"/>
              <w:spacing w:line="240" w:lineRule="auto"/>
              <w:jc w:val="center"/>
              <w:rPr>
                <w:rFonts w:hint="default"/>
                <w:sz w:val="21"/>
                <w:szCs w:val="21"/>
                <w:lang w:val="en-US" w:eastAsia="zh-CN"/>
              </w:rPr>
            </w:pPr>
            <w:r>
              <w:rPr>
                <w:rFonts w:hint="default"/>
                <w:sz w:val="21"/>
                <w:szCs w:val="21"/>
                <w:lang w:val="en-US" w:eastAsia="zh-CN"/>
              </w:rPr>
              <w:t>-L-2-I</w:t>
            </w:r>
          </w:p>
        </w:tc>
        <w:tc>
          <w:tcPr>
            <w:tcW w:w="842" w:type="dxa"/>
            <w:vAlign w:val="center"/>
          </w:tcPr>
          <w:p w14:paraId="19A95A18">
            <w:pPr>
              <w:widowControl w:val="0"/>
              <w:bidi w:val="0"/>
              <w:spacing w:line="240" w:lineRule="auto"/>
              <w:jc w:val="center"/>
              <w:rPr>
                <w:rFonts w:hint="default"/>
                <w:sz w:val="21"/>
                <w:szCs w:val="21"/>
                <w:lang w:val="en-US" w:eastAsia="zh-CN"/>
              </w:rPr>
            </w:pPr>
            <w:r>
              <w:rPr>
                <w:rFonts w:hint="default"/>
                <w:sz w:val="21"/>
                <w:szCs w:val="21"/>
                <w:lang w:val="en-US" w:eastAsia="zh-CN"/>
              </w:rPr>
              <w:t>0</w:t>
            </w:r>
          </w:p>
        </w:tc>
      </w:tr>
    </w:tbl>
    <w:p w14:paraId="659BF4F9">
      <w:pPr>
        <w:bidi w:val="0"/>
        <w:spacing w:line="240" w:lineRule="auto"/>
        <w:sectPr>
          <w:pgSz w:w="16838" w:h="11906" w:orient="landscape"/>
          <w:pgMar w:top="1417" w:right="1417" w:bottom="1134" w:left="1134" w:header="851" w:footer="992" w:gutter="0"/>
          <w:pgNumType w:fmt="decimal"/>
          <w:cols w:space="0" w:num="1"/>
          <w:rtlGutter w:val="0"/>
          <w:docGrid w:type="lines" w:linePitch="312" w:charSpace="0"/>
        </w:sectPr>
      </w:pPr>
      <w:r>
        <w:rPr>
          <w:rFonts w:hint="eastAsia"/>
          <w:b/>
          <w:bCs/>
          <w:sz w:val="21"/>
          <w:szCs w:val="21"/>
          <w:lang w:val="en-US" w:eastAsia="zh-CN"/>
        </w:rPr>
        <w:t>注：识别定性时，可用“+”、“-”分别表示有利、不利影响；“L”、“S”分别表示长期、短期影响；“0”至“3”数值分别表示无影响、轻微影响、中等影响、重大影响；用“D”、“I”分别表示直接、间接影响等。</w:t>
      </w:r>
    </w:p>
    <w:p w14:paraId="5693B2FC">
      <w:pPr>
        <w:bidi w:val="0"/>
        <w:rPr>
          <w:rFonts w:hint="eastAsia"/>
          <w:b/>
          <w:bCs/>
          <w:lang w:val="en-US" w:eastAsia="en-US"/>
        </w:rPr>
      </w:pPr>
      <w:bookmarkStart w:id="54" w:name="_Toc6118"/>
      <w:bookmarkStart w:id="55" w:name="_Toc460"/>
      <w:bookmarkStart w:id="56" w:name="_Toc8447"/>
      <w:r>
        <w:rPr>
          <w:rFonts w:hint="eastAsia"/>
          <w:b/>
          <w:bCs/>
          <w:lang w:val="en-US" w:eastAsia="en-US"/>
        </w:rPr>
        <w:t>2.2.2</w:t>
      </w:r>
      <w:r>
        <w:rPr>
          <w:rFonts w:hint="eastAsia"/>
          <w:b/>
          <w:bCs/>
          <w:lang w:val="en-US" w:eastAsia="zh-CN"/>
        </w:rPr>
        <w:t xml:space="preserve"> </w:t>
      </w:r>
      <w:r>
        <w:rPr>
          <w:rFonts w:hint="eastAsia"/>
          <w:b/>
          <w:bCs/>
          <w:lang w:val="en-US" w:eastAsia="en-US"/>
        </w:rPr>
        <w:t>评价因子筛选</w:t>
      </w:r>
      <w:bookmarkEnd w:id="54"/>
      <w:bookmarkEnd w:id="55"/>
      <w:bookmarkEnd w:id="56"/>
    </w:p>
    <w:p w14:paraId="20060CDF">
      <w:pPr>
        <w:bidi w:val="0"/>
        <w:ind w:firstLine="480" w:firstLineChars="200"/>
        <w:rPr>
          <w:rFonts w:hint="eastAsia"/>
          <w:color w:val="auto"/>
          <w:lang w:eastAsia="zh-CN"/>
        </w:rPr>
      </w:pPr>
      <w:r>
        <w:rPr>
          <w:color w:val="auto"/>
        </w:rPr>
        <w:t>根据</w:t>
      </w:r>
      <w:r>
        <w:rPr>
          <w:rFonts w:hint="eastAsia"/>
          <w:color w:val="auto"/>
          <w:lang w:val="en-US" w:eastAsia="zh-CN"/>
        </w:rPr>
        <w:t>本次技改</w:t>
      </w:r>
      <w:r>
        <w:rPr>
          <w:color w:val="auto"/>
        </w:rPr>
        <w:t>项目生产特性、排污因子、控制标准等因素综合分析，项目评价因子见下表</w:t>
      </w:r>
      <w:r>
        <w:rPr>
          <w:rFonts w:hint="eastAsia"/>
          <w:color w:val="auto"/>
          <w:lang w:eastAsia="zh-CN"/>
        </w:rPr>
        <w:t>。</w:t>
      </w:r>
    </w:p>
    <w:p w14:paraId="6DE4A656">
      <w:pPr>
        <w:bidi w:val="0"/>
        <w:jc w:val="center"/>
        <w:rPr>
          <w:b/>
          <w:bCs/>
        </w:rPr>
      </w:pPr>
      <w:r>
        <w:rPr>
          <w:b/>
          <w:bCs/>
        </w:rPr>
        <w:t>表2.2-2</w:t>
      </w:r>
      <w:r>
        <w:rPr>
          <w:rFonts w:hint="eastAsia"/>
          <w:b/>
          <w:bCs/>
          <w:lang w:val="en-US" w:eastAsia="zh-CN"/>
        </w:rPr>
        <w:t xml:space="preserve"> 本次技改</w:t>
      </w:r>
      <w:r>
        <w:rPr>
          <w:b/>
          <w:bCs/>
        </w:rPr>
        <w:t>项目主要污染因子</w:t>
      </w:r>
    </w:p>
    <w:tbl>
      <w:tblPr>
        <w:tblStyle w:val="25"/>
        <w:tblW w:w="5052"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45"/>
        <w:gridCol w:w="4670"/>
        <w:gridCol w:w="2100"/>
        <w:gridCol w:w="1347"/>
      </w:tblGrid>
      <w:tr w14:paraId="4D1DCC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52B69334">
            <w:pPr>
              <w:widowControl w:val="0"/>
              <w:bidi w:val="0"/>
              <w:spacing w:line="240" w:lineRule="auto"/>
              <w:ind w:firstLine="0" w:firstLineChars="0"/>
              <w:jc w:val="center"/>
              <w:rPr>
                <w:rFonts w:hint="default" w:ascii="Times New Roman" w:hAnsi="Times New Roman" w:eastAsia="宋体" w:cs="Times New Roman"/>
                <w:b/>
                <w:bCs/>
                <w:color w:val="auto"/>
                <w:sz w:val="21"/>
              </w:rPr>
            </w:pPr>
            <w:r>
              <w:rPr>
                <w:rFonts w:hint="default" w:ascii="Times New Roman" w:hAnsi="Times New Roman" w:eastAsia="宋体" w:cs="Times New Roman"/>
                <w:b/>
                <w:bCs/>
                <w:color w:val="auto"/>
                <w:sz w:val="21"/>
              </w:rPr>
              <w:t>环境因素</w:t>
            </w:r>
          </w:p>
        </w:tc>
        <w:tc>
          <w:tcPr>
            <w:tcW w:w="4666" w:type="dxa"/>
            <w:noWrap w:val="0"/>
            <w:vAlign w:val="center"/>
          </w:tcPr>
          <w:p w14:paraId="381C0470">
            <w:pPr>
              <w:widowControl w:val="0"/>
              <w:bidi w:val="0"/>
              <w:spacing w:line="240" w:lineRule="auto"/>
              <w:ind w:firstLine="0" w:firstLineChars="0"/>
              <w:jc w:val="center"/>
              <w:rPr>
                <w:rFonts w:hint="default" w:ascii="Times New Roman" w:hAnsi="Times New Roman" w:eastAsia="宋体" w:cs="Times New Roman"/>
                <w:b/>
                <w:bCs/>
                <w:color w:val="auto"/>
                <w:sz w:val="21"/>
              </w:rPr>
            </w:pPr>
            <w:r>
              <w:rPr>
                <w:rFonts w:hint="default" w:ascii="Times New Roman" w:hAnsi="Times New Roman" w:eastAsia="宋体" w:cs="Times New Roman"/>
                <w:b/>
                <w:bCs/>
                <w:color w:val="auto"/>
                <w:sz w:val="21"/>
              </w:rPr>
              <w:t>现状评价因子</w:t>
            </w:r>
          </w:p>
        </w:tc>
        <w:tc>
          <w:tcPr>
            <w:tcW w:w="2098" w:type="dxa"/>
            <w:noWrap w:val="0"/>
            <w:vAlign w:val="center"/>
          </w:tcPr>
          <w:p w14:paraId="34C32FEE">
            <w:pPr>
              <w:widowControl w:val="0"/>
              <w:bidi w:val="0"/>
              <w:spacing w:line="240" w:lineRule="auto"/>
              <w:ind w:firstLine="0" w:firstLineChars="0"/>
              <w:jc w:val="center"/>
              <w:rPr>
                <w:rFonts w:hint="default" w:ascii="Times New Roman" w:hAnsi="Times New Roman" w:eastAsia="宋体" w:cs="Times New Roman"/>
                <w:b/>
                <w:bCs/>
                <w:color w:val="auto"/>
                <w:sz w:val="21"/>
              </w:rPr>
            </w:pPr>
            <w:r>
              <w:rPr>
                <w:rFonts w:hint="default" w:ascii="Times New Roman" w:hAnsi="Times New Roman" w:eastAsia="宋体" w:cs="Times New Roman"/>
                <w:b/>
                <w:bCs/>
                <w:color w:val="auto"/>
                <w:sz w:val="21"/>
              </w:rPr>
              <w:t>预测评价因子</w:t>
            </w:r>
          </w:p>
        </w:tc>
        <w:tc>
          <w:tcPr>
            <w:tcW w:w="1346" w:type="dxa"/>
            <w:noWrap w:val="0"/>
            <w:vAlign w:val="center"/>
          </w:tcPr>
          <w:p w14:paraId="59623BF5">
            <w:pPr>
              <w:widowControl w:val="0"/>
              <w:bidi w:val="0"/>
              <w:spacing w:line="240" w:lineRule="auto"/>
              <w:ind w:firstLine="0" w:firstLineChars="0"/>
              <w:jc w:val="center"/>
              <w:rPr>
                <w:rFonts w:hint="default" w:ascii="Times New Roman" w:hAnsi="Times New Roman" w:eastAsia="宋体" w:cs="Times New Roman"/>
                <w:b/>
                <w:bCs/>
                <w:color w:val="auto"/>
                <w:sz w:val="21"/>
              </w:rPr>
            </w:pPr>
            <w:r>
              <w:rPr>
                <w:rFonts w:hint="default" w:ascii="Times New Roman" w:hAnsi="Times New Roman" w:eastAsia="宋体" w:cs="Times New Roman"/>
                <w:b/>
                <w:bCs/>
                <w:color w:val="auto"/>
                <w:sz w:val="21"/>
              </w:rPr>
              <w:t>总量控制</w:t>
            </w:r>
          </w:p>
        </w:tc>
      </w:tr>
      <w:tr w14:paraId="23DC7F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25347D5F">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环境空气</w:t>
            </w:r>
          </w:p>
        </w:tc>
        <w:tc>
          <w:tcPr>
            <w:tcW w:w="4666" w:type="dxa"/>
            <w:noWrap w:val="0"/>
            <w:vAlign w:val="center"/>
          </w:tcPr>
          <w:p w14:paraId="768B4F70">
            <w:pPr>
              <w:widowControl w:val="0"/>
              <w:bidi w:val="0"/>
              <w:spacing w:line="240" w:lineRule="auto"/>
              <w:jc w:val="center"/>
              <w:rPr>
                <w:rFonts w:hint="eastAsia" w:ascii="Times New Roman" w:hAnsi="Times New Roman" w:eastAsia="宋体" w:cs="Times New Roman"/>
                <w:color w:val="auto"/>
                <w:sz w:val="21"/>
                <w:lang w:eastAsia="zh-CN"/>
              </w:rPr>
            </w:pPr>
            <w:r>
              <w:rPr>
                <w:rFonts w:hint="default" w:ascii="Times New Roman" w:hAnsi="Times New Roman" w:eastAsia="宋体" w:cs="Times New Roman"/>
                <w:color w:val="auto"/>
                <w:sz w:val="21"/>
              </w:rPr>
              <w:t>SO</w:t>
            </w:r>
            <w:r>
              <w:rPr>
                <w:rFonts w:hint="default" w:ascii="Times New Roman" w:hAnsi="Times New Roman" w:eastAsia="宋体" w:cs="Times New Roman"/>
                <w:color w:val="auto"/>
                <w:sz w:val="21"/>
                <w:vertAlign w:val="subscript"/>
              </w:rPr>
              <w:t>2</w:t>
            </w:r>
            <w:r>
              <w:rPr>
                <w:rFonts w:hint="default" w:ascii="Times New Roman" w:hAnsi="Times New Roman" w:eastAsia="宋体" w:cs="Times New Roman"/>
                <w:color w:val="auto"/>
                <w:sz w:val="21"/>
              </w:rPr>
              <w:t>、NO</w:t>
            </w:r>
            <w:r>
              <w:rPr>
                <w:rFonts w:hint="default" w:ascii="Times New Roman" w:hAnsi="Times New Roman" w:eastAsia="宋体" w:cs="Times New Roman"/>
                <w:color w:val="auto"/>
                <w:sz w:val="21"/>
                <w:vertAlign w:val="subscript"/>
              </w:rPr>
              <w:t>2</w:t>
            </w:r>
            <w:r>
              <w:rPr>
                <w:rFonts w:hint="default" w:ascii="Times New Roman" w:hAnsi="Times New Roman" w:eastAsia="宋体" w:cs="Times New Roman"/>
                <w:color w:val="auto"/>
                <w:sz w:val="21"/>
              </w:rPr>
              <w:t>、PM</w:t>
            </w:r>
            <w:r>
              <w:rPr>
                <w:rFonts w:hint="default" w:ascii="Times New Roman" w:hAnsi="Times New Roman" w:eastAsia="宋体" w:cs="Times New Roman"/>
                <w:color w:val="auto"/>
                <w:sz w:val="21"/>
                <w:vertAlign w:val="subscript"/>
              </w:rPr>
              <w:t>10</w:t>
            </w:r>
            <w:r>
              <w:rPr>
                <w:rFonts w:hint="default" w:ascii="Times New Roman" w:hAnsi="Times New Roman" w:eastAsia="宋体" w:cs="Times New Roman"/>
                <w:color w:val="auto"/>
                <w:sz w:val="21"/>
              </w:rPr>
              <w:t>、PM</w:t>
            </w:r>
            <w:r>
              <w:rPr>
                <w:rFonts w:hint="default" w:ascii="Times New Roman" w:hAnsi="Times New Roman" w:eastAsia="宋体" w:cs="Times New Roman"/>
                <w:color w:val="auto"/>
                <w:sz w:val="21"/>
                <w:vertAlign w:val="subscript"/>
              </w:rPr>
              <w:t>2.5</w:t>
            </w:r>
            <w:r>
              <w:rPr>
                <w:rFonts w:hint="default" w:ascii="Times New Roman" w:hAnsi="Times New Roman" w:eastAsia="宋体" w:cs="Times New Roman"/>
                <w:color w:val="auto"/>
                <w:sz w:val="21"/>
              </w:rPr>
              <w:t>、CO、O</w:t>
            </w:r>
            <w:r>
              <w:rPr>
                <w:rFonts w:hint="default" w:ascii="Times New Roman" w:hAnsi="Times New Roman" w:eastAsia="宋体" w:cs="Times New Roman"/>
                <w:color w:val="auto"/>
                <w:sz w:val="21"/>
                <w:vertAlign w:val="subscript"/>
              </w:rPr>
              <w:t>3</w:t>
            </w:r>
            <w:r>
              <w:rPr>
                <w:rFonts w:hint="eastAsia" w:ascii="Times New Roman" w:hAnsi="Times New Roman" w:eastAsia="宋体" w:cs="Times New Roman"/>
                <w:color w:val="auto"/>
                <w:sz w:val="21"/>
                <w:vertAlign w:val="baseline"/>
                <w:lang w:eastAsia="zh-CN"/>
              </w:rPr>
              <w:t>、</w:t>
            </w:r>
            <w:r>
              <w:rPr>
                <w:rFonts w:hint="eastAsia" w:ascii="Times New Roman" w:hAnsi="Times New Roman" w:cs="Times New Roman"/>
                <w:bCs/>
                <w:snapToGrid w:val="0"/>
                <w:color w:val="auto"/>
                <w:sz w:val="21"/>
                <w:szCs w:val="21"/>
              </w:rPr>
              <w:t>非甲烷总烃、TSP</w:t>
            </w:r>
          </w:p>
        </w:tc>
        <w:tc>
          <w:tcPr>
            <w:tcW w:w="2098" w:type="dxa"/>
            <w:noWrap w:val="0"/>
            <w:vAlign w:val="center"/>
          </w:tcPr>
          <w:p w14:paraId="43D0AE5D">
            <w:pPr>
              <w:widowControl w:val="0"/>
              <w:bidi w:val="0"/>
              <w:spacing w:line="240" w:lineRule="auto"/>
              <w:ind w:firstLine="0" w:firstLineChars="0"/>
              <w:jc w:val="center"/>
              <w:rPr>
                <w:rFonts w:hint="eastAsia" w:ascii="Times New Roman" w:hAnsi="Times New Roman" w:eastAsia="宋体" w:cs="Times New Roman"/>
                <w:color w:val="auto"/>
                <w:sz w:val="21"/>
                <w:lang w:eastAsia="zh-CN"/>
              </w:rPr>
            </w:pPr>
            <w:r>
              <w:rPr>
                <w:rFonts w:hint="default" w:ascii="Times New Roman" w:hAnsi="Times New Roman" w:eastAsia="宋体" w:cs="Times New Roman"/>
                <w:color w:val="auto"/>
                <w:sz w:val="21"/>
              </w:rPr>
              <w:t>PM</w:t>
            </w:r>
            <w:r>
              <w:rPr>
                <w:rFonts w:hint="default" w:ascii="Times New Roman" w:hAnsi="Times New Roman" w:eastAsia="宋体" w:cs="Times New Roman"/>
                <w:color w:val="auto"/>
                <w:sz w:val="21"/>
                <w:vertAlign w:val="subscript"/>
              </w:rPr>
              <w:t>10</w:t>
            </w:r>
            <w:r>
              <w:rPr>
                <w:rFonts w:hint="default" w:ascii="Times New Roman" w:hAnsi="Times New Roman" w:eastAsia="宋体" w:cs="Times New Roman"/>
                <w:color w:val="auto"/>
                <w:sz w:val="21"/>
              </w:rPr>
              <w:t>、PM</w:t>
            </w:r>
            <w:r>
              <w:rPr>
                <w:rFonts w:hint="default" w:ascii="Times New Roman" w:hAnsi="Times New Roman" w:eastAsia="宋体" w:cs="Times New Roman"/>
                <w:color w:val="auto"/>
                <w:sz w:val="21"/>
                <w:vertAlign w:val="subscript"/>
                <w:lang w:val="en-US" w:eastAsia="zh-CN"/>
              </w:rPr>
              <w:t>2.5</w:t>
            </w:r>
            <w:r>
              <w:rPr>
                <w:rFonts w:hint="default" w:ascii="Times New Roman" w:hAnsi="Times New Roman" w:eastAsia="宋体" w:cs="Times New Roman"/>
                <w:color w:val="auto"/>
                <w:sz w:val="21"/>
                <w:lang w:val="en-US" w:eastAsia="zh-CN"/>
              </w:rPr>
              <w:t>、</w:t>
            </w:r>
            <w:r>
              <w:rPr>
                <w:rFonts w:hint="eastAsia" w:ascii="Times New Roman" w:hAnsi="Times New Roman" w:cs="Times New Roman"/>
                <w:bCs/>
                <w:snapToGrid w:val="0"/>
                <w:color w:val="auto"/>
                <w:sz w:val="21"/>
                <w:szCs w:val="21"/>
              </w:rPr>
              <w:t>TSP、</w:t>
            </w:r>
            <w:r>
              <w:rPr>
                <w:rFonts w:hint="default" w:ascii="Times New Roman" w:hAnsi="Times New Roman" w:eastAsia="宋体" w:cs="Times New Roman"/>
                <w:color w:val="auto"/>
                <w:sz w:val="21"/>
              </w:rPr>
              <w:t>非甲烷总烃</w:t>
            </w:r>
          </w:p>
        </w:tc>
        <w:tc>
          <w:tcPr>
            <w:tcW w:w="1346" w:type="dxa"/>
            <w:noWrap w:val="0"/>
            <w:vAlign w:val="center"/>
          </w:tcPr>
          <w:p w14:paraId="1C2E2ED3">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烟（粉）尘</w:t>
            </w:r>
            <w:r>
              <w:rPr>
                <w:rFonts w:ascii="Times New Roman" w:hAnsi="Times New Roman" w:cs="Times New Roman"/>
                <w:sz w:val="21"/>
                <w:szCs w:val="21"/>
              </w:rPr>
              <w:t>、</w:t>
            </w:r>
            <w:r>
              <w:rPr>
                <w:rFonts w:hint="eastAsia" w:ascii="Times New Roman" w:hAnsi="Times New Roman" w:cs="Times New Roman"/>
                <w:sz w:val="21"/>
                <w:szCs w:val="21"/>
                <w:lang w:val="en-US" w:eastAsia="zh-CN"/>
              </w:rPr>
              <w:t>挥发性有机物</w:t>
            </w:r>
          </w:p>
        </w:tc>
      </w:tr>
      <w:tr w14:paraId="163C35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410BDD47">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地表水</w:t>
            </w:r>
          </w:p>
        </w:tc>
        <w:tc>
          <w:tcPr>
            <w:tcW w:w="4666" w:type="dxa"/>
            <w:noWrap w:val="0"/>
            <w:vAlign w:val="center"/>
          </w:tcPr>
          <w:p w14:paraId="4D2866CA">
            <w:pPr>
              <w:widowControl w:val="0"/>
              <w:kinsoku w:val="0"/>
              <w:autoSpaceDE w:val="0"/>
              <w:autoSpaceDN w:val="0"/>
              <w:bidi w:val="0"/>
              <w:adjustRightInd w:val="0"/>
              <w:snapToGrid w:val="0"/>
              <w:spacing w:line="240" w:lineRule="auto"/>
              <w:ind w:left="0"/>
              <w:jc w:val="center"/>
              <w:textAlignment w:val="baseline"/>
              <w:rPr>
                <w:rFonts w:hint="eastAsia" w:ascii="Times New Roman" w:hAnsi="Times New Roman" w:eastAsia="宋体" w:cs="Times New Roman"/>
                <w:snapToGrid w:val="0"/>
                <w:color w:val="auto"/>
                <w:spacing w:val="6"/>
                <w:kern w:val="0"/>
                <w:sz w:val="21"/>
                <w:szCs w:val="21"/>
                <w:lang w:val="en-US" w:eastAsia="zh-CN" w:bidi="ar-SA"/>
              </w:rPr>
            </w:pPr>
            <w:r>
              <w:rPr>
                <w:rFonts w:ascii="Times New Roman" w:hAnsi="Times New Roman" w:eastAsia="宋体" w:cs="Times New Roman"/>
                <w:snapToGrid w:val="0"/>
                <w:color w:val="auto"/>
                <w:spacing w:val="6"/>
                <w:kern w:val="0"/>
                <w:sz w:val="21"/>
                <w:szCs w:val="21"/>
                <w:lang w:val="en-US" w:eastAsia="en-US" w:bidi="ar-SA"/>
              </w:rPr>
              <w:t>水温、pH、DO、COD、BOD</w:t>
            </w:r>
            <w:r>
              <w:rPr>
                <w:rFonts w:ascii="Times New Roman" w:hAnsi="Times New Roman" w:eastAsia="宋体" w:cs="Times New Roman"/>
                <w:snapToGrid w:val="0"/>
                <w:color w:val="auto"/>
                <w:spacing w:val="6"/>
                <w:kern w:val="0"/>
                <w:sz w:val="21"/>
                <w:szCs w:val="21"/>
                <w:vertAlign w:val="subscript"/>
                <w:lang w:val="en-US" w:eastAsia="en-US" w:bidi="ar-SA"/>
              </w:rPr>
              <w:t>5</w:t>
            </w:r>
            <w:r>
              <w:rPr>
                <w:rFonts w:ascii="Times New Roman" w:hAnsi="Times New Roman" w:eastAsia="宋体" w:cs="Times New Roman"/>
                <w:snapToGrid w:val="0"/>
                <w:color w:val="auto"/>
                <w:spacing w:val="6"/>
                <w:kern w:val="0"/>
                <w:sz w:val="21"/>
                <w:szCs w:val="21"/>
                <w:lang w:val="en-US" w:eastAsia="en-US" w:bidi="ar-SA"/>
              </w:rPr>
              <w:t>、电导率、浊度、高锰酸盐指数、TN、NH</w:t>
            </w:r>
            <w:r>
              <w:rPr>
                <w:rFonts w:ascii="Times New Roman" w:hAnsi="Times New Roman" w:eastAsia="宋体" w:cs="Times New Roman"/>
                <w:snapToGrid w:val="0"/>
                <w:color w:val="auto"/>
                <w:spacing w:val="6"/>
                <w:kern w:val="0"/>
                <w:sz w:val="21"/>
                <w:szCs w:val="21"/>
                <w:vertAlign w:val="subscript"/>
                <w:lang w:val="en-US" w:eastAsia="en-US" w:bidi="ar-SA"/>
              </w:rPr>
              <w:t>3</w:t>
            </w:r>
            <w:r>
              <w:rPr>
                <w:rFonts w:ascii="Times New Roman" w:hAnsi="Times New Roman" w:eastAsia="宋体" w:cs="Times New Roman"/>
                <w:snapToGrid w:val="0"/>
                <w:color w:val="auto"/>
                <w:spacing w:val="6"/>
                <w:kern w:val="0"/>
                <w:sz w:val="21"/>
                <w:szCs w:val="21"/>
                <w:lang w:val="en-US" w:eastAsia="en-US" w:bidi="ar-SA"/>
              </w:rPr>
              <w:t>-N、TP、挥发酚、氰化物、石油类、六价铬、氟化物、氯化物、铜、锌、硒、砷、汞、镉、铅、阴离子表面活性剂、粪大肠菌群</w:t>
            </w:r>
          </w:p>
        </w:tc>
        <w:tc>
          <w:tcPr>
            <w:tcW w:w="2098" w:type="dxa"/>
            <w:noWrap w:val="0"/>
            <w:vAlign w:val="center"/>
          </w:tcPr>
          <w:p w14:paraId="36894B28">
            <w:pPr>
              <w:widowControl w:val="0"/>
              <w:bidi w:val="0"/>
              <w:spacing w:line="240" w:lineRule="auto"/>
              <w:ind w:firstLine="0" w:firstLineChars="0"/>
              <w:jc w:val="center"/>
              <w:rPr>
                <w:rFonts w:hint="eastAsia" w:ascii="Times New Roman" w:hAnsi="Times New Roman" w:eastAsia="宋体" w:cs="Times New Roman"/>
                <w:color w:val="auto"/>
                <w:sz w:val="21"/>
                <w:lang w:val="en-US" w:eastAsia="zh-CN"/>
              </w:rPr>
            </w:pPr>
            <w:r>
              <w:rPr>
                <w:rFonts w:hint="eastAsia" w:ascii="Times New Roman" w:hAnsi="Times New Roman" w:eastAsia="宋体" w:cs="Times New Roman"/>
                <w:color w:val="auto"/>
                <w:sz w:val="21"/>
                <w:lang w:val="en-US" w:eastAsia="zh-CN"/>
              </w:rPr>
              <w:t>/</w:t>
            </w:r>
          </w:p>
        </w:tc>
        <w:tc>
          <w:tcPr>
            <w:tcW w:w="1346" w:type="dxa"/>
            <w:noWrap w:val="0"/>
            <w:vAlign w:val="center"/>
          </w:tcPr>
          <w:p w14:paraId="4096FDDF">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eastAsia" w:ascii="Times New Roman" w:hAnsi="Times New Roman" w:eastAsia="宋体" w:cs="Times New Roman"/>
                <w:color w:val="auto"/>
                <w:sz w:val="21"/>
                <w:lang w:val="en-US" w:eastAsia="zh-CN"/>
              </w:rPr>
              <w:t>/</w:t>
            </w:r>
          </w:p>
        </w:tc>
      </w:tr>
      <w:tr w14:paraId="3F69AB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0D6200B8">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地下水</w:t>
            </w:r>
          </w:p>
        </w:tc>
        <w:tc>
          <w:tcPr>
            <w:tcW w:w="4666" w:type="dxa"/>
            <w:noWrap w:val="0"/>
            <w:vAlign w:val="center"/>
          </w:tcPr>
          <w:p w14:paraId="6A4A53E7">
            <w:pPr>
              <w:widowControl w:val="0"/>
              <w:bidi w:val="0"/>
              <w:spacing w:line="240" w:lineRule="auto"/>
              <w:ind w:firstLine="0" w:firstLineChars="0"/>
              <w:jc w:val="center"/>
              <w:rPr>
                <w:rFonts w:hint="default" w:ascii="Times New Roman" w:hAnsi="Times New Roman" w:eastAsia="宋体" w:cs="Times New Roman"/>
                <w:color w:val="auto"/>
                <w:sz w:val="21"/>
                <w:lang w:val="en-US"/>
              </w:rPr>
            </w:pPr>
            <w:r>
              <w:rPr>
                <w:rFonts w:hint="default" w:ascii="Times New Roman" w:hAnsi="Times New Roman" w:eastAsia="宋体" w:cs="Times New Roman"/>
                <w:color w:val="auto"/>
                <w:sz w:val="21"/>
              </w:rPr>
              <w:t>水位、K</w:t>
            </w:r>
            <w:r>
              <w:rPr>
                <w:rFonts w:hint="default" w:ascii="Times New Roman" w:hAnsi="Times New Roman" w:eastAsia="宋体" w:cs="Times New Roman"/>
                <w:color w:val="auto"/>
                <w:sz w:val="21"/>
                <w:vertAlign w:val="superscript"/>
              </w:rPr>
              <w:t>+</w:t>
            </w:r>
            <w:r>
              <w:rPr>
                <w:rFonts w:hint="default" w:ascii="Times New Roman" w:hAnsi="Times New Roman" w:eastAsia="宋体" w:cs="Times New Roman"/>
                <w:color w:val="auto"/>
                <w:sz w:val="21"/>
              </w:rPr>
              <w:t>、Na</w:t>
            </w:r>
            <w:r>
              <w:rPr>
                <w:rFonts w:hint="default" w:ascii="Times New Roman" w:hAnsi="Times New Roman" w:eastAsia="宋体" w:cs="Times New Roman"/>
                <w:color w:val="auto"/>
                <w:sz w:val="21"/>
                <w:vertAlign w:val="superscript"/>
              </w:rPr>
              <w:t>+</w:t>
            </w:r>
            <w:r>
              <w:rPr>
                <w:rFonts w:hint="default" w:ascii="Times New Roman" w:hAnsi="Times New Roman" w:eastAsia="宋体" w:cs="Times New Roman"/>
                <w:color w:val="auto"/>
                <w:sz w:val="21"/>
              </w:rPr>
              <w:t>、Ca</w:t>
            </w:r>
            <w:r>
              <w:rPr>
                <w:rFonts w:hint="default" w:ascii="Times New Roman" w:hAnsi="Times New Roman" w:eastAsia="宋体" w:cs="Times New Roman"/>
                <w:color w:val="auto"/>
                <w:sz w:val="21"/>
                <w:vertAlign w:val="superscript"/>
              </w:rPr>
              <w:t>2+</w:t>
            </w:r>
            <w:r>
              <w:rPr>
                <w:rFonts w:hint="default" w:ascii="Times New Roman" w:hAnsi="Times New Roman" w:eastAsia="宋体" w:cs="Times New Roman"/>
                <w:color w:val="auto"/>
                <w:sz w:val="21"/>
              </w:rPr>
              <w:t>、Mg</w:t>
            </w:r>
            <w:r>
              <w:rPr>
                <w:rFonts w:hint="default" w:ascii="Times New Roman" w:hAnsi="Times New Roman" w:eastAsia="宋体" w:cs="Times New Roman"/>
                <w:color w:val="auto"/>
                <w:sz w:val="21"/>
                <w:vertAlign w:val="superscript"/>
              </w:rPr>
              <w:t>2+</w:t>
            </w:r>
            <w:r>
              <w:rPr>
                <w:rFonts w:hint="default" w:ascii="Times New Roman" w:hAnsi="Times New Roman" w:eastAsia="宋体" w:cs="Times New Roman"/>
                <w:color w:val="auto"/>
                <w:sz w:val="21"/>
              </w:rPr>
              <w:t>、CO</w:t>
            </w:r>
            <w:r>
              <w:rPr>
                <w:rFonts w:hint="default" w:ascii="Times New Roman" w:hAnsi="Times New Roman" w:eastAsia="宋体" w:cs="Times New Roman"/>
                <w:color w:val="auto"/>
                <w:sz w:val="21"/>
                <w:vertAlign w:val="subscript"/>
              </w:rPr>
              <w:t>3</w:t>
            </w:r>
            <w:r>
              <w:rPr>
                <w:rFonts w:hint="default" w:ascii="Times New Roman" w:hAnsi="Times New Roman" w:eastAsia="宋体" w:cs="Times New Roman"/>
                <w:color w:val="auto"/>
                <w:sz w:val="21"/>
                <w:vertAlign w:val="superscript"/>
              </w:rPr>
              <w:t>2-</w:t>
            </w:r>
            <w:r>
              <w:rPr>
                <w:rFonts w:hint="default" w:ascii="Times New Roman" w:hAnsi="Times New Roman" w:eastAsia="宋体" w:cs="Times New Roman"/>
                <w:color w:val="auto"/>
                <w:sz w:val="21"/>
              </w:rPr>
              <w:t>、HCO</w:t>
            </w:r>
            <w:r>
              <w:rPr>
                <w:rFonts w:hint="default" w:ascii="Times New Roman" w:hAnsi="Times New Roman" w:eastAsia="宋体" w:cs="Times New Roman"/>
                <w:color w:val="auto"/>
                <w:sz w:val="21"/>
                <w:vertAlign w:val="subscript"/>
              </w:rPr>
              <w:t>3</w:t>
            </w:r>
            <w:r>
              <w:rPr>
                <w:rFonts w:hint="default" w:ascii="Times New Roman" w:hAnsi="Times New Roman" w:eastAsia="宋体" w:cs="Times New Roman"/>
                <w:color w:val="auto"/>
                <w:sz w:val="21"/>
                <w:vertAlign w:val="superscript"/>
              </w:rPr>
              <w:t>-</w:t>
            </w:r>
            <w:r>
              <w:rPr>
                <w:rFonts w:hint="default" w:ascii="Times New Roman" w:hAnsi="Times New Roman" w:eastAsia="宋体" w:cs="Times New Roman"/>
                <w:color w:val="auto"/>
                <w:sz w:val="21"/>
              </w:rPr>
              <w:t>、Cl</w:t>
            </w:r>
            <w:r>
              <w:rPr>
                <w:rFonts w:hint="default" w:ascii="Times New Roman" w:hAnsi="Times New Roman" w:eastAsia="宋体" w:cs="Times New Roman"/>
                <w:color w:val="auto"/>
                <w:sz w:val="21"/>
                <w:vertAlign w:val="superscript"/>
              </w:rPr>
              <w:t>-</w:t>
            </w:r>
            <w:r>
              <w:rPr>
                <w:rFonts w:hint="default" w:ascii="Times New Roman" w:hAnsi="Times New Roman" w:eastAsia="宋体" w:cs="Times New Roman"/>
                <w:color w:val="auto"/>
                <w:sz w:val="21"/>
              </w:rPr>
              <w:t>、SO</w:t>
            </w:r>
            <w:r>
              <w:rPr>
                <w:rFonts w:hint="default" w:ascii="Times New Roman" w:hAnsi="Times New Roman" w:eastAsia="宋体" w:cs="Times New Roman"/>
                <w:color w:val="auto"/>
                <w:sz w:val="21"/>
                <w:vertAlign w:val="subscript"/>
              </w:rPr>
              <w:t>4</w:t>
            </w:r>
            <w:r>
              <w:rPr>
                <w:rFonts w:hint="default" w:ascii="Times New Roman" w:hAnsi="Times New Roman" w:eastAsia="宋体" w:cs="Times New Roman"/>
                <w:color w:val="auto"/>
                <w:sz w:val="21"/>
                <w:vertAlign w:val="superscript"/>
              </w:rPr>
              <w:t>2-</w:t>
            </w:r>
            <w:r>
              <w:rPr>
                <w:rFonts w:hint="default" w:ascii="Times New Roman" w:hAnsi="Times New Roman" w:eastAsia="宋体" w:cs="Times New Roman"/>
                <w:color w:val="auto"/>
                <w:sz w:val="21"/>
              </w:rPr>
              <w:t>、pH、氨氮、总硬度、硝酸盐、亚硝酸盐、</w:t>
            </w:r>
            <w:r>
              <w:rPr>
                <w:rFonts w:hint="eastAsia" w:ascii="Times New Roman" w:hAnsi="Times New Roman" w:eastAsia="宋体" w:cs="Times New Roman"/>
                <w:color w:val="auto"/>
                <w:sz w:val="21"/>
                <w:lang w:val="en-US" w:eastAsia="zh-CN"/>
              </w:rPr>
              <w:t>挥发酚类、阴离子表面活性剂、氰化物、</w:t>
            </w:r>
            <w:r>
              <w:rPr>
                <w:rFonts w:hint="default" w:ascii="Times New Roman" w:hAnsi="Times New Roman" w:eastAsia="宋体" w:cs="Times New Roman"/>
                <w:color w:val="auto"/>
                <w:sz w:val="21"/>
              </w:rPr>
              <w:t>氯化物、砷、汞、铬（六价）、铅、</w:t>
            </w:r>
            <w:r>
              <w:rPr>
                <w:rFonts w:hint="eastAsia" w:ascii="Times New Roman" w:hAnsi="Times New Roman" w:eastAsia="宋体" w:cs="Times New Roman"/>
                <w:color w:val="auto"/>
                <w:sz w:val="21"/>
                <w:lang w:val="en-US" w:eastAsia="zh-CN"/>
              </w:rPr>
              <w:t>氟、</w:t>
            </w:r>
            <w:r>
              <w:rPr>
                <w:rFonts w:hint="default" w:ascii="Times New Roman" w:hAnsi="Times New Roman" w:eastAsia="宋体" w:cs="Times New Roman"/>
                <w:color w:val="auto"/>
                <w:sz w:val="21"/>
              </w:rPr>
              <w:t>镉、</w:t>
            </w:r>
            <w:r>
              <w:rPr>
                <w:rFonts w:hint="eastAsia" w:ascii="Times New Roman" w:hAnsi="Times New Roman" w:eastAsia="宋体" w:cs="Times New Roman"/>
                <w:color w:val="auto"/>
                <w:sz w:val="21"/>
                <w:lang w:val="en-US" w:eastAsia="zh-CN"/>
              </w:rPr>
              <w:t>铁、锰、溶解性总固体、高锰酸盐指数、硫酸盐、总大肠菌群、细菌总数</w:t>
            </w:r>
          </w:p>
        </w:tc>
        <w:tc>
          <w:tcPr>
            <w:tcW w:w="2098" w:type="dxa"/>
            <w:noWrap w:val="0"/>
            <w:vAlign w:val="center"/>
          </w:tcPr>
          <w:p w14:paraId="394B9D88">
            <w:pPr>
              <w:widowControl w:val="0"/>
              <w:bidi w:val="0"/>
              <w:spacing w:line="240" w:lineRule="auto"/>
              <w:ind w:firstLine="0" w:firstLineChars="0"/>
              <w:jc w:val="center"/>
              <w:rPr>
                <w:rFonts w:hint="default" w:ascii="Times New Roman" w:hAnsi="Times New Roman" w:eastAsia="宋体" w:cs="Times New Roman"/>
                <w:color w:val="auto"/>
                <w:sz w:val="21"/>
                <w:lang w:eastAsia="zh-CN"/>
              </w:rPr>
            </w:pPr>
            <w:r>
              <w:rPr>
                <w:rFonts w:hint="default" w:ascii="Times New Roman" w:hAnsi="Times New Roman" w:eastAsia="宋体" w:cs="Times New Roman"/>
                <w:color w:val="auto"/>
                <w:sz w:val="21"/>
                <w:lang w:val="en-US" w:eastAsia="zh-CN"/>
              </w:rPr>
              <w:t>氟化物</w:t>
            </w:r>
          </w:p>
        </w:tc>
        <w:tc>
          <w:tcPr>
            <w:tcW w:w="1346" w:type="dxa"/>
            <w:noWrap w:val="0"/>
            <w:vAlign w:val="center"/>
          </w:tcPr>
          <w:p w14:paraId="2AE8A71F">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w:t>
            </w:r>
          </w:p>
        </w:tc>
      </w:tr>
      <w:tr w14:paraId="1978A1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55E41E94">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土壤</w:t>
            </w:r>
          </w:p>
        </w:tc>
        <w:tc>
          <w:tcPr>
            <w:tcW w:w="4666" w:type="dxa"/>
            <w:noWrap w:val="0"/>
            <w:vAlign w:val="center"/>
          </w:tcPr>
          <w:p w14:paraId="290EBA76">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①重金属和无机物：砷、镉、铬（六价）、铜、铅、汞、镍；②挥发性有机物：四氯化碳、氯仿、氯甲烷、1,1-二氯乙烷、1,2-二氯乙烷、1,1-二氯乙烯、顺1,2-二氯乙烯、反1,2-二氯乙烯、二氯甲烷、1,2-二氯丙烷、1,1,1,2-四氯丙烷、1,1,2,2-四氯丙烷、四氯乙烯、1,1,1-三氯乙烷、1,1,2-三氯乙烷、三氯乙烯、1,2,3-三氯丙烷、氯乙烯、苯、氯苯、1,2-二氯苯、1,4-二氯苯、乙苯、苯乙烯、甲苯、间二甲苯+对二甲苯、邻二甲苯；③半挥发性有机物：硝基苯、2-氯酚、苯并</w:t>
            </w:r>
            <w:r>
              <w:rPr>
                <w:rFonts w:hint="eastAsia" w:cs="Times New Roman"/>
                <w:color w:val="auto"/>
                <w:sz w:val="21"/>
                <w:lang w:eastAsia="zh-CN"/>
              </w:rPr>
              <w:t>｛</w:t>
            </w:r>
            <w:r>
              <w:rPr>
                <w:rFonts w:hint="default" w:ascii="Times New Roman" w:hAnsi="Times New Roman" w:eastAsia="宋体" w:cs="Times New Roman"/>
                <w:color w:val="auto"/>
                <w:sz w:val="21"/>
              </w:rPr>
              <w:t>a</w:t>
            </w:r>
            <w:r>
              <w:rPr>
                <w:rFonts w:hint="eastAsia" w:cs="Times New Roman"/>
                <w:color w:val="auto"/>
                <w:sz w:val="21"/>
                <w:lang w:eastAsia="zh-CN"/>
              </w:rPr>
              <w:t>｝</w:t>
            </w:r>
            <w:r>
              <w:rPr>
                <w:rFonts w:hint="default" w:ascii="Times New Roman" w:hAnsi="Times New Roman" w:eastAsia="宋体" w:cs="Times New Roman"/>
                <w:color w:val="auto"/>
                <w:sz w:val="21"/>
              </w:rPr>
              <w:t>蒽、苯并</w:t>
            </w:r>
            <w:r>
              <w:rPr>
                <w:rFonts w:hint="eastAsia" w:cs="Times New Roman"/>
                <w:color w:val="auto"/>
                <w:sz w:val="21"/>
                <w:lang w:eastAsia="zh-CN"/>
              </w:rPr>
              <w:t>｛</w:t>
            </w:r>
            <w:r>
              <w:rPr>
                <w:rFonts w:hint="default" w:ascii="Times New Roman" w:hAnsi="Times New Roman" w:eastAsia="宋体" w:cs="Times New Roman"/>
                <w:color w:val="auto"/>
                <w:sz w:val="21"/>
              </w:rPr>
              <w:t>a</w:t>
            </w:r>
            <w:r>
              <w:rPr>
                <w:rFonts w:hint="eastAsia" w:cs="Times New Roman"/>
                <w:color w:val="auto"/>
                <w:sz w:val="21"/>
                <w:lang w:eastAsia="zh-CN"/>
              </w:rPr>
              <w:t>｝</w:t>
            </w:r>
            <w:r>
              <w:rPr>
                <w:rFonts w:hint="default" w:ascii="Times New Roman" w:hAnsi="Times New Roman" w:eastAsia="宋体" w:cs="Times New Roman"/>
                <w:color w:val="auto"/>
                <w:sz w:val="21"/>
              </w:rPr>
              <w:t>芘、苯并</w:t>
            </w:r>
            <w:r>
              <w:rPr>
                <w:rFonts w:hint="eastAsia" w:cs="Times New Roman"/>
                <w:color w:val="auto"/>
                <w:sz w:val="21"/>
                <w:lang w:eastAsia="zh-CN"/>
              </w:rPr>
              <w:t>｛</w:t>
            </w:r>
            <w:r>
              <w:rPr>
                <w:rFonts w:hint="default" w:ascii="Times New Roman" w:hAnsi="Times New Roman" w:eastAsia="宋体" w:cs="Times New Roman"/>
                <w:color w:val="auto"/>
                <w:sz w:val="21"/>
              </w:rPr>
              <w:t>b</w:t>
            </w:r>
            <w:r>
              <w:rPr>
                <w:rFonts w:hint="eastAsia" w:cs="Times New Roman"/>
                <w:color w:val="auto"/>
                <w:sz w:val="21"/>
                <w:lang w:eastAsia="zh-CN"/>
              </w:rPr>
              <w:t>｝</w:t>
            </w:r>
            <w:r>
              <w:rPr>
                <w:rFonts w:hint="default" w:ascii="Times New Roman" w:hAnsi="Times New Roman" w:eastAsia="宋体" w:cs="Times New Roman"/>
                <w:color w:val="auto"/>
                <w:sz w:val="21"/>
              </w:rPr>
              <w:t>荧蒽、苯并</w:t>
            </w:r>
            <w:r>
              <w:rPr>
                <w:rFonts w:hint="eastAsia" w:cs="Times New Roman"/>
                <w:color w:val="auto"/>
                <w:sz w:val="21"/>
                <w:lang w:eastAsia="zh-CN"/>
              </w:rPr>
              <w:t>｛</w:t>
            </w:r>
            <w:r>
              <w:rPr>
                <w:rFonts w:hint="default" w:ascii="Times New Roman" w:hAnsi="Times New Roman" w:eastAsia="宋体" w:cs="Times New Roman"/>
                <w:color w:val="auto"/>
                <w:sz w:val="21"/>
              </w:rPr>
              <w:t>k</w:t>
            </w:r>
            <w:r>
              <w:rPr>
                <w:rFonts w:hint="eastAsia" w:cs="Times New Roman"/>
                <w:color w:val="auto"/>
                <w:sz w:val="21"/>
                <w:lang w:eastAsia="zh-CN"/>
              </w:rPr>
              <w:t>｝</w:t>
            </w:r>
            <w:r>
              <w:rPr>
                <w:rFonts w:hint="default" w:ascii="Times New Roman" w:hAnsi="Times New Roman" w:eastAsia="宋体" w:cs="Times New Roman"/>
                <w:color w:val="auto"/>
                <w:sz w:val="21"/>
              </w:rPr>
              <w:t>荧蒽、䓛、二苯并</w:t>
            </w:r>
            <w:r>
              <w:rPr>
                <w:rFonts w:hint="eastAsia" w:cs="Times New Roman"/>
                <w:color w:val="auto"/>
                <w:sz w:val="21"/>
                <w:lang w:eastAsia="zh-CN"/>
              </w:rPr>
              <w:t>｛</w:t>
            </w:r>
            <w:r>
              <w:rPr>
                <w:rFonts w:hint="default" w:ascii="Times New Roman" w:hAnsi="Times New Roman" w:eastAsia="宋体" w:cs="Times New Roman"/>
                <w:color w:val="auto"/>
                <w:sz w:val="21"/>
              </w:rPr>
              <w:t>a,h</w:t>
            </w:r>
            <w:r>
              <w:rPr>
                <w:rFonts w:hint="eastAsia" w:cs="Times New Roman"/>
                <w:color w:val="auto"/>
                <w:sz w:val="21"/>
                <w:lang w:eastAsia="zh-CN"/>
              </w:rPr>
              <w:t>｝</w:t>
            </w:r>
            <w:r>
              <w:rPr>
                <w:rFonts w:hint="default" w:ascii="Times New Roman" w:hAnsi="Times New Roman" w:eastAsia="宋体" w:cs="Times New Roman"/>
                <w:color w:val="auto"/>
                <w:sz w:val="21"/>
              </w:rPr>
              <w:t>蒽、茚并</w:t>
            </w:r>
            <w:r>
              <w:rPr>
                <w:rFonts w:hint="eastAsia" w:cs="Times New Roman"/>
                <w:color w:val="auto"/>
                <w:sz w:val="21"/>
                <w:lang w:eastAsia="zh-CN"/>
              </w:rPr>
              <w:t>｛</w:t>
            </w:r>
            <w:r>
              <w:rPr>
                <w:rFonts w:hint="default" w:ascii="Times New Roman" w:hAnsi="Times New Roman" w:eastAsia="宋体" w:cs="Times New Roman"/>
                <w:color w:val="auto"/>
                <w:sz w:val="21"/>
              </w:rPr>
              <w:t>1,2,3,-cd</w:t>
            </w:r>
            <w:r>
              <w:rPr>
                <w:rFonts w:hint="eastAsia" w:cs="Times New Roman"/>
                <w:color w:val="auto"/>
                <w:sz w:val="21"/>
                <w:lang w:eastAsia="zh-CN"/>
              </w:rPr>
              <w:t>｝</w:t>
            </w:r>
            <w:r>
              <w:rPr>
                <w:rFonts w:hint="default" w:ascii="Times New Roman" w:hAnsi="Times New Roman" w:eastAsia="宋体" w:cs="Times New Roman"/>
                <w:color w:val="auto"/>
                <w:sz w:val="21"/>
              </w:rPr>
              <w:t>芘、萘</w:t>
            </w:r>
          </w:p>
        </w:tc>
        <w:tc>
          <w:tcPr>
            <w:tcW w:w="2098" w:type="dxa"/>
            <w:noWrap w:val="0"/>
            <w:vAlign w:val="center"/>
          </w:tcPr>
          <w:p w14:paraId="061A3B38">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氟化物</w:t>
            </w:r>
          </w:p>
        </w:tc>
        <w:tc>
          <w:tcPr>
            <w:tcW w:w="1346" w:type="dxa"/>
            <w:noWrap w:val="0"/>
            <w:vAlign w:val="center"/>
          </w:tcPr>
          <w:p w14:paraId="132A327A">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w:t>
            </w:r>
          </w:p>
        </w:tc>
      </w:tr>
      <w:tr w14:paraId="2C4391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noWrap w:val="0"/>
            <w:vAlign w:val="center"/>
          </w:tcPr>
          <w:p w14:paraId="5C7735D8">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环境噪声</w:t>
            </w:r>
          </w:p>
        </w:tc>
        <w:tc>
          <w:tcPr>
            <w:tcW w:w="4666" w:type="dxa"/>
            <w:noWrap w:val="0"/>
            <w:vAlign w:val="center"/>
          </w:tcPr>
          <w:p w14:paraId="03A94B27">
            <w:pPr>
              <w:widowControl w:val="0"/>
              <w:bidi w:val="0"/>
              <w:spacing w:line="240" w:lineRule="auto"/>
              <w:ind w:firstLine="0" w:firstLineChars="0"/>
              <w:jc w:val="center"/>
              <w:rPr>
                <w:rFonts w:hint="default" w:ascii="Times New Roman" w:hAnsi="Times New Roman" w:eastAsia="宋体" w:cs="Times New Roman"/>
                <w:color w:val="auto"/>
                <w:sz w:val="21"/>
              </w:rPr>
            </w:pPr>
            <w:r>
              <w:rPr>
                <w:rFonts w:ascii="Times New Roman" w:hAnsi="Times New Roman" w:cs="Times New Roman"/>
                <w:sz w:val="21"/>
                <w:szCs w:val="21"/>
              </w:rPr>
              <w:t>等效连续A声级</w:t>
            </w:r>
          </w:p>
        </w:tc>
        <w:tc>
          <w:tcPr>
            <w:tcW w:w="2098" w:type="dxa"/>
            <w:noWrap w:val="0"/>
            <w:vAlign w:val="center"/>
          </w:tcPr>
          <w:p w14:paraId="225078DA">
            <w:pPr>
              <w:widowControl w:val="0"/>
              <w:bidi w:val="0"/>
              <w:spacing w:line="240" w:lineRule="auto"/>
              <w:ind w:firstLine="0" w:firstLineChars="0"/>
              <w:jc w:val="center"/>
              <w:rPr>
                <w:rFonts w:hint="default" w:ascii="Times New Roman" w:hAnsi="Times New Roman" w:eastAsia="宋体" w:cs="Times New Roman"/>
                <w:color w:val="auto"/>
                <w:sz w:val="21"/>
              </w:rPr>
            </w:pPr>
            <w:r>
              <w:rPr>
                <w:rFonts w:ascii="Times New Roman" w:hAnsi="Times New Roman" w:cs="Times New Roman"/>
                <w:sz w:val="21"/>
                <w:szCs w:val="21"/>
              </w:rPr>
              <w:t>等效连续A声级</w:t>
            </w:r>
          </w:p>
        </w:tc>
        <w:tc>
          <w:tcPr>
            <w:tcW w:w="1346" w:type="dxa"/>
            <w:noWrap w:val="0"/>
            <w:vAlign w:val="center"/>
          </w:tcPr>
          <w:p w14:paraId="51331BFA">
            <w:pPr>
              <w:widowControl w:val="0"/>
              <w:bidi w:val="0"/>
              <w:spacing w:line="240" w:lineRule="auto"/>
              <w:ind w:firstLine="0" w:firstLineChars="0"/>
              <w:jc w:val="center"/>
              <w:rPr>
                <w:rFonts w:hint="default" w:ascii="Times New Roman" w:hAnsi="Times New Roman" w:eastAsia="宋体" w:cs="Times New Roman"/>
                <w:color w:val="auto"/>
                <w:sz w:val="21"/>
              </w:rPr>
            </w:pPr>
            <w:r>
              <w:rPr>
                <w:rFonts w:hint="default" w:ascii="Times New Roman" w:hAnsi="Times New Roman" w:eastAsia="宋体" w:cs="Times New Roman"/>
                <w:color w:val="auto"/>
                <w:sz w:val="21"/>
              </w:rPr>
              <w:t>/</w:t>
            </w:r>
          </w:p>
        </w:tc>
      </w:tr>
      <w:tr w14:paraId="65ED2B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vMerge w:val="restart"/>
            <w:shd w:val="clear" w:color="auto" w:fill="auto"/>
            <w:noWrap w:val="0"/>
            <w:vAlign w:val="center"/>
          </w:tcPr>
          <w:p w14:paraId="6D333F87">
            <w:pPr>
              <w:widowControl w:val="0"/>
              <w:jc w:val="center"/>
              <w:rPr>
                <w:rFonts w:hint="default" w:ascii="Times New Roman" w:hAnsi="Times New Roman" w:eastAsia="宋体" w:cs="Times New Roman"/>
                <w:sz w:val="21"/>
                <w:szCs w:val="21"/>
                <w:lang w:val="en-US" w:eastAsia="zh-CN" w:bidi="ar-SA"/>
              </w:rPr>
            </w:pPr>
            <w:bookmarkStart w:id="57" w:name="_Toc16242"/>
            <w:bookmarkStart w:id="58" w:name="_Toc29677"/>
            <w:bookmarkStart w:id="59" w:name="_Toc29902"/>
            <w:r>
              <w:rPr>
                <w:rFonts w:hint="eastAsia" w:ascii="Times New Roman" w:hAnsi="Times New Roman" w:cs="Times New Roman"/>
                <w:sz w:val="21"/>
                <w:szCs w:val="21"/>
              </w:rPr>
              <w:t>环境风险</w:t>
            </w:r>
          </w:p>
        </w:tc>
        <w:tc>
          <w:tcPr>
            <w:tcW w:w="4666" w:type="dxa"/>
            <w:vMerge w:val="restart"/>
            <w:shd w:val="clear" w:color="auto" w:fill="auto"/>
            <w:noWrap w:val="0"/>
            <w:vAlign w:val="center"/>
          </w:tcPr>
          <w:p w14:paraId="3D38FF19">
            <w:pPr>
              <w:widowControl w:val="0"/>
              <w:jc w:val="center"/>
              <w:rPr>
                <w:rFonts w:ascii="Times New Roman" w:hAnsi="Times New Roman" w:eastAsia="宋体" w:cs="Times New Roman"/>
                <w:color w:val="FF0000"/>
                <w:sz w:val="21"/>
                <w:szCs w:val="21"/>
                <w:lang w:val="en-US" w:eastAsia="zh-CN" w:bidi="ar-SA"/>
              </w:rPr>
            </w:pPr>
            <w:r>
              <w:rPr>
                <w:rFonts w:ascii="Times New Roman" w:hAnsi="Times New Roman" w:cs="Times New Roman"/>
                <w:color w:val="auto"/>
                <w:sz w:val="21"/>
                <w:szCs w:val="21"/>
              </w:rPr>
              <w:t>/</w:t>
            </w:r>
          </w:p>
        </w:tc>
        <w:tc>
          <w:tcPr>
            <w:tcW w:w="2098" w:type="dxa"/>
            <w:shd w:val="clear" w:color="auto" w:fill="auto"/>
            <w:noWrap w:val="0"/>
            <w:vAlign w:val="center"/>
          </w:tcPr>
          <w:p w14:paraId="536711CA">
            <w:pPr>
              <w:widowControl w:val="0"/>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rPr>
              <w:t>CO</w:t>
            </w:r>
            <w:r>
              <w:rPr>
                <w:rFonts w:hint="eastAsia" w:ascii="Times New Roman" w:hAnsi="Times New Roman" w:cs="Times New Roman"/>
                <w:color w:val="auto"/>
                <w:sz w:val="21"/>
                <w:szCs w:val="21"/>
                <w:lang w:eastAsia="zh-CN"/>
              </w:rPr>
              <w:t>、</w:t>
            </w:r>
            <w:r>
              <w:rPr>
                <w:rFonts w:hint="eastAsia" w:ascii="Times New Roman" w:hAnsi="Times New Roman" w:cs="Times New Roman"/>
                <w:color w:val="auto"/>
                <w:sz w:val="21"/>
                <w:szCs w:val="21"/>
                <w:lang w:val="en-US" w:eastAsia="zh-CN"/>
              </w:rPr>
              <w:t>TMA（大气）</w:t>
            </w:r>
          </w:p>
        </w:tc>
        <w:tc>
          <w:tcPr>
            <w:tcW w:w="1346" w:type="dxa"/>
            <w:shd w:val="clear" w:color="auto" w:fill="auto"/>
            <w:noWrap w:val="0"/>
            <w:vAlign w:val="center"/>
          </w:tcPr>
          <w:p w14:paraId="77215F24">
            <w:pPr>
              <w:widowControl w:val="0"/>
              <w:jc w:val="center"/>
              <w:rPr>
                <w:rFonts w:hint="default" w:ascii="Times New Roman" w:hAnsi="Times New Roman" w:eastAsia="宋体" w:cs="Times New Roman"/>
                <w:sz w:val="21"/>
                <w:szCs w:val="21"/>
                <w:lang w:val="en-US" w:eastAsia="zh-CN" w:bidi="ar-SA"/>
              </w:rPr>
            </w:pPr>
            <w:r>
              <w:rPr>
                <w:rFonts w:ascii="Times New Roman" w:hAnsi="Times New Roman" w:cs="Times New Roman"/>
                <w:sz w:val="21"/>
                <w:szCs w:val="21"/>
              </w:rPr>
              <w:t>/</w:t>
            </w:r>
          </w:p>
        </w:tc>
      </w:tr>
      <w:tr w14:paraId="0E8F1B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vMerge w:val="continue"/>
          </w:tcPr>
          <w:p w14:paraId="4D4745BD">
            <w:pPr>
              <w:widowControl w:val="0"/>
              <w:bidi w:val="0"/>
              <w:spacing w:line="240" w:lineRule="auto"/>
              <w:ind w:firstLine="0" w:firstLineChars="0"/>
              <w:jc w:val="center"/>
              <w:rPr>
                <w:rFonts w:hint="default" w:ascii="Times New Roman" w:hAnsi="Times New Roman" w:eastAsia="宋体" w:cs="Times New Roman"/>
                <w:color w:val="auto"/>
                <w:sz w:val="21"/>
              </w:rPr>
            </w:pPr>
          </w:p>
        </w:tc>
        <w:tc>
          <w:tcPr>
            <w:tcW w:w="4666" w:type="dxa"/>
            <w:vMerge w:val="continue"/>
          </w:tcPr>
          <w:p w14:paraId="05FA1359">
            <w:pPr>
              <w:widowControl w:val="0"/>
              <w:bidi w:val="0"/>
              <w:spacing w:line="240" w:lineRule="auto"/>
              <w:ind w:firstLine="0" w:firstLineChars="0"/>
              <w:jc w:val="center"/>
              <w:rPr>
                <w:rFonts w:ascii="Times New Roman" w:hAnsi="Times New Roman" w:cs="Times New Roman"/>
                <w:sz w:val="21"/>
                <w:szCs w:val="21"/>
              </w:rPr>
            </w:pPr>
          </w:p>
        </w:tc>
        <w:tc>
          <w:tcPr>
            <w:tcW w:w="0" w:type="auto"/>
            <w:shd w:val="clear" w:color="auto" w:fill="auto"/>
            <w:vAlign w:val="center"/>
          </w:tcPr>
          <w:p w14:paraId="5DAED703">
            <w:pPr>
              <w:widowControl w:val="0"/>
              <w:jc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rPr>
              <w:t>氟化物（地表水）</w:t>
            </w:r>
          </w:p>
        </w:tc>
        <w:tc>
          <w:tcPr>
            <w:tcW w:w="0" w:type="auto"/>
            <w:shd w:val="clear" w:color="auto" w:fill="auto"/>
            <w:vAlign w:val="center"/>
          </w:tcPr>
          <w:p w14:paraId="213E2592">
            <w:pPr>
              <w:widowControl w:val="0"/>
              <w:jc w:val="center"/>
              <w:rPr>
                <w:rFonts w:hint="default" w:ascii="Times New Roman" w:hAnsi="Times New Roman" w:eastAsia="宋体" w:cs="Times New Roman"/>
                <w:sz w:val="21"/>
                <w:szCs w:val="21"/>
                <w:lang w:val="en-US" w:eastAsia="zh-CN" w:bidi="ar-SA"/>
              </w:rPr>
            </w:pPr>
            <w:r>
              <w:rPr>
                <w:rFonts w:ascii="Times New Roman" w:hAnsi="Times New Roman" w:cs="Times New Roman"/>
                <w:sz w:val="21"/>
                <w:szCs w:val="21"/>
              </w:rPr>
              <w:t>/</w:t>
            </w:r>
          </w:p>
        </w:tc>
      </w:tr>
      <w:tr w14:paraId="55F0D4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344" w:type="dxa"/>
            <w:vMerge w:val="continue"/>
          </w:tcPr>
          <w:p w14:paraId="69105501">
            <w:pPr>
              <w:widowControl w:val="0"/>
              <w:bidi w:val="0"/>
              <w:spacing w:line="240" w:lineRule="auto"/>
              <w:ind w:firstLine="0" w:firstLineChars="0"/>
              <w:jc w:val="center"/>
              <w:rPr>
                <w:rFonts w:hint="default" w:ascii="Times New Roman" w:hAnsi="Times New Roman" w:eastAsia="宋体" w:cs="Times New Roman"/>
                <w:color w:val="auto"/>
                <w:sz w:val="21"/>
              </w:rPr>
            </w:pPr>
          </w:p>
        </w:tc>
        <w:tc>
          <w:tcPr>
            <w:tcW w:w="4666" w:type="dxa"/>
            <w:vMerge w:val="continue"/>
          </w:tcPr>
          <w:p w14:paraId="20627518">
            <w:pPr>
              <w:widowControl w:val="0"/>
              <w:bidi w:val="0"/>
              <w:spacing w:line="240" w:lineRule="auto"/>
              <w:ind w:firstLine="0" w:firstLineChars="0"/>
              <w:jc w:val="center"/>
              <w:rPr>
                <w:rFonts w:ascii="Times New Roman" w:hAnsi="Times New Roman" w:cs="Times New Roman"/>
                <w:sz w:val="21"/>
                <w:szCs w:val="21"/>
              </w:rPr>
            </w:pPr>
          </w:p>
        </w:tc>
        <w:tc>
          <w:tcPr>
            <w:tcW w:w="0" w:type="auto"/>
            <w:shd w:val="clear" w:color="auto" w:fill="auto"/>
            <w:vAlign w:val="center"/>
          </w:tcPr>
          <w:p w14:paraId="007015D5">
            <w:pPr>
              <w:widowControl w:val="0"/>
              <w:jc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rPr>
              <w:t>氟化物（地下水）</w:t>
            </w:r>
          </w:p>
        </w:tc>
        <w:tc>
          <w:tcPr>
            <w:tcW w:w="0" w:type="auto"/>
            <w:shd w:val="clear" w:color="auto" w:fill="auto"/>
            <w:vAlign w:val="center"/>
          </w:tcPr>
          <w:p w14:paraId="527230F3">
            <w:pPr>
              <w:widowControl w:val="0"/>
              <w:jc w:val="center"/>
              <w:rPr>
                <w:rFonts w:hint="default" w:ascii="Times New Roman" w:hAnsi="Times New Roman" w:eastAsia="宋体" w:cs="Times New Roman"/>
                <w:sz w:val="21"/>
                <w:szCs w:val="21"/>
                <w:lang w:val="en-US" w:eastAsia="zh-CN" w:bidi="ar-SA"/>
              </w:rPr>
            </w:pPr>
            <w:r>
              <w:rPr>
                <w:rFonts w:ascii="Times New Roman" w:hAnsi="Times New Roman" w:cs="Times New Roman"/>
                <w:sz w:val="21"/>
                <w:szCs w:val="21"/>
              </w:rPr>
              <w:t>/</w:t>
            </w:r>
          </w:p>
        </w:tc>
      </w:tr>
    </w:tbl>
    <w:p w14:paraId="5037E03F">
      <w:pPr>
        <w:pStyle w:val="2"/>
        <w:bidi w:val="0"/>
        <w:rPr>
          <w:rFonts w:hint="eastAsia"/>
          <w:lang w:val="en-US" w:eastAsia="en-US"/>
        </w:rPr>
      </w:pPr>
      <w:bookmarkStart w:id="60" w:name="_Toc29170"/>
      <w:r>
        <w:rPr>
          <w:rFonts w:hint="eastAsia"/>
          <w:lang w:val="en-US" w:eastAsia="en-US"/>
        </w:rPr>
        <w:t>2.3</w:t>
      </w:r>
      <w:r>
        <w:rPr>
          <w:rFonts w:hint="eastAsia"/>
          <w:lang w:val="en-US" w:eastAsia="zh-CN"/>
        </w:rPr>
        <w:t xml:space="preserve"> </w:t>
      </w:r>
      <w:r>
        <w:rPr>
          <w:rFonts w:hint="eastAsia"/>
          <w:lang w:val="en-US" w:eastAsia="en-US"/>
        </w:rPr>
        <w:t>评价标准</w:t>
      </w:r>
      <w:bookmarkEnd w:id="57"/>
      <w:bookmarkEnd w:id="58"/>
      <w:bookmarkEnd w:id="59"/>
      <w:bookmarkEnd w:id="60"/>
    </w:p>
    <w:p w14:paraId="7D9249C7">
      <w:pPr>
        <w:bidi w:val="0"/>
        <w:rPr>
          <w:rFonts w:hint="eastAsia"/>
          <w:b/>
          <w:bCs/>
          <w:lang w:val="en-US" w:eastAsia="en-US"/>
        </w:rPr>
      </w:pPr>
      <w:bookmarkStart w:id="61" w:name="_Toc8097"/>
      <w:bookmarkStart w:id="62" w:name="_Toc21280"/>
      <w:bookmarkStart w:id="63" w:name="_Toc17916"/>
      <w:r>
        <w:rPr>
          <w:rFonts w:hint="eastAsia"/>
          <w:b/>
          <w:bCs/>
          <w:lang w:val="en-US" w:eastAsia="en-US"/>
        </w:rPr>
        <w:t>2.3.1</w:t>
      </w:r>
      <w:r>
        <w:rPr>
          <w:rFonts w:hint="eastAsia"/>
          <w:b/>
          <w:bCs/>
          <w:lang w:val="en-US" w:eastAsia="zh-CN"/>
        </w:rPr>
        <w:t xml:space="preserve"> </w:t>
      </w:r>
      <w:r>
        <w:rPr>
          <w:rFonts w:hint="eastAsia"/>
          <w:b/>
          <w:bCs/>
          <w:lang w:val="en-US" w:eastAsia="en-US"/>
        </w:rPr>
        <w:t>环境质量标准</w:t>
      </w:r>
      <w:bookmarkEnd w:id="61"/>
      <w:bookmarkEnd w:id="62"/>
      <w:bookmarkEnd w:id="63"/>
    </w:p>
    <w:p w14:paraId="2A280A5B">
      <w:pPr>
        <w:bidi w:val="0"/>
        <w:ind w:firstLine="480" w:firstLineChars="200"/>
        <w:rPr>
          <w:color w:val="auto"/>
        </w:rPr>
      </w:pPr>
      <w:r>
        <w:rPr>
          <w:color w:val="auto"/>
        </w:rPr>
        <w:t>（1）环境空气</w:t>
      </w:r>
    </w:p>
    <w:p w14:paraId="46652108">
      <w:pPr>
        <w:bidi w:val="0"/>
      </w:pPr>
    </w:p>
    <w:p w14:paraId="75935C66">
      <w:pPr>
        <w:bidi w:val="0"/>
        <w:ind w:firstLine="480" w:firstLineChars="200"/>
        <w:rPr>
          <w:color w:val="auto"/>
        </w:rPr>
      </w:pPr>
      <w:r>
        <w:rPr>
          <w:rFonts w:ascii="Times New Roman" w:hAnsi="Times New Roman" w:cs="Times New Roman"/>
        </w:rPr>
        <w:t>项目区域大气环境SO</w:t>
      </w:r>
      <w:r>
        <w:rPr>
          <w:rFonts w:ascii="Times New Roman" w:hAnsi="Times New Roman" w:cs="Times New Roman"/>
          <w:vertAlign w:val="subscript"/>
        </w:rPr>
        <w:t>2</w:t>
      </w:r>
      <w:r>
        <w:rPr>
          <w:rFonts w:ascii="Times New Roman" w:hAnsi="Times New Roman" w:cs="Times New Roman"/>
        </w:rPr>
        <w:t>、NO</w:t>
      </w:r>
      <w:r>
        <w:rPr>
          <w:rFonts w:ascii="Times New Roman" w:hAnsi="Times New Roman" w:cs="Times New Roman"/>
          <w:vertAlign w:val="subscript"/>
        </w:rPr>
        <w:t>2</w:t>
      </w:r>
      <w:r>
        <w:rPr>
          <w:rFonts w:ascii="Times New Roman" w:hAnsi="Times New Roman" w:cs="Times New Roman"/>
        </w:rPr>
        <w:t>、TSP、PM</w:t>
      </w:r>
      <w:r>
        <w:rPr>
          <w:rFonts w:ascii="Times New Roman" w:hAnsi="Times New Roman" w:cs="Times New Roman"/>
          <w:vertAlign w:val="subscript"/>
        </w:rPr>
        <w:t>10</w:t>
      </w:r>
      <w:r>
        <w:rPr>
          <w:rFonts w:ascii="Times New Roman" w:hAnsi="Times New Roman" w:cs="Times New Roman"/>
        </w:rPr>
        <w:t>、PM</w:t>
      </w:r>
      <w:r>
        <w:rPr>
          <w:rFonts w:ascii="Times New Roman" w:hAnsi="Times New Roman" w:cs="Times New Roman"/>
          <w:vertAlign w:val="subscript"/>
        </w:rPr>
        <w:t>2.5</w:t>
      </w:r>
      <w:r>
        <w:rPr>
          <w:rFonts w:ascii="Times New Roman" w:hAnsi="Times New Roman" w:cs="Times New Roman"/>
        </w:rPr>
        <w:t>、CO、O</w:t>
      </w:r>
      <w:r>
        <w:rPr>
          <w:rFonts w:ascii="Times New Roman" w:hAnsi="Times New Roman" w:cs="Times New Roman"/>
          <w:vertAlign w:val="subscript"/>
        </w:rPr>
        <w:t>3</w:t>
      </w:r>
      <w:r>
        <w:rPr>
          <w:rFonts w:hint="eastAsia" w:ascii="Times New Roman" w:hAnsi="Times New Roman" w:cs="Times New Roman"/>
          <w:vertAlign w:val="baseline"/>
          <w:lang w:eastAsia="zh-CN"/>
        </w:rPr>
        <w:t>、</w:t>
      </w:r>
      <w:r>
        <w:rPr>
          <w:rFonts w:hint="eastAsia" w:ascii="Times New Roman" w:hAnsi="Times New Roman" w:cs="Times New Roman"/>
          <w:vertAlign w:val="baseline"/>
          <w:lang w:val="en-US" w:eastAsia="zh-CN"/>
        </w:rPr>
        <w:t>NO</w:t>
      </w:r>
      <w:r>
        <w:rPr>
          <w:rFonts w:hint="eastAsia" w:ascii="Times New Roman" w:hAnsi="Times New Roman" w:cs="Times New Roman"/>
          <w:vertAlign w:val="subscript"/>
          <w:lang w:val="en-US" w:eastAsia="zh-CN"/>
        </w:rPr>
        <w:t>X</w:t>
      </w:r>
      <w:r>
        <w:rPr>
          <w:rFonts w:ascii="Times New Roman" w:hAnsi="Times New Roman" w:cs="Times New Roman"/>
        </w:rPr>
        <w:t>执行《环境空气质量标准》（GB</w:t>
      </w:r>
      <w:r>
        <w:rPr>
          <w:rFonts w:hint="eastAsia" w:ascii="Times New Roman" w:hAnsi="Times New Roman" w:cs="Times New Roman"/>
          <w:lang w:eastAsia="zh-CN"/>
        </w:rPr>
        <w:t>3095-2026</w:t>
      </w:r>
      <w:r>
        <w:rPr>
          <w:rFonts w:ascii="Times New Roman" w:hAnsi="Times New Roman" w:cs="Times New Roman"/>
        </w:rPr>
        <w:t>）中二级标准</w:t>
      </w:r>
      <w:r>
        <w:rPr>
          <w:rFonts w:hint="eastAsia" w:ascii="Times New Roman" w:hAnsi="Times New Roman" w:cs="Times New Roman"/>
        </w:rPr>
        <w:t>，</w:t>
      </w:r>
      <w:r>
        <w:rPr>
          <w:rFonts w:ascii="Times New Roman" w:hAnsi="Times New Roman" w:cs="Times New Roman"/>
        </w:rPr>
        <w:t>非甲烷总烃</w:t>
      </w:r>
      <w:r>
        <w:rPr>
          <w:rFonts w:hint="eastAsia" w:ascii="Times New Roman" w:hAnsi="Times New Roman" w:cs="Times New Roman"/>
        </w:rPr>
        <w:t>执行</w:t>
      </w:r>
      <w:r>
        <w:rPr>
          <w:rFonts w:ascii="Times New Roman" w:hAnsi="Times New Roman" w:cs="Times New Roman"/>
        </w:rPr>
        <w:t>《大气污染物综合排放标准详解》</w:t>
      </w:r>
      <w:r>
        <w:rPr>
          <w:rFonts w:hint="eastAsia" w:ascii="Times New Roman" w:hAnsi="Times New Roman" w:cs="Times New Roman"/>
        </w:rPr>
        <w:t>中小时值</w:t>
      </w:r>
      <w:r>
        <w:rPr>
          <w:rFonts w:ascii="Times New Roman" w:hAnsi="Times New Roman" w:cs="Times New Roman"/>
        </w:rPr>
        <w:t>2mg/m</w:t>
      </w:r>
      <w:r>
        <w:rPr>
          <w:rFonts w:hint="eastAsia" w:ascii="Times New Roman" w:hAnsi="Times New Roman" w:cs="Times New Roman"/>
          <w:vertAlign w:val="superscript"/>
        </w:rPr>
        <w:t>3</w:t>
      </w:r>
      <w:r>
        <w:rPr>
          <w:rFonts w:ascii="Times New Roman" w:hAnsi="Times New Roman" w:cs="Times New Roman"/>
        </w:rPr>
        <w:t>的限值</w:t>
      </w:r>
      <w:r>
        <w:rPr>
          <w:rFonts w:hint="eastAsia" w:ascii="Times New Roman" w:hAnsi="Times New Roman" w:cs="Times New Roman"/>
        </w:rPr>
        <w:t>要求</w:t>
      </w:r>
      <w:r>
        <w:rPr>
          <w:color w:val="auto"/>
        </w:rPr>
        <w:t>。其标准值详见</w:t>
      </w:r>
      <w:r>
        <w:rPr>
          <w:rFonts w:hint="eastAsia"/>
          <w:color w:val="auto"/>
          <w:lang w:val="en-US" w:eastAsia="zh-CN"/>
        </w:rPr>
        <w:t>下表</w:t>
      </w:r>
      <w:r>
        <w:rPr>
          <w:color w:val="auto"/>
        </w:rPr>
        <w:t>。</w:t>
      </w:r>
    </w:p>
    <w:p w14:paraId="79AAB241">
      <w:pPr>
        <w:bidi w:val="0"/>
        <w:jc w:val="center"/>
        <w:rPr>
          <w:b/>
          <w:bCs/>
        </w:rPr>
      </w:pPr>
      <w:r>
        <w:rPr>
          <w:b/>
          <w:bCs/>
        </w:rPr>
        <w:t>表2.3-1</w:t>
      </w:r>
      <w:r>
        <w:rPr>
          <w:rFonts w:hint="eastAsia"/>
          <w:b/>
          <w:bCs/>
          <w:lang w:val="en-US" w:eastAsia="zh-CN"/>
        </w:rPr>
        <w:t xml:space="preserve"> </w:t>
      </w:r>
      <w:r>
        <w:rPr>
          <w:b/>
          <w:bCs/>
        </w:rPr>
        <w:t>环境空气中各项污染物浓度限值</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
        <w:gridCol w:w="1131"/>
        <w:gridCol w:w="1394"/>
        <w:gridCol w:w="2048"/>
        <w:gridCol w:w="1939"/>
        <w:gridCol w:w="2603"/>
      </w:tblGrid>
      <w:tr w14:paraId="395D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jc w:val="center"/>
        </w:trPr>
        <w:tc>
          <w:tcPr>
            <w:tcW w:w="238" w:type="pct"/>
            <w:vAlign w:val="center"/>
          </w:tcPr>
          <w:p w14:paraId="09C29776">
            <w:pPr>
              <w:bidi w:val="0"/>
              <w:spacing w:line="240" w:lineRule="auto"/>
              <w:jc w:val="center"/>
              <w:rPr>
                <w:b/>
                <w:bCs/>
                <w:sz w:val="21"/>
                <w:szCs w:val="21"/>
              </w:rPr>
            </w:pPr>
            <w:r>
              <w:rPr>
                <w:b/>
                <w:bCs/>
                <w:sz w:val="21"/>
                <w:szCs w:val="21"/>
              </w:rPr>
              <w:t>序号</w:t>
            </w:r>
          </w:p>
        </w:tc>
        <w:tc>
          <w:tcPr>
            <w:tcW w:w="591" w:type="pct"/>
            <w:vAlign w:val="center"/>
          </w:tcPr>
          <w:p w14:paraId="4516DF0F">
            <w:pPr>
              <w:bidi w:val="0"/>
              <w:spacing w:line="240" w:lineRule="auto"/>
              <w:jc w:val="center"/>
              <w:rPr>
                <w:b/>
                <w:bCs/>
                <w:sz w:val="21"/>
                <w:szCs w:val="21"/>
              </w:rPr>
            </w:pPr>
            <w:r>
              <w:rPr>
                <w:b/>
                <w:bCs/>
                <w:sz w:val="21"/>
                <w:szCs w:val="21"/>
              </w:rPr>
              <w:t>污染物</w:t>
            </w:r>
          </w:p>
        </w:tc>
        <w:tc>
          <w:tcPr>
            <w:tcW w:w="728" w:type="pct"/>
            <w:vAlign w:val="center"/>
          </w:tcPr>
          <w:p w14:paraId="55EA4B48">
            <w:pPr>
              <w:bidi w:val="0"/>
              <w:spacing w:line="240" w:lineRule="auto"/>
              <w:jc w:val="center"/>
              <w:rPr>
                <w:b/>
                <w:bCs/>
                <w:sz w:val="21"/>
                <w:szCs w:val="21"/>
              </w:rPr>
            </w:pPr>
            <w:r>
              <w:rPr>
                <w:rFonts w:hint="eastAsia"/>
                <w:b/>
                <w:bCs/>
                <w:sz w:val="21"/>
                <w:szCs w:val="21"/>
              </w:rPr>
              <w:t>平均</w:t>
            </w:r>
            <w:r>
              <w:rPr>
                <w:b/>
                <w:bCs/>
                <w:sz w:val="21"/>
                <w:szCs w:val="21"/>
              </w:rPr>
              <w:t>时间</w:t>
            </w:r>
          </w:p>
        </w:tc>
        <w:tc>
          <w:tcPr>
            <w:tcW w:w="1070" w:type="pct"/>
            <w:vAlign w:val="center"/>
          </w:tcPr>
          <w:p w14:paraId="2EA208DA">
            <w:pPr>
              <w:bidi w:val="0"/>
              <w:spacing w:line="240" w:lineRule="auto"/>
              <w:jc w:val="center"/>
              <w:rPr>
                <w:b/>
                <w:bCs/>
                <w:sz w:val="21"/>
                <w:szCs w:val="21"/>
              </w:rPr>
            </w:pPr>
            <w:r>
              <w:rPr>
                <w:rFonts w:hint="eastAsia"/>
                <w:b/>
                <w:bCs/>
                <w:sz w:val="21"/>
                <w:szCs w:val="21"/>
                <w:lang w:val="en-US" w:eastAsia="zh-CN"/>
              </w:rPr>
              <w:t>过渡阶段浓度限值</w:t>
            </w:r>
          </w:p>
        </w:tc>
        <w:tc>
          <w:tcPr>
            <w:tcW w:w="1012" w:type="pct"/>
            <w:vAlign w:val="center"/>
          </w:tcPr>
          <w:p w14:paraId="40670EE2">
            <w:pPr>
              <w:bidi w:val="0"/>
              <w:spacing w:line="240" w:lineRule="auto"/>
              <w:jc w:val="center"/>
              <w:rPr>
                <w:rFonts w:hint="default"/>
                <w:b/>
                <w:bCs/>
                <w:sz w:val="21"/>
                <w:szCs w:val="21"/>
                <w:lang w:val="en-US" w:eastAsia="zh-CN"/>
              </w:rPr>
            </w:pPr>
            <w:r>
              <w:rPr>
                <w:rFonts w:hint="eastAsia"/>
                <w:b/>
                <w:bCs/>
                <w:sz w:val="21"/>
                <w:szCs w:val="21"/>
                <w:lang w:val="en-US" w:eastAsia="zh-CN"/>
              </w:rPr>
              <w:t>浓度限值</w:t>
            </w:r>
          </w:p>
        </w:tc>
        <w:tc>
          <w:tcPr>
            <w:tcW w:w="1357" w:type="pct"/>
            <w:vAlign w:val="center"/>
          </w:tcPr>
          <w:p w14:paraId="0996AD5F">
            <w:pPr>
              <w:bidi w:val="0"/>
              <w:spacing w:line="240" w:lineRule="auto"/>
              <w:jc w:val="center"/>
              <w:rPr>
                <w:b/>
                <w:bCs/>
                <w:sz w:val="21"/>
                <w:szCs w:val="21"/>
              </w:rPr>
            </w:pPr>
            <w:r>
              <w:rPr>
                <w:b/>
                <w:bCs/>
                <w:sz w:val="21"/>
                <w:szCs w:val="21"/>
              </w:rPr>
              <w:t>标准来源</w:t>
            </w:r>
          </w:p>
        </w:tc>
      </w:tr>
      <w:tr w14:paraId="2B3FA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080380E9">
            <w:pPr>
              <w:bidi w:val="0"/>
              <w:spacing w:line="240" w:lineRule="auto"/>
              <w:jc w:val="center"/>
              <w:rPr>
                <w:sz w:val="21"/>
                <w:szCs w:val="21"/>
              </w:rPr>
            </w:pPr>
            <w:r>
              <w:rPr>
                <w:sz w:val="21"/>
                <w:szCs w:val="21"/>
              </w:rPr>
              <w:t>1</w:t>
            </w:r>
          </w:p>
        </w:tc>
        <w:tc>
          <w:tcPr>
            <w:tcW w:w="591" w:type="pct"/>
            <w:vMerge w:val="restart"/>
            <w:vAlign w:val="center"/>
          </w:tcPr>
          <w:p w14:paraId="61651692">
            <w:pPr>
              <w:bidi w:val="0"/>
              <w:spacing w:line="240" w:lineRule="auto"/>
              <w:jc w:val="center"/>
              <w:rPr>
                <w:sz w:val="21"/>
                <w:szCs w:val="21"/>
              </w:rPr>
            </w:pPr>
            <w:r>
              <w:rPr>
                <w:sz w:val="21"/>
                <w:szCs w:val="21"/>
              </w:rPr>
              <w:t>SO</w:t>
            </w:r>
            <w:r>
              <w:rPr>
                <w:sz w:val="21"/>
                <w:szCs w:val="21"/>
                <w:vertAlign w:val="subscript"/>
              </w:rPr>
              <w:t>2</w:t>
            </w:r>
          </w:p>
        </w:tc>
        <w:tc>
          <w:tcPr>
            <w:tcW w:w="728" w:type="pct"/>
            <w:vAlign w:val="center"/>
          </w:tcPr>
          <w:p w14:paraId="3E86ADEC">
            <w:pPr>
              <w:bidi w:val="0"/>
              <w:spacing w:line="240" w:lineRule="auto"/>
              <w:jc w:val="center"/>
              <w:rPr>
                <w:sz w:val="21"/>
                <w:szCs w:val="21"/>
              </w:rPr>
            </w:pPr>
            <w:r>
              <w:rPr>
                <w:rFonts w:hint="eastAsia"/>
                <w:sz w:val="21"/>
                <w:szCs w:val="21"/>
                <w:lang w:val="en-US" w:eastAsia="zh-CN"/>
              </w:rPr>
              <w:t>1</w:t>
            </w:r>
            <w:r>
              <w:rPr>
                <w:sz w:val="21"/>
                <w:szCs w:val="21"/>
              </w:rPr>
              <w:t>小时</w:t>
            </w:r>
            <w:r>
              <w:rPr>
                <w:rFonts w:hint="eastAsia"/>
                <w:sz w:val="21"/>
                <w:szCs w:val="21"/>
                <w:lang w:val="en-US" w:eastAsia="zh-CN"/>
              </w:rPr>
              <w:t>平均</w:t>
            </w:r>
          </w:p>
        </w:tc>
        <w:tc>
          <w:tcPr>
            <w:tcW w:w="1070" w:type="pct"/>
            <w:vAlign w:val="center"/>
          </w:tcPr>
          <w:p w14:paraId="320A549D">
            <w:pPr>
              <w:bidi w:val="0"/>
              <w:spacing w:line="240" w:lineRule="auto"/>
              <w:jc w:val="center"/>
              <w:rPr>
                <w:sz w:val="21"/>
                <w:szCs w:val="21"/>
              </w:rPr>
            </w:pPr>
            <w:r>
              <w:rPr>
                <w:sz w:val="21"/>
                <w:szCs w:val="21"/>
              </w:rPr>
              <w:t>500</w:t>
            </w:r>
          </w:p>
        </w:tc>
        <w:tc>
          <w:tcPr>
            <w:tcW w:w="1012" w:type="pct"/>
            <w:vAlign w:val="center"/>
          </w:tcPr>
          <w:p w14:paraId="7C4A41BC">
            <w:pPr>
              <w:bidi w:val="0"/>
              <w:spacing w:line="240" w:lineRule="auto"/>
              <w:jc w:val="center"/>
              <w:rPr>
                <w:rFonts w:hint="default"/>
                <w:sz w:val="21"/>
                <w:szCs w:val="21"/>
                <w:lang w:val="en-US" w:eastAsia="zh-CN"/>
              </w:rPr>
            </w:pPr>
            <w:r>
              <w:rPr>
                <w:rFonts w:hint="eastAsia"/>
                <w:sz w:val="21"/>
                <w:szCs w:val="21"/>
                <w:lang w:val="en-US" w:eastAsia="zh-CN"/>
              </w:rPr>
              <w:t>150</w:t>
            </w:r>
          </w:p>
        </w:tc>
        <w:tc>
          <w:tcPr>
            <w:tcW w:w="1357" w:type="pct"/>
            <w:vMerge w:val="restart"/>
            <w:vAlign w:val="center"/>
          </w:tcPr>
          <w:p w14:paraId="28E58D38">
            <w:pPr>
              <w:bidi w:val="0"/>
              <w:spacing w:line="240" w:lineRule="auto"/>
              <w:jc w:val="center"/>
              <w:rPr>
                <w:rFonts w:hint="default"/>
                <w:sz w:val="21"/>
                <w:szCs w:val="21"/>
                <w:lang w:val="en-US" w:eastAsia="zh-CN"/>
              </w:rPr>
            </w:pPr>
            <w:r>
              <w:rPr>
                <w:sz w:val="21"/>
                <w:szCs w:val="21"/>
              </w:rPr>
              <w:t>《环境空气质量标准》（GB</w:t>
            </w:r>
            <w:r>
              <w:rPr>
                <w:rFonts w:hint="eastAsia"/>
                <w:sz w:val="21"/>
                <w:szCs w:val="21"/>
                <w:lang w:eastAsia="zh-CN"/>
              </w:rPr>
              <w:t>3095-2026</w:t>
            </w:r>
            <w:r>
              <w:rPr>
                <w:sz w:val="21"/>
                <w:szCs w:val="21"/>
              </w:rPr>
              <w:t>）</w:t>
            </w:r>
            <w:r>
              <w:rPr>
                <w:rFonts w:hint="eastAsia"/>
                <w:sz w:val="21"/>
                <w:szCs w:val="21"/>
                <w:lang w:val="en-US" w:eastAsia="zh-CN"/>
              </w:rPr>
              <w:t>二级标准</w:t>
            </w:r>
          </w:p>
        </w:tc>
      </w:tr>
      <w:tr w14:paraId="2AB5C1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5ADF5FEC">
            <w:pPr>
              <w:bidi w:val="0"/>
              <w:spacing w:line="240" w:lineRule="auto"/>
              <w:jc w:val="center"/>
              <w:rPr>
                <w:sz w:val="21"/>
                <w:szCs w:val="21"/>
              </w:rPr>
            </w:pPr>
          </w:p>
        </w:tc>
        <w:tc>
          <w:tcPr>
            <w:tcW w:w="591" w:type="pct"/>
            <w:vMerge w:val="continue"/>
            <w:vAlign w:val="center"/>
          </w:tcPr>
          <w:p w14:paraId="008A82CE">
            <w:pPr>
              <w:bidi w:val="0"/>
              <w:spacing w:line="240" w:lineRule="auto"/>
              <w:jc w:val="center"/>
              <w:rPr>
                <w:sz w:val="21"/>
                <w:szCs w:val="21"/>
              </w:rPr>
            </w:pPr>
          </w:p>
        </w:tc>
        <w:tc>
          <w:tcPr>
            <w:tcW w:w="728" w:type="pct"/>
            <w:vAlign w:val="center"/>
          </w:tcPr>
          <w:p w14:paraId="07C0EB21">
            <w:pPr>
              <w:bidi w:val="0"/>
              <w:spacing w:line="240" w:lineRule="auto"/>
              <w:jc w:val="center"/>
              <w:rPr>
                <w:sz w:val="21"/>
                <w:szCs w:val="21"/>
              </w:rPr>
            </w:pPr>
            <w:r>
              <w:rPr>
                <w:sz w:val="21"/>
                <w:szCs w:val="21"/>
              </w:rPr>
              <w:t>日平均</w:t>
            </w:r>
          </w:p>
        </w:tc>
        <w:tc>
          <w:tcPr>
            <w:tcW w:w="1070" w:type="pct"/>
            <w:vAlign w:val="center"/>
          </w:tcPr>
          <w:p w14:paraId="7B203A91">
            <w:pPr>
              <w:bidi w:val="0"/>
              <w:spacing w:line="240" w:lineRule="auto"/>
              <w:jc w:val="center"/>
              <w:rPr>
                <w:sz w:val="21"/>
                <w:szCs w:val="21"/>
              </w:rPr>
            </w:pPr>
            <w:r>
              <w:rPr>
                <w:sz w:val="21"/>
                <w:szCs w:val="21"/>
              </w:rPr>
              <w:t>150</w:t>
            </w:r>
          </w:p>
        </w:tc>
        <w:tc>
          <w:tcPr>
            <w:tcW w:w="1012" w:type="pct"/>
            <w:vAlign w:val="center"/>
          </w:tcPr>
          <w:p w14:paraId="60497130">
            <w:pPr>
              <w:bidi w:val="0"/>
              <w:spacing w:line="240" w:lineRule="auto"/>
              <w:jc w:val="center"/>
              <w:rPr>
                <w:rFonts w:hint="default"/>
                <w:sz w:val="21"/>
                <w:szCs w:val="21"/>
                <w:lang w:val="en-US" w:eastAsia="zh-CN"/>
              </w:rPr>
            </w:pPr>
            <w:r>
              <w:rPr>
                <w:rFonts w:hint="eastAsia"/>
                <w:sz w:val="21"/>
                <w:szCs w:val="21"/>
                <w:lang w:val="en-US" w:eastAsia="zh-CN"/>
              </w:rPr>
              <w:t>50</w:t>
            </w:r>
          </w:p>
        </w:tc>
        <w:tc>
          <w:tcPr>
            <w:tcW w:w="1357" w:type="pct"/>
            <w:vMerge w:val="continue"/>
            <w:vAlign w:val="center"/>
          </w:tcPr>
          <w:p w14:paraId="544FF04B">
            <w:pPr>
              <w:bidi w:val="0"/>
              <w:spacing w:line="240" w:lineRule="auto"/>
              <w:jc w:val="center"/>
              <w:rPr>
                <w:sz w:val="21"/>
                <w:szCs w:val="21"/>
              </w:rPr>
            </w:pPr>
          </w:p>
        </w:tc>
      </w:tr>
      <w:tr w14:paraId="7DF30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5F62A6ED">
            <w:pPr>
              <w:bidi w:val="0"/>
              <w:spacing w:line="240" w:lineRule="auto"/>
              <w:jc w:val="center"/>
              <w:rPr>
                <w:sz w:val="21"/>
                <w:szCs w:val="21"/>
              </w:rPr>
            </w:pPr>
          </w:p>
        </w:tc>
        <w:tc>
          <w:tcPr>
            <w:tcW w:w="591" w:type="pct"/>
            <w:vMerge w:val="continue"/>
            <w:vAlign w:val="center"/>
          </w:tcPr>
          <w:p w14:paraId="5B77F68C">
            <w:pPr>
              <w:bidi w:val="0"/>
              <w:spacing w:line="240" w:lineRule="auto"/>
              <w:jc w:val="center"/>
              <w:rPr>
                <w:sz w:val="21"/>
                <w:szCs w:val="21"/>
              </w:rPr>
            </w:pPr>
          </w:p>
        </w:tc>
        <w:tc>
          <w:tcPr>
            <w:tcW w:w="728" w:type="pct"/>
            <w:vAlign w:val="center"/>
          </w:tcPr>
          <w:p w14:paraId="6B5FEF79">
            <w:pPr>
              <w:bidi w:val="0"/>
              <w:spacing w:line="240" w:lineRule="auto"/>
              <w:jc w:val="center"/>
              <w:rPr>
                <w:sz w:val="21"/>
                <w:szCs w:val="21"/>
              </w:rPr>
            </w:pPr>
            <w:r>
              <w:rPr>
                <w:sz w:val="21"/>
                <w:szCs w:val="21"/>
              </w:rPr>
              <w:t>年平均</w:t>
            </w:r>
          </w:p>
        </w:tc>
        <w:tc>
          <w:tcPr>
            <w:tcW w:w="1070" w:type="pct"/>
            <w:vAlign w:val="center"/>
          </w:tcPr>
          <w:p w14:paraId="00B361D0">
            <w:pPr>
              <w:bidi w:val="0"/>
              <w:spacing w:line="240" w:lineRule="auto"/>
              <w:jc w:val="center"/>
              <w:rPr>
                <w:sz w:val="21"/>
                <w:szCs w:val="21"/>
              </w:rPr>
            </w:pPr>
            <w:r>
              <w:rPr>
                <w:sz w:val="21"/>
                <w:szCs w:val="21"/>
              </w:rPr>
              <w:t>60</w:t>
            </w:r>
          </w:p>
        </w:tc>
        <w:tc>
          <w:tcPr>
            <w:tcW w:w="1012" w:type="pct"/>
            <w:vAlign w:val="center"/>
          </w:tcPr>
          <w:p w14:paraId="0EAF10CE">
            <w:pPr>
              <w:bidi w:val="0"/>
              <w:spacing w:line="240" w:lineRule="auto"/>
              <w:jc w:val="center"/>
              <w:rPr>
                <w:rFonts w:hint="default"/>
                <w:sz w:val="21"/>
                <w:szCs w:val="21"/>
                <w:lang w:val="en-US" w:eastAsia="zh-CN"/>
              </w:rPr>
            </w:pPr>
            <w:r>
              <w:rPr>
                <w:rFonts w:hint="eastAsia"/>
                <w:sz w:val="21"/>
                <w:szCs w:val="21"/>
                <w:lang w:val="en-US" w:eastAsia="zh-CN"/>
              </w:rPr>
              <w:t>20</w:t>
            </w:r>
          </w:p>
        </w:tc>
        <w:tc>
          <w:tcPr>
            <w:tcW w:w="1357" w:type="pct"/>
            <w:vMerge w:val="continue"/>
            <w:vAlign w:val="center"/>
          </w:tcPr>
          <w:p w14:paraId="63760429">
            <w:pPr>
              <w:bidi w:val="0"/>
              <w:spacing w:line="240" w:lineRule="auto"/>
              <w:jc w:val="center"/>
              <w:rPr>
                <w:sz w:val="21"/>
                <w:szCs w:val="21"/>
              </w:rPr>
            </w:pPr>
          </w:p>
        </w:tc>
      </w:tr>
      <w:tr w14:paraId="5B257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43F8DF4F">
            <w:pPr>
              <w:bidi w:val="0"/>
              <w:spacing w:line="240" w:lineRule="auto"/>
              <w:jc w:val="center"/>
              <w:rPr>
                <w:sz w:val="21"/>
                <w:szCs w:val="21"/>
              </w:rPr>
            </w:pPr>
            <w:r>
              <w:rPr>
                <w:sz w:val="21"/>
                <w:szCs w:val="21"/>
              </w:rPr>
              <w:t>2</w:t>
            </w:r>
          </w:p>
        </w:tc>
        <w:tc>
          <w:tcPr>
            <w:tcW w:w="591" w:type="pct"/>
            <w:vMerge w:val="restart"/>
            <w:vAlign w:val="center"/>
          </w:tcPr>
          <w:p w14:paraId="430AFAB6">
            <w:pPr>
              <w:bidi w:val="0"/>
              <w:spacing w:line="240" w:lineRule="auto"/>
              <w:jc w:val="center"/>
              <w:rPr>
                <w:sz w:val="21"/>
                <w:szCs w:val="21"/>
              </w:rPr>
            </w:pPr>
            <w:r>
              <w:rPr>
                <w:sz w:val="21"/>
                <w:szCs w:val="21"/>
              </w:rPr>
              <w:t>PM</w:t>
            </w:r>
            <w:r>
              <w:rPr>
                <w:sz w:val="21"/>
                <w:szCs w:val="21"/>
                <w:vertAlign w:val="subscript"/>
              </w:rPr>
              <w:t>10</w:t>
            </w:r>
          </w:p>
        </w:tc>
        <w:tc>
          <w:tcPr>
            <w:tcW w:w="728" w:type="pct"/>
            <w:vAlign w:val="center"/>
          </w:tcPr>
          <w:p w14:paraId="79F659D0">
            <w:pPr>
              <w:bidi w:val="0"/>
              <w:spacing w:line="240" w:lineRule="auto"/>
              <w:jc w:val="center"/>
              <w:rPr>
                <w:sz w:val="21"/>
                <w:szCs w:val="21"/>
              </w:rPr>
            </w:pPr>
            <w:r>
              <w:rPr>
                <w:sz w:val="21"/>
                <w:szCs w:val="21"/>
              </w:rPr>
              <w:t>日平均</w:t>
            </w:r>
          </w:p>
        </w:tc>
        <w:tc>
          <w:tcPr>
            <w:tcW w:w="1070" w:type="pct"/>
            <w:vAlign w:val="center"/>
          </w:tcPr>
          <w:p w14:paraId="1A12C662">
            <w:pPr>
              <w:bidi w:val="0"/>
              <w:spacing w:line="240" w:lineRule="auto"/>
              <w:jc w:val="center"/>
              <w:rPr>
                <w:rFonts w:hint="default"/>
                <w:sz w:val="21"/>
                <w:szCs w:val="21"/>
                <w:lang w:val="en-US" w:eastAsia="zh-CN"/>
              </w:rPr>
            </w:pPr>
            <w:r>
              <w:rPr>
                <w:rFonts w:hint="eastAsia"/>
                <w:sz w:val="21"/>
                <w:szCs w:val="21"/>
                <w:lang w:val="en-US" w:eastAsia="zh-CN"/>
              </w:rPr>
              <w:t>120</w:t>
            </w:r>
          </w:p>
        </w:tc>
        <w:tc>
          <w:tcPr>
            <w:tcW w:w="1012" w:type="pct"/>
            <w:vAlign w:val="center"/>
          </w:tcPr>
          <w:p w14:paraId="37B7DD59">
            <w:pPr>
              <w:bidi w:val="0"/>
              <w:spacing w:line="240" w:lineRule="auto"/>
              <w:jc w:val="center"/>
              <w:rPr>
                <w:rFonts w:hint="default"/>
                <w:sz w:val="21"/>
                <w:szCs w:val="21"/>
                <w:lang w:val="en-US" w:eastAsia="zh-CN"/>
              </w:rPr>
            </w:pPr>
            <w:r>
              <w:rPr>
                <w:rFonts w:hint="eastAsia"/>
                <w:sz w:val="21"/>
                <w:szCs w:val="21"/>
                <w:lang w:val="en-US" w:eastAsia="zh-CN"/>
              </w:rPr>
              <w:t>100</w:t>
            </w:r>
          </w:p>
        </w:tc>
        <w:tc>
          <w:tcPr>
            <w:tcW w:w="1357" w:type="pct"/>
            <w:vMerge w:val="continue"/>
            <w:vAlign w:val="center"/>
          </w:tcPr>
          <w:p w14:paraId="15538BB2">
            <w:pPr>
              <w:bidi w:val="0"/>
              <w:spacing w:line="240" w:lineRule="auto"/>
              <w:jc w:val="center"/>
              <w:rPr>
                <w:sz w:val="21"/>
                <w:szCs w:val="21"/>
              </w:rPr>
            </w:pPr>
          </w:p>
        </w:tc>
      </w:tr>
      <w:tr w14:paraId="5A94F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7DAA5483">
            <w:pPr>
              <w:bidi w:val="0"/>
              <w:spacing w:line="240" w:lineRule="auto"/>
              <w:jc w:val="center"/>
              <w:rPr>
                <w:sz w:val="21"/>
                <w:szCs w:val="21"/>
              </w:rPr>
            </w:pPr>
          </w:p>
        </w:tc>
        <w:tc>
          <w:tcPr>
            <w:tcW w:w="591" w:type="pct"/>
            <w:vMerge w:val="continue"/>
            <w:vAlign w:val="center"/>
          </w:tcPr>
          <w:p w14:paraId="51FB7A55">
            <w:pPr>
              <w:bidi w:val="0"/>
              <w:spacing w:line="240" w:lineRule="auto"/>
              <w:jc w:val="center"/>
              <w:rPr>
                <w:sz w:val="21"/>
                <w:szCs w:val="21"/>
              </w:rPr>
            </w:pPr>
          </w:p>
        </w:tc>
        <w:tc>
          <w:tcPr>
            <w:tcW w:w="728" w:type="pct"/>
            <w:vAlign w:val="center"/>
          </w:tcPr>
          <w:p w14:paraId="1E43FC13">
            <w:pPr>
              <w:bidi w:val="0"/>
              <w:spacing w:line="240" w:lineRule="auto"/>
              <w:jc w:val="center"/>
              <w:rPr>
                <w:sz w:val="21"/>
                <w:szCs w:val="21"/>
              </w:rPr>
            </w:pPr>
            <w:r>
              <w:rPr>
                <w:sz w:val="21"/>
                <w:szCs w:val="21"/>
              </w:rPr>
              <w:t>年平均</w:t>
            </w:r>
          </w:p>
        </w:tc>
        <w:tc>
          <w:tcPr>
            <w:tcW w:w="1070" w:type="pct"/>
            <w:vAlign w:val="center"/>
          </w:tcPr>
          <w:p w14:paraId="557D6A9C">
            <w:pPr>
              <w:bidi w:val="0"/>
              <w:spacing w:line="240" w:lineRule="auto"/>
              <w:jc w:val="center"/>
              <w:rPr>
                <w:rFonts w:hint="default"/>
                <w:sz w:val="21"/>
                <w:szCs w:val="21"/>
                <w:lang w:val="en-US" w:eastAsia="zh-CN"/>
              </w:rPr>
            </w:pPr>
            <w:r>
              <w:rPr>
                <w:rFonts w:hint="eastAsia"/>
                <w:sz w:val="21"/>
                <w:szCs w:val="21"/>
                <w:lang w:val="en-US" w:eastAsia="zh-CN"/>
              </w:rPr>
              <w:t>60</w:t>
            </w:r>
          </w:p>
        </w:tc>
        <w:tc>
          <w:tcPr>
            <w:tcW w:w="1012" w:type="pct"/>
            <w:vAlign w:val="center"/>
          </w:tcPr>
          <w:p w14:paraId="424411BC">
            <w:pPr>
              <w:bidi w:val="0"/>
              <w:spacing w:line="240" w:lineRule="auto"/>
              <w:jc w:val="center"/>
              <w:rPr>
                <w:rFonts w:hint="default"/>
                <w:sz w:val="21"/>
                <w:szCs w:val="21"/>
                <w:lang w:val="en-US" w:eastAsia="zh-CN"/>
              </w:rPr>
            </w:pPr>
            <w:r>
              <w:rPr>
                <w:rFonts w:hint="eastAsia"/>
                <w:sz w:val="21"/>
                <w:szCs w:val="21"/>
                <w:lang w:val="en-US" w:eastAsia="zh-CN"/>
              </w:rPr>
              <w:t>50</w:t>
            </w:r>
          </w:p>
        </w:tc>
        <w:tc>
          <w:tcPr>
            <w:tcW w:w="1357" w:type="pct"/>
            <w:vMerge w:val="continue"/>
            <w:vAlign w:val="center"/>
          </w:tcPr>
          <w:p w14:paraId="13D98BC2">
            <w:pPr>
              <w:bidi w:val="0"/>
              <w:spacing w:line="240" w:lineRule="auto"/>
              <w:jc w:val="center"/>
              <w:rPr>
                <w:sz w:val="21"/>
                <w:szCs w:val="21"/>
              </w:rPr>
            </w:pPr>
          </w:p>
        </w:tc>
      </w:tr>
      <w:tr w14:paraId="48FBB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684D0748">
            <w:pPr>
              <w:bidi w:val="0"/>
              <w:spacing w:line="240" w:lineRule="auto"/>
              <w:jc w:val="center"/>
              <w:rPr>
                <w:sz w:val="21"/>
                <w:szCs w:val="21"/>
              </w:rPr>
            </w:pPr>
            <w:r>
              <w:rPr>
                <w:sz w:val="21"/>
                <w:szCs w:val="21"/>
              </w:rPr>
              <w:t>3</w:t>
            </w:r>
          </w:p>
        </w:tc>
        <w:tc>
          <w:tcPr>
            <w:tcW w:w="591" w:type="pct"/>
            <w:vMerge w:val="restart"/>
            <w:vAlign w:val="center"/>
          </w:tcPr>
          <w:p w14:paraId="193CC26E">
            <w:pPr>
              <w:bidi w:val="0"/>
              <w:spacing w:line="240" w:lineRule="auto"/>
              <w:jc w:val="center"/>
              <w:rPr>
                <w:sz w:val="21"/>
                <w:szCs w:val="21"/>
              </w:rPr>
            </w:pPr>
            <w:r>
              <w:rPr>
                <w:sz w:val="21"/>
                <w:szCs w:val="21"/>
              </w:rPr>
              <w:t>PM</w:t>
            </w:r>
            <w:r>
              <w:rPr>
                <w:rFonts w:hint="eastAsia"/>
                <w:sz w:val="21"/>
                <w:szCs w:val="21"/>
                <w:vertAlign w:val="subscript"/>
              </w:rPr>
              <w:t>2.5</w:t>
            </w:r>
          </w:p>
        </w:tc>
        <w:tc>
          <w:tcPr>
            <w:tcW w:w="728" w:type="pct"/>
            <w:vAlign w:val="center"/>
          </w:tcPr>
          <w:p w14:paraId="417B5B3C">
            <w:pPr>
              <w:bidi w:val="0"/>
              <w:spacing w:line="240" w:lineRule="auto"/>
              <w:jc w:val="center"/>
              <w:rPr>
                <w:sz w:val="21"/>
                <w:szCs w:val="21"/>
              </w:rPr>
            </w:pPr>
            <w:r>
              <w:rPr>
                <w:sz w:val="21"/>
                <w:szCs w:val="21"/>
              </w:rPr>
              <w:t>日平均</w:t>
            </w:r>
          </w:p>
        </w:tc>
        <w:tc>
          <w:tcPr>
            <w:tcW w:w="1070" w:type="pct"/>
            <w:vAlign w:val="center"/>
          </w:tcPr>
          <w:p w14:paraId="590E37A2">
            <w:pPr>
              <w:bidi w:val="0"/>
              <w:spacing w:line="240" w:lineRule="auto"/>
              <w:jc w:val="center"/>
              <w:rPr>
                <w:rFonts w:hint="default"/>
                <w:sz w:val="21"/>
                <w:szCs w:val="21"/>
                <w:lang w:val="en-US" w:eastAsia="zh-CN"/>
              </w:rPr>
            </w:pPr>
            <w:r>
              <w:rPr>
                <w:rFonts w:hint="eastAsia"/>
                <w:sz w:val="21"/>
                <w:szCs w:val="21"/>
                <w:lang w:val="en-US" w:eastAsia="zh-CN"/>
              </w:rPr>
              <w:t>60</w:t>
            </w:r>
          </w:p>
        </w:tc>
        <w:tc>
          <w:tcPr>
            <w:tcW w:w="1012" w:type="pct"/>
            <w:vAlign w:val="center"/>
          </w:tcPr>
          <w:p w14:paraId="13F77012">
            <w:pPr>
              <w:bidi w:val="0"/>
              <w:spacing w:line="240" w:lineRule="auto"/>
              <w:jc w:val="center"/>
              <w:rPr>
                <w:rFonts w:hint="default"/>
                <w:sz w:val="21"/>
                <w:szCs w:val="21"/>
                <w:lang w:val="en-US" w:eastAsia="zh-CN"/>
              </w:rPr>
            </w:pPr>
            <w:r>
              <w:rPr>
                <w:rFonts w:hint="eastAsia"/>
                <w:sz w:val="21"/>
                <w:szCs w:val="21"/>
                <w:lang w:val="en-US" w:eastAsia="zh-CN"/>
              </w:rPr>
              <w:t>50</w:t>
            </w:r>
          </w:p>
        </w:tc>
        <w:tc>
          <w:tcPr>
            <w:tcW w:w="1357" w:type="pct"/>
            <w:vMerge w:val="continue"/>
            <w:vAlign w:val="center"/>
          </w:tcPr>
          <w:p w14:paraId="610251A1">
            <w:pPr>
              <w:bidi w:val="0"/>
              <w:spacing w:line="240" w:lineRule="auto"/>
              <w:jc w:val="center"/>
              <w:rPr>
                <w:sz w:val="21"/>
                <w:szCs w:val="21"/>
              </w:rPr>
            </w:pPr>
          </w:p>
        </w:tc>
      </w:tr>
      <w:tr w14:paraId="2163C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0F2C34C7">
            <w:pPr>
              <w:bidi w:val="0"/>
              <w:spacing w:line="240" w:lineRule="auto"/>
              <w:jc w:val="center"/>
              <w:rPr>
                <w:sz w:val="21"/>
                <w:szCs w:val="21"/>
              </w:rPr>
            </w:pPr>
          </w:p>
        </w:tc>
        <w:tc>
          <w:tcPr>
            <w:tcW w:w="591" w:type="pct"/>
            <w:vMerge w:val="continue"/>
            <w:vAlign w:val="center"/>
          </w:tcPr>
          <w:p w14:paraId="26302F2E">
            <w:pPr>
              <w:bidi w:val="0"/>
              <w:spacing w:line="240" w:lineRule="auto"/>
              <w:jc w:val="center"/>
              <w:rPr>
                <w:sz w:val="21"/>
                <w:szCs w:val="21"/>
              </w:rPr>
            </w:pPr>
          </w:p>
        </w:tc>
        <w:tc>
          <w:tcPr>
            <w:tcW w:w="728" w:type="pct"/>
            <w:vAlign w:val="center"/>
          </w:tcPr>
          <w:p w14:paraId="418B3BB6">
            <w:pPr>
              <w:bidi w:val="0"/>
              <w:spacing w:line="240" w:lineRule="auto"/>
              <w:jc w:val="center"/>
              <w:rPr>
                <w:sz w:val="21"/>
                <w:szCs w:val="21"/>
              </w:rPr>
            </w:pPr>
            <w:r>
              <w:rPr>
                <w:sz w:val="21"/>
                <w:szCs w:val="21"/>
              </w:rPr>
              <w:t>年平均</w:t>
            </w:r>
          </w:p>
        </w:tc>
        <w:tc>
          <w:tcPr>
            <w:tcW w:w="1070" w:type="pct"/>
            <w:vAlign w:val="center"/>
          </w:tcPr>
          <w:p w14:paraId="1847EB2C">
            <w:pPr>
              <w:bidi w:val="0"/>
              <w:spacing w:line="240" w:lineRule="auto"/>
              <w:jc w:val="center"/>
              <w:rPr>
                <w:rFonts w:hint="default"/>
                <w:sz w:val="21"/>
                <w:szCs w:val="21"/>
                <w:lang w:val="en-US" w:eastAsia="zh-CN"/>
              </w:rPr>
            </w:pPr>
            <w:r>
              <w:rPr>
                <w:rFonts w:hint="eastAsia"/>
                <w:sz w:val="21"/>
                <w:szCs w:val="21"/>
                <w:lang w:val="en-US" w:eastAsia="zh-CN"/>
              </w:rPr>
              <w:t>30</w:t>
            </w:r>
          </w:p>
        </w:tc>
        <w:tc>
          <w:tcPr>
            <w:tcW w:w="1012" w:type="pct"/>
            <w:vAlign w:val="center"/>
          </w:tcPr>
          <w:p w14:paraId="4C292719">
            <w:pPr>
              <w:bidi w:val="0"/>
              <w:spacing w:line="240" w:lineRule="auto"/>
              <w:jc w:val="center"/>
              <w:rPr>
                <w:rFonts w:hint="default"/>
                <w:sz w:val="21"/>
                <w:szCs w:val="21"/>
                <w:lang w:val="en-US" w:eastAsia="zh-CN"/>
              </w:rPr>
            </w:pPr>
            <w:r>
              <w:rPr>
                <w:rFonts w:hint="eastAsia"/>
                <w:sz w:val="21"/>
                <w:szCs w:val="21"/>
                <w:lang w:val="en-US" w:eastAsia="zh-CN"/>
              </w:rPr>
              <w:t>25</w:t>
            </w:r>
          </w:p>
        </w:tc>
        <w:tc>
          <w:tcPr>
            <w:tcW w:w="1357" w:type="pct"/>
            <w:vMerge w:val="continue"/>
            <w:vAlign w:val="center"/>
          </w:tcPr>
          <w:p w14:paraId="303483AE">
            <w:pPr>
              <w:bidi w:val="0"/>
              <w:spacing w:line="240" w:lineRule="auto"/>
              <w:jc w:val="center"/>
              <w:rPr>
                <w:sz w:val="21"/>
                <w:szCs w:val="21"/>
              </w:rPr>
            </w:pPr>
          </w:p>
        </w:tc>
      </w:tr>
      <w:tr w14:paraId="26DC9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797F7FBB">
            <w:pPr>
              <w:bidi w:val="0"/>
              <w:spacing w:line="240" w:lineRule="auto"/>
              <w:jc w:val="center"/>
              <w:rPr>
                <w:sz w:val="21"/>
                <w:szCs w:val="21"/>
              </w:rPr>
            </w:pPr>
            <w:r>
              <w:rPr>
                <w:sz w:val="21"/>
                <w:szCs w:val="21"/>
              </w:rPr>
              <w:t>4</w:t>
            </w:r>
          </w:p>
        </w:tc>
        <w:tc>
          <w:tcPr>
            <w:tcW w:w="591" w:type="pct"/>
            <w:vMerge w:val="restart"/>
            <w:vAlign w:val="center"/>
          </w:tcPr>
          <w:p w14:paraId="4CCB2E0D">
            <w:pPr>
              <w:bidi w:val="0"/>
              <w:spacing w:line="240" w:lineRule="auto"/>
              <w:jc w:val="center"/>
              <w:rPr>
                <w:sz w:val="21"/>
                <w:szCs w:val="21"/>
              </w:rPr>
            </w:pPr>
            <w:r>
              <w:rPr>
                <w:sz w:val="21"/>
                <w:szCs w:val="21"/>
              </w:rPr>
              <w:t>NO</w:t>
            </w:r>
            <w:r>
              <w:rPr>
                <w:sz w:val="21"/>
                <w:szCs w:val="21"/>
                <w:vertAlign w:val="subscript"/>
              </w:rPr>
              <w:t>2</w:t>
            </w:r>
          </w:p>
        </w:tc>
        <w:tc>
          <w:tcPr>
            <w:tcW w:w="728" w:type="pct"/>
            <w:vAlign w:val="center"/>
          </w:tcPr>
          <w:p w14:paraId="2431CEBC">
            <w:pPr>
              <w:bidi w:val="0"/>
              <w:spacing w:line="240" w:lineRule="auto"/>
              <w:jc w:val="center"/>
              <w:rPr>
                <w:rFonts w:hint="eastAsia"/>
                <w:sz w:val="21"/>
                <w:szCs w:val="21"/>
                <w:lang w:val="en-US" w:eastAsia="zh-CN"/>
              </w:rPr>
            </w:pPr>
            <w:r>
              <w:rPr>
                <w:rFonts w:hint="eastAsia"/>
                <w:sz w:val="21"/>
                <w:szCs w:val="21"/>
                <w:lang w:val="en-US" w:eastAsia="zh-CN"/>
              </w:rPr>
              <w:t>1</w:t>
            </w:r>
            <w:r>
              <w:rPr>
                <w:sz w:val="21"/>
                <w:szCs w:val="21"/>
              </w:rPr>
              <w:t>小时</w:t>
            </w:r>
            <w:r>
              <w:rPr>
                <w:rFonts w:hint="eastAsia"/>
                <w:sz w:val="21"/>
                <w:szCs w:val="21"/>
                <w:lang w:val="en-US" w:eastAsia="zh-CN"/>
              </w:rPr>
              <w:t>平均</w:t>
            </w:r>
          </w:p>
        </w:tc>
        <w:tc>
          <w:tcPr>
            <w:tcW w:w="1070" w:type="pct"/>
            <w:vAlign w:val="center"/>
          </w:tcPr>
          <w:p w14:paraId="1B4E309E">
            <w:pPr>
              <w:bidi w:val="0"/>
              <w:spacing w:line="240" w:lineRule="auto"/>
              <w:jc w:val="center"/>
              <w:rPr>
                <w:rFonts w:hint="default"/>
                <w:sz w:val="21"/>
                <w:szCs w:val="21"/>
                <w:lang w:val="en-US" w:eastAsia="zh-CN"/>
              </w:rPr>
            </w:pPr>
            <w:r>
              <w:rPr>
                <w:sz w:val="21"/>
                <w:szCs w:val="21"/>
              </w:rPr>
              <w:t>200</w:t>
            </w:r>
          </w:p>
        </w:tc>
        <w:tc>
          <w:tcPr>
            <w:tcW w:w="1012" w:type="pct"/>
            <w:vAlign w:val="center"/>
          </w:tcPr>
          <w:p w14:paraId="19A00161">
            <w:pPr>
              <w:bidi w:val="0"/>
              <w:spacing w:line="240" w:lineRule="auto"/>
              <w:jc w:val="center"/>
              <w:rPr>
                <w:rFonts w:hint="default"/>
                <w:sz w:val="21"/>
                <w:szCs w:val="21"/>
                <w:lang w:val="en-US" w:eastAsia="zh-CN"/>
              </w:rPr>
            </w:pPr>
            <w:r>
              <w:rPr>
                <w:rFonts w:hint="eastAsia"/>
                <w:sz w:val="21"/>
                <w:szCs w:val="21"/>
                <w:lang w:val="en-US" w:eastAsia="zh-CN"/>
              </w:rPr>
              <w:t>200</w:t>
            </w:r>
          </w:p>
        </w:tc>
        <w:tc>
          <w:tcPr>
            <w:tcW w:w="1357" w:type="pct"/>
            <w:vMerge w:val="continue"/>
            <w:vAlign w:val="center"/>
          </w:tcPr>
          <w:p w14:paraId="6CD66340">
            <w:pPr>
              <w:bidi w:val="0"/>
              <w:spacing w:line="240" w:lineRule="auto"/>
              <w:jc w:val="center"/>
              <w:rPr>
                <w:sz w:val="21"/>
                <w:szCs w:val="21"/>
              </w:rPr>
            </w:pPr>
          </w:p>
        </w:tc>
      </w:tr>
      <w:tr w14:paraId="633D9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319A7D93">
            <w:pPr>
              <w:bidi w:val="0"/>
              <w:spacing w:line="240" w:lineRule="auto"/>
              <w:jc w:val="center"/>
              <w:rPr>
                <w:sz w:val="21"/>
                <w:szCs w:val="21"/>
              </w:rPr>
            </w:pPr>
          </w:p>
        </w:tc>
        <w:tc>
          <w:tcPr>
            <w:tcW w:w="591" w:type="pct"/>
            <w:vMerge w:val="continue"/>
            <w:vAlign w:val="center"/>
          </w:tcPr>
          <w:p w14:paraId="45B339FB">
            <w:pPr>
              <w:bidi w:val="0"/>
              <w:spacing w:line="240" w:lineRule="auto"/>
              <w:jc w:val="center"/>
              <w:rPr>
                <w:sz w:val="21"/>
                <w:szCs w:val="21"/>
              </w:rPr>
            </w:pPr>
          </w:p>
        </w:tc>
        <w:tc>
          <w:tcPr>
            <w:tcW w:w="728" w:type="pct"/>
            <w:vAlign w:val="center"/>
          </w:tcPr>
          <w:p w14:paraId="4148737E">
            <w:pPr>
              <w:bidi w:val="0"/>
              <w:spacing w:line="240" w:lineRule="auto"/>
              <w:jc w:val="center"/>
              <w:rPr>
                <w:sz w:val="21"/>
                <w:szCs w:val="21"/>
              </w:rPr>
            </w:pPr>
            <w:r>
              <w:rPr>
                <w:sz w:val="21"/>
                <w:szCs w:val="21"/>
              </w:rPr>
              <w:t>日平均</w:t>
            </w:r>
          </w:p>
        </w:tc>
        <w:tc>
          <w:tcPr>
            <w:tcW w:w="1070" w:type="pct"/>
            <w:vAlign w:val="center"/>
          </w:tcPr>
          <w:p w14:paraId="11263B01">
            <w:pPr>
              <w:bidi w:val="0"/>
              <w:spacing w:line="240" w:lineRule="auto"/>
              <w:jc w:val="center"/>
              <w:rPr>
                <w:rFonts w:hint="default"/>
                <w:sz w:val="21"/>
                <w:szCs w:val="21"/>
                <w:lang w:val="en-US" w:eastAsia="zh-CN"/>
              </w:rPr>
            </w:pPr>
            <w:r>
              <w:rPr>
                <w:rFonts w:hint="eastAsia"/>
                <w:sz w:val="21"/>
                <w:szCs w:val="21"/>
                <w:lang w:val="en-US" w:eastAsia="zh-CN"/>
              </w:rPr>
              <w:t>80</w:t>
            </w:r>
          </w:p>
        </w:tc>
        <w:tc>
          <w:tcPr>
            <w:tcW w:w="1012" w:type="pct"/>
            <w:vAlign w:val="center"/>
          </w:tcPr>
          <w:p w14:paraId="508A0FBE">
            <w:pPr>
              <w:bidi w:val="0"/>
              <w:spacing w:line="240" w:lineRule="auto"/>
              <w:jc w:val="center"/>
              <w:rPr>
                <w:rFonts w:hint="default"/>
                <w:sz w:val="21"/>
                <w:szCs w:val="21"/>
                <w:lang w:val="en-US" w:eastAsia="zh-CN"/>
              </w:rPr>
            </w:pPr>
            <w:r>
              <w:rPr>
                <w:rFonts w:hint="eastAsia"/>
                <w:sz w:val="21"/>
                <w:szCs w:val="21"/>
                <w:lang w:val="en-US" w:eastAsia="zh-CN"/>
              </w:rPr>
              <w:t>50</w:t>
            </w:r>
          </w:p>
        </w:tc>
        <w:tc>
          <w:tcPr>
            <w:tcW w:w="1357" w:type="pct"/>
            <w:vMerge w:val="continue"/>
            <w:vAlign w:val="center"/>
          </w:tcPr>
          <w:p w14:paraId="54ACFFDE">
            <w:pPr>
              <w:bidi w:val="0"/>
              <w:spacing w:line="240" w:lineRule="auto"/>
              <w:jc w:val="center"/>
              <w:rPr>
                <w:sz w:val="21"/>
                <w:szCs w:val="21"/>
              </w:rPr>
            </w:pPr>
          </w:p>
        </w:tc>
      </w:tr>
      <w:tr w14:paraId="1BED9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5DC011BE">
            <w:pPr>
              <w:bidi w:val="0"/>
              <w:spacing w:line="240" w:lineRule="auto"/>
              <w:jc w:val="center"/>
              <w:rPr>
                <w:sz w:val="21"/>
                <w:szCs w:val="21"/>
              </w:rPr>
            </w:pPr>
          </w:p>
        </w:tc>
        <w:tc>
          <w:tcPr>
            <w:tcW w:w="591" w:type="pct"/>
            <w:vMerge w:val="continue"/>
            <w:vAlign w:val="center"/>
          </w:tcPr>
          <w:p w14:paraId="56F880C9">
            <w:pPr>
              <w:bidi w:val="0"/>
              <w:spacing w:line="240" w:lineRule="auto"/>
              <w:jc w:val="center"/>
              <w:rPr>
                <w:sz w:val="21"/>
                <w:szCs w:val="21"/>
              </w:rPr>
            </w:pPr>
          </w:p>
        </w:tc>
        <w:tc>
          <w:tcPr>
            <w:tcW w:w="728" w:type="pct"/>
            <w:vAlign w:val="center"/>
          </w:tcPr>
          <w:p w14:paraId="79BD063E">
            <w:pPr>
              <w:bidi w:val="0"/>
              <w:spacing w:line="240" w:lineRule="auto"/>
              <w:jc w:val="center"/>
              <w:rPr>
                <w:sz w:val="21"/>
                <w:szCs w:val="21"/>
              </w:rPr>
            </w:pPr>
            <w:r>
              <w:rPr>
                <w:sz w:val="21"/>
                <w:szCs w:val="21"/>
              </w:rPr>
              <w:t>年平均</w:t>
            </w:r>
          </w:p>
        </w:tc>
        <w:tc>
          <w:tcPr>
            <w:tcW w:w="1070" w:type="pct"/>
            <w:vAlign w:val="center"/>
          </w:tcPr>
          <w:p w14:paraId="1EC11ABA">
            <w:pPr>
              <w:bidi w:val="0"/>
              <w:spacing w:line="240" w:lineRule="auto"/>
              <w:jc w:val="center"/>
              <w:rPr>
                <w:rFonts w:hint="default"/>
                <w:sz w:val="21"/>
                <w:szCs w:val="21"/>
                <w:lang w:val="en-US" w:eastAsia="zh-CN"/>
              </w:rPr>
            </w:pPr>
            <w:r>
              <w:rPr>
                <w:rFonts w:hint="eastAsia"/>
                <w:sz w:val="21"/>
                <w:szCs w:val="21"/>
                <w:lang w:val="en-US" w:eastAsia="zh-CN"/>
              </w:rPr>
              <w:t>40</w:t>
            </w:r>
          </w:p>
        </w:tc>
        <w:tc>
          <w:tcPr>
            <w:tcW w:w="1012" w:type="pct"/>
            <w:vAlign w:val="center"/>
          </w:tcPr>
          <w:p w14:paraId="2B35266F">
            <w:pPr>
              <w:bidi w:val="0"/>
              <w:spacing w:line="240" w:lineRule="auto"/>
              <w:jc w:val="center"/>
              <w:rPr>
                <w:rFonts w:hint="default"/>
                <w:sz w:val="21"/>
                <w:szCs w:val="21"/>
                <w:lang w:val="en-US" w:eastAsia="zh-CN"/>
              </w:rPr>
            </w:pPr>
            <w:r>
              <w:rPr>
                <w:rFonts w:hint="eastAsia"/>
                <w:sz w:val="21"/>
                <w:szCs w:val="21"/>
                <w:lang w:val="en-US" w:eastAsia="zh-CN"/>
              </w:rPr>
              <w:t>30</w:t>
            </w:r>
          </w:p>
        </w:tc>
        <w:tc>
          <w:tcPr>
            <w:tcW w:w="1357" w:type="pct"/>
            <w:vMerge w:val="continue"/>
            <w:vAlign w:val="center"/>
          </w:tcPr>
          <w:p w14:paraId="726F5AA4">
            <w:pPr>
              <w:bidi w:val="0"/>
              <w:spacing w:line="240" w:lineRule="auto"/>
              <w:jc w:val="center"/>
              <w:rPr>
                <w:sz w:val="21"/>
                <w:szCs w:val="21"/>
              </w:rPr>
            </w:pPr>
          </w:p>
        </w:tc>
      </w:tr>
      <w:tr w14:paraId="79169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2" w:hRule="atLeast"/>
          <w:jc w:val="center"/>
        </w:trPr>
        <w:tc>
          <w:tcPr>
            <w:tcW w:w="238" w:type="pct"/>
            <w:vMerge w:val="restart"/>
            <w:vAlign w:val="center"/>
          </w:tcPr>
          <w:p w14:paraId="00FE5175">
            <w:pPr>
              <w:bidi w:val="0"/>
              <w:spacing w:line="240" w:lineRule="auto"/>
              <w:jc w:val="center"/>
              <w:rPr>
                <w:rFonts w:hint="eastAsia"/>
                <w:sz w:val="21"/>
                <w:szCs w:val="21"/>
                <w:lang w:val="en-US" w:eastAsia="zh-CN"/>
              </w:rPr>
            </w:pPr>
            <w:r>
              <w:rPr>
                <w:rFonts w:hint="eastAsia"/>
                <w:sz w:val="21"/>
                <w:szCs w:val="21"/>
                <w:lang w:val="en-US" w:eastAsia="zh-CN"/>
              </w:rPr>
              <w:t>5</w:t>
            </w:r>
          </w:p>
        </w:tc>
        <w:tc>
          <w:tcPr>
            <w:tcW w:w="591" w:type="pct"/>
            <w:vMerge w:val="restart"/>
            <w:vAlign w:val="center"/>
          </w:tcPr>
          <w:p w14:paraId="7D768BE4">
            <w:pPr>
              <w:bidi w:val="0"/>
              <w:spacing w:line="240" w:lineRule="auto"/>
              <w:jc w:val="center"/>
              <w:rPr>
                <w:rFonts w:hint="default"/>
                <w:sz w:val="21"/>
                <w:szCs w:val="21"/>
                <w:lang w:val="en-US" w:eastAsia="zh-CN"/>
              </w:rPr>
            </w:pPr>
            <w:r>
              <w:rPr>
                <w:rFonts w:hint="eastAsia"/>
                <w:sz w:val="21"/>
                <w:szCs w:val="21"/>
                <w:lang w:val="en-US" w:eastAsia="zh-CN"/>
              </w:rPr>
              <w:t>NOx（以NO</w:t>
            </w:r>
            <w:r>
              <w:rPr>
                <w:sz w:val="21"/>
                <w:szCs w:val="21"/>
                <w:vertAlign w:val="subscript"/>
              </w:rPr>
              <w:t>2</w:t>
            </w:r>
            <w:r>
              <w:rPr>
                <w:rFonts w:hint="eastAsia"/>
                <w:sz w:val="21"/>
                <w:szCs w:val="21"/>
                <w:lang w:val="en-US" w:eastAsia="zh-CN"/>
              </w:rPr>
              <w:t>计）</w:t>
            </w:r>
          </w:p>
        </w:tc>
        <w:tc>
          <w:tcPr>
            <w:tcW w:w="728" w:type="pct"/>
            <w:vAlign w:val="center"/>
          </w:tcPr>
          <w:p w14:paraId="344A1A0C">
            <w:pPr>
              <w:bidi w:val="0"/>
              <w:spacing w:line="240" w:lineRule="auto"/>
              <w:jc w:val="center"/>
              <w:rPr>
                <w:sz w:val="21"/>
                <w:szCs w:val="21"/>
              </w:rPr>
            </w:pPr>
            <w:r>
              <w:rPr>
                <w:rFonts w:hint="eastAsia"/>
                <w:sz w:val="21"/>
                <w:szCs w:val="21"/>
                <w:lang w:val="en-US" w:eastAsia="zh-CN"/>
              </w:rPr>
              <w:t>1</w:t>
            </w:r>
            <w:r>
              <w:rPr>
                <w:sz w:val="21"/>
                <w:szCs w:val="21"/>
              </w:rPr>
              <w:t>小时</w:t>
            </w:r>
            <w:r>
              <w:rPr>
                <w:rFonts w:hint="eastAsia"/>
                <w:sz w:val="21"/>
                <w:szCs w:val="21"/>
                <w:lang w:val="en-US" w:eastAsia="zh-CN"/>
              </w:rPr>
              <w:t>平均</w:t>
            </w:r>
          </w:p>
        </w:tc>
        <w:tc>
          <w:tcPr>
            <w:tcW w:w="1070" w:type="pct"/>
            <w:vAlign w:val="center"/>
          </w:tcPr>
          <w:p w14:paraId="5659C04A">
            <w:pPr>
              <w:bidi w:val="0"/>
              <w:spacing w:line="240" w:lineRule="auto"/>
              <w:jc w:val="center"/>
              <w:rPr>
                <w:rFonts w:hint="default"/>
                <w:sz w:val="21"/>
                <w:szCs w:val="21"/>
                <w:lang w:val="en-US" w:eastAsia="zh-CN"/>
              </w:rPr>
            </w:pPr>
            <w:r>
              <w:rPr>
                <w:rFonts w:hint="eastAsia"/>
                <w:sz w:val="21"/>
                <w:szCs w:val="21"/>
                <w:lang w:val="en-US" w:eastAsia="zh-CN"/>
              </w:rPr>
              <w:t>250</w:t>
            </w:r>
          </w:p>
        </w:tc>
        <w:tc>
          <w:tcPr>
            <w:tcW w:w="1012" w:type="pct"/>
            <w:vAlign w:val="center"/>
          </w:tcPr>
          <w:p w14:paraId="1339200F">
            <w:pPr>
              <w:bidi w:val="0"/>
              <w:spacing w:line="240" w:lineRule="auto"/>
              <w:jc w:val="center"/>
              <w:rPr>
                <w:rFonts w:hint="default"/>
                <w:sz w:val="21"/>
                <w:szCs w:val="21"/>
                <w:lang w:val="en-US" w:eastAsia="zh-CN"/>
              </w:rPr>
            </w:pPr>
            <w:r>
              <w:rPr>
                <w:rFonts w:hint="eastAsia"/>
                <w:sz w:val="21"/>
                <w:szCs w:val="21"/>
                <w:lang w:val="en-US" w:eastAsia="zh-CN"/>
              </w:rPr>
              <w:t>250</w:t>
            </w:r>
          </w:p>
        </w:tc>
        <w:tc>
          <w:tcPr>
            <w:tcW w:w="1357" w:type="pct"/>
            <w:vMerge w:val="continue"/>
            <w:vAlign w:val="center"/>
          </w:tcPr>
          <w:p w14:paraId="30229A20">
            <w:pPr>
              <w:bidi w:val="0"/>
              <w:spacing w:line="240" w:lineRule="auto"/>
              <w:jc w:val="center"/>
              <w:rPr>
                <w:sz w:val="21"/>
                <w:szCs w:val="21"/>
              </w:rPr>
            </w:pPr>
          </w:p>
        </w:tc>
      </w:tr>
      <w:tr w14:paraId="64F46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238" w:type="pct"/>
            <w:vMerge w:val="continue"/>
            <w:vAlign w:val="center"/>
          </w:tcPr>
          <w:p w14:paraId="5B51505B">
            <w:pPr>
              <w:bidi w:val="0"/>
              <w:spacing w:line="240" w:lineRule="auto"/>
              <w:jc w:val="center"/>
              <w:rPr>
                <w:sz w:val="21"/>
                <w:szCs w:val="21"/>
              </w:rPr>
            </w:pPr>
          </w:p>
        </w:tc>
        <w:tc>
          <w:tcPr>
            <w:tcW w:w="591" w:type="pct"/>
            <w:vMerge w:val="continue"/>
            <w:vAlign w:val="center"/>
          </w:tcPr>
          <w:p w14:paraId="76570C8B">
            <w:pPr>
              <w:bidi w:val="0"/>
              <w:spacing w:line="240" w:lineRule="auto"/>
              <w:jc w:val="center"/>
              <w:rPr>
                <w:sz w:val="21"/>
                <w:szCs w:val="21"/>
              </w:rPr>
            </w:pPr>
          </w:p>
        </w:tc>
        <w:tc>
          <w:tcPr>
            <w:tcW w:w="728" w:type="pct"/>
            <w:vAlign w:val="center"/>
          </w:tcPr>
          <w:p w14:paraId="7B4C5A66">
            <w:pPr>
              <w:bidi w:val="0"/>
              <w:spacing w:line="240" w:lineRule="auto"/>
              <w:jc w:val="center"/>
              <w:rPr>
                <w:sz w:val="21"/>
                <w:szCs w:val="21"/>
              </w:rPr>
            </w:pPr>
            <w:r>
              <w:rPr>
                <w:sz w:val="21"/>
                <w:szCs w:val="21"/>
              </w:rPr>
              <w:t>日平均</w:t>
            </w:r>
          </w:p>
        </w:tc>
        <w:tc>
          <w:tcPr>
            <w:tcW w:w="1070" w:type="pct"/>
            <w:vAlign w:val="center"/>
          </w:tcPr>
          <w:p w14:paraId="5B374AA3">
            <w:pPr>
              <w:bidi w:val="0"/>
              <w:spacing w:line="240" w:lineRule="auto"/>
              <w:jc w:val="center"/>
              <w:rPr>
                <w:rFonts w:hint="default"/>
                <w:sz w:val="21"/>
                <w:szCs w:val="21"/>
                <w:lang w:val="en-US" w:eastAsia="zh-CN"/>
              </w:rPr>
            </w:pPr>
            <w:r>
              <w:rPr>
                <w:rFonts w:hint="eastAsia"/>
                <w:sz w:val="21"/>
                <w:szCs w:val="21"/>
                <w:lang w:val="en-US" w:eastAsia="zh-CN"/>
              </w:rPr>
              <w:t>100</w:t>
            </w:r>
          </w:p>
        </w:tc>
        <w:tc>
          <w:tcPr>
            <w:tcW w:w="1012" w:type="pct"/>
            <w:vAlign w:val="center"/>
          </w:tcPr>
          <w:p w14:paraId="3CFA4D70">
            <w:pPr>
              <w:bidi w:val="0"/>
              <w:spacing w:line="240" w:lineRule="auto"/>
              <w:jc w:val="center"/>
              <w:rPr>
                <w:rFonts w:hint="default"/>
                <w:sz w:val="21"/>
                <w:szCs w:val="21"/>
                <w:lang w:val="en-US" w:eastAsia="zh-CN"/>
              </w:rPr>
            </w:pPr>
            <w:r>
              <w:rPr>
                <w:rFonts w:hint="eastAsia"/>
                <w:sz w:val="21"/>
                <w:szCs w:val="21"/>
                <w:lang w:val="en-US" w:eastAsia="zh-CN"/>
              </w:rPr>
              <w:t>70</w:t>
            </w:r>
          </w:p>
        </w:tc>
        <w:tc>
          <w:tcPr>
            <w:tcW w:w="1357" w:type="pct"/>
            <w:vMerge w:val="continue"/>
            <w:vAlign w:val="center"/>
          </w:tcPr>
          <w:p w14:paraId="770D2165">
            <w:pPr>
              <w:bidi w:val="0"/>
              <w:spacing w:line="240" w:lineRule="auto"/>
              <w:jc w:val="center"/>
              <w:rPr>
                <w:sz w:val="21"/>
                <w:szCs w:val="21"/>
              </w:rPr>
            </w:pPr>
          </w:p>
        </w:tc>
      </w:tr>
      <w:tr w14:paraId="786F03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791DD5EF">
            <w:pPr>
              <w:bidi w:val="0"/>
              <w:spacing w:line="240" w:lineRule="auto"/>
              <w:jc w:val="center"/>
              <w:rPr>
                <w:sz w:val="21"/>
                <w:szCs w:val="21"/>
              </w:rPr>
            </w:pPr>
          </w:p>
        </w:tc>
        <w:tc>
          <w:tcPr>
            <w:tcW w:w="591" w:type="pct"/>
            <w:vMerge w:val="continue"/>
            <w:vAlign w:val="center"/>
          </w:tcPr>
          <w:p w14:paraId="576A3809">
            <w:pPr>
              <w:bidi w:val="0"/>
              <w:spacing w:line="240" w:lineRule="auto"/>
              <w:jc w:val="center"/>
              <w:rPr>
                <w:sz w:val="21"/>
                <w:szCs w:val="21"/>
              </w:rPr>
            </w:pPr>
          </w:p>
        </w:tc>
        <w:tc>
          <w:tcPr>
            <w:tcW w:w="728" w:type="pct"/>
            <w:vAlign w:val="center"/>
          </w:tcPr>
          <w:p w14:paraId="18C03AF1">
            <w:pPr>
              <w:bidi w:val="0"/>
              <w:spacing w:line="240" w:lineRule="auto"/>
              <w:jc w:val="center"/>
              <w:rPr>
                <w:sz w:val="21"/>
                <w:szCs w:val="21"/>
              </w:rPr>
            </w:pPr>
            <w:r>
              <w:rPr>
                <w:sz w:val="21"/>
                <w:szCs w:val="21"/>
              </w:rPr>
              <w:t>年平均</w:t>
            </w:r>
          </w:p>
        </w:tc>
        <w:tc>
          <w:tcPr>
            <w:tcW w:w="1070" w:type="pct"/>
            <w:vAlign w:val="center"/>
          </w:tcPr>
          <w:p w14:paraId="2EB47CFD">
            <w:pPr>
              <w:bidi w:val="0"/>
              <w:spacing w:line="240" w:lineRule="auto"/>
              <w:jc w:val="center"/>
              <w:rPr>
                <w:rFonts w:hint="default"/>
                <w:sz w:val="21"/>
                <w:szCs w:val="21"/>
                <w:lang w:val="en-US" w:eastAsia="zh-CN"/>
              </w:rPr>
            </w:pPr>
            <w:r>
              <w:rPr>
                <w:rFonts w:hint="eastAsia"/>
                <w:sz w:val="21"/>
                <w:szCs w:val="21"/>
                <w:lang w:val="en-US" w:eastAsia="zh-CN"/>
              </w:rPr>
              <w:t>50</w:t>
            </w:r>
          </w:p>
        </w:tc>
        <w:tc>
          <w:tcPr>
            <w:tcW w:w="1012" w:type="pct"/>
            <w:vAlign w:val="center"/>
          </w:tcPr>
          <w:p w14:paraId="32DD7B40">
            <w:pPr>
              <w:bidi w:val="0"/>
              <w:spacing w:line="240" w:lineRule="auto"/>
              <w:jc w:val="center"/>
              <w:rPr>
                <w:rFonts w:hint="default"/>
                <w:sz w:val="21"/>
                <w:szCs w:val="21"/>
                <w:lang w:val="en-US" w:eastAsia="zh-CN"/>
              </w:rPr>
            </w:pPr>
            <w:r>
              <w:rPr>
                <w:rFonts w:hint="eastAsia"/>
                <w:sz w:val="21"/>
                <w:szCs w:val="21"/>
                <w:lang w:val="en-US" w:eastAsia="zh-CN"/>
              </w:rPr>
              <w:t>40</w:t>
            </w:r>
          </w:p>
        </w:tc>
        <w:tc>
          <w:tcPr>
            <w:tcW w:w="1357" w:type="pct"/>
            <w:vMerge w:val="continue"/>
            <w:vAlign w:val="center"/>
          </w:tcPr>
          <w:p w14:paraId="326D086C">
            <w:pPr>
              <w:bidi w:val="0"/>
              <w:spacing w:line="240" w:lineRule="auto"/>
              <w:jc w:val="center"/>
              <w:rPr>
                <w:sz w:val="21"/>
                <w:szCs w:val="21"/>
              </w:rPr>
            </w:pPr>
          </w:p>
        </w:tc>
      </w:tr>
      <w:tr w14:paraId="05A7C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209B8FBA">
            <w:pPr>
              <w:bidi w:val="0"/>
              <w:spacing w:line="240" w:lineRule="auto"/>
              <w:jc w:val="center"/>
              <w:rPr>
                <w:rFonts w:hint="eastAsia"/>
                <w:sz w:val="21"/>
                <w:szCs w:val="21"/>
                <w:lang w:val="en-US" w:eastAsia="zh-CN"/>
              </w:rPr>
            </w:pPr>
            <w:r>
              <w:rPr>
                <w:rFonts w:hint="eastAsia"/>
                <w:sz w:val="21"/>
                <w:szCs w:val="21"/>
              </w:rPr>
              <w:t>6</w:t>
            </w:r>
          </w:p>
        </w:tc>
        <w:tc>
          <w:tcPr>
            <w:tcW w:w="591" w:type="pct"/>
            <w:vMerge w:val="restart"/>
            <w:vAlign w:val="center"/>
          </w:tcPr>
          <w:p w14:paraId="4F6552DE">
            <w:pPr>
              <w:bidi w:val="0"/>
              <w:spacing w:line="240" w:lineRule="auto"/>
              <w:jc w:val="center"/>
              <w:rPr>
                <w:sz w:val="21"/>
                <w:szCs w:val="21"/>
              </w:rPr>
            </w:pPr>
            <w:r>
              <w:rPr>
                <w:rFonts w:hint="eastAsia"/>
                <w:sz w:val="21"/>
                <w:szCs w:val="21"/>
              </w:rPr>
              <w:t>TSP</w:t>
            </w:r>
          </w:p>
        </w:tc>
        <w:tc>
          <w:tcPr>
            <w:tcW w:w="728" w:type="pct"/>
            <w:vAlign w:val="center"/>
          </w:tcPr>
          <w:p w14:paraId="45EDAAC7">
            <w:pPr>
              <w:bidi w:val="0"/>
              <w:spacing w:line="240" w:lineRule="auto"/>
              <w:jc w:val="center"/>
              <w:rPr>
                <w:sz w:val="21"/>
                <w:szCs w:val="21"/>
              </w:rPr>
            </w:pPr>
            <w:r>
              <w:rPr>
                <w:sz w:val="21"/>
                <w:szCs w:val="21"/>
              </w:rPr>
              <w:t>日平均</w:t>
            </w:r>
          </w:p>
        </w:tc>
        <w:tc>
          <w:tcPr>
            <w:tcW w:w="1070" w:type="pct"/>
            <w:vAlign w:val="center"/>
          </w:tcPr>
          <w:p w14:paraId="221E33F8">
            <w:pPr>
              <w:bidi w:val="0"/>
              <w:spacing w:line="240" w:lineRule="auto"/>
              <w:jc w:val="center"/>
              <w:rPr>
                <w:sz w:val="21"/>
                <w:szCs w:val="21"/>
              </w:rPr>
            </w:pPr>
            <w:r>
              <w:rPr>
                <w:rFonts w:hint="eastAsia"/>
                <w:sz w:val="21"/>
                <w:szCs w:val="21"/>
              </w:rPr>
              <w:t>300</w:t>
            </w:r>
          </w:p>
        </w:tc>
        <w:tc>
          <w:tcPr>
            <w:tcW w:w="1012" w:type="pct"/>
            <w:vAlign w:val="center"/>
          </w:tcPr>
          <w:p w14:paraId="26992477">
            <w:pPr>
              <w:bidi w:val="0"/>
              <w:spacing w:line="240" w:lineRule="auto"/>
              <w:jc w:val="center"/>
              <w:rPr>
                <w:rFonts w:hint="eastAsia"/>
                <w:sz w:val="21"/>
                <w:szCs w:val="21"/>
              </w:rPr>
            </w:pPr>
            <w:r>
              <w:rPr>
                <w:rFonts w:hint="eastAsia"/>
                <w:sz w:val="21"/>
                <w:szCs w:val="21"/>
              </w:rPr>
              <w:t>300</w:t>
            </w:r>
          </w:p>
        </w:tc>
        <w:tc>
          <w:tcPr>
            <w:tcW w:w="1357" w:type="pct"/>
            <w:vMerge w:val="continue"/>
            <w:vAlign w:val="center"/>
          </w:tcPr>
          <w:p w14:paraId="7A52F3F5">
            <w:pPr>
              <w:bidi w:val="0"/>
              <w:spacing w:line="240" w:lineRule="auto"/>
              <w:jc w:val="center"/>
              <w:rPr>
                <w:sz w:val="21"/>
                <w:szCs w:val="21"/>
              </w:rPr>
            </w:pPr>
          </w:p>
        </w:tc>
      </w:tr>
      <w:tr w14:paraId="21E00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51C9A3AE">
            <w:pPr>
              <w:bidi w:val="0"/>
              <w:spacing w:line="240" w:lineRule="auto"/>
              <w:jc w:val="center"/>
              <w:rPr>
                <w:sz w:val="21"/>
                <w:szCs w:val="21"/>
              </w:rPr>
            </w:pPr>
          </w:p>
        </w:tc>
        <w:tc>
          <w:tcPr>
            <w:tcW w:w="591" w:type="pct"/>
            <w:vMerge w:val="continue"/>
            <w:vAlign w:val="center"/>
          </w:tcPr>
          <w:p w14:paraId="47C1D6A1">
            <w:pPr>
              <w:bidi w:val="0"/>
              <w:spacing w:line="240" w:lineRule="auto"/>
              <w:jc w:val="center"/>
              <w:rPr>
                <w:sz w:val="21"/>
                <w:szCs w:val="21"/>
              </w:rPr>
            </w:pPr>
          </w:p>
        </w:tc>
        <w:tc>
          <w:tcPr>
            <w:tcW w:w="728" w:type="pct"/>
            <w:vAlign w:val="center"/>
          </w:tcPr>
          <w:p w14:paraId="6B415F6F">
            <w:pPr>
              <w:bidi w:val="0"/>
              <w:spacing w:line="240" w:lineRule="auto"/>
              <w:jc w:val="center"/>
              <w:rPr>
                <w:sz w:val="21"/>
                <w:szCs w:val="21"/>
              </w:rPr>
            </w:pPr>
            <w:r>
              <w:rPr>
                <w:sz w:val="21"/>
                <w:szCs w:val="21"/>
              </w:rPr>
              <w:t>年平均</w:t>
            </w:r>
          </w:p>
        </w:tc>
        <w:tc>
          <w:tcPr>
            <w:tcW w:w="1070" w:type="pct"/>
            <w:vAlign w:val="center"/>
          </w:tcPr>
          <w:p w14:paraId="42987B76">
            <w:pPr>
              <w:bidi w:val="0"/>
              <w:spacing w:line="240" w:lineRule="auto"/>
              <w:jc w:val="center"/>
              <w:rPr>
                <w:sz w:val="21"/>
                <w:szCs w:val="21"/>
              </w:rPr>
            </w:pPr>
            <w:r>
              <w:rPr>
                <w:rFonts w:hint="eastAsia"/>
                <w:sz w:val="21"/>
                <w:szCs w:val="21"/>
              </w:rPr>
              <w:t>200</w:t>
            </w:r>
          </w:p>
        </w:tc>
        <w:tc>
          <w:tcPr>
            <w:tcW w:w="1012" w:type="pct"/>
            <w:vAlign w:val="center"/>
          </w:tcPr>
          <w:p w14:paraId="2668252D">
            <w:pPr>
              <w:bidi w:val="0"/>
              <w:spacing w:line="240" w:lineRule="auto"/>
              <w:jc w:val="center"/>
              <w:rPr>
                <w:rFonts w:hint="eastAsia"/>
                <w:sz w:val="21"/>
                <w:szCs w:val="21"/>
              </w:rPr>
            </w:pPr>
            <w:r>
              <w:rPr>
                <w:rFonts w:hint="eastAsia"/>
                <w:sz w:val="21"/>
                <w:szCs w:val="21"/>
              </w:rPr>
              <w:t>200</w:t>
            </w:r>
          </w:p>
        </w:tc>
        <w:tc>
          <w:tcPr>
            <w:tcW w:w="1357" w:type="pct"/>
            <w:vMerge w:val="continue"/>
            <w:vAlign w:val="center"/>
          </w:tcPr>
          <w:p w14:paraId="6F464F41">
            <w:pPr>
              <w:bidi w:val="0"/>
              <w:spacing w:line="240" w:lineRule="auto"/>
              <w:jc w:val="center"/>
              <w:rPr>
                <w:sz w:val="21"/>
                <w:szCs w:val="21"/>
              </w:rPr>
            </w:pPr>
          </w:p>
        </w:tc>
      </w:tr>
      <w:tr w14:paraId="22C28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restart"/>
            <w:vAlign w:val="center"/>
          </w:tcPr>
          <w:p w14:paraId="40EBD8AD">
            <w:pPr>
              <w:bidi w:val="0"/>
              <w:spacing w:line="240" w:lineRule="auto"/>
              <w:jc w:val="center"/>
              <w:rPr>
                <w:sz w:val="21"/>
                <w:szCs w:val="21"/>
              </w:rPr>
            </w:pPr>
            <w:r>
              <w:rPr>
                <w:rFonts w:hint="eastAsia"/>
                <w:sz w:val="21"/>
                <w:szCs w:val="21"/>
              </w:rPr>
              <w:t>7</w:t>
            </w:r>
          </w:p>
        </w:tc>
        <w:tc>
          <w:tcPr>
            <w:tcW w:w="591" w:type="pct"/>
            <w:vMerge w:val="restart"/>
            <w:vAlign w:val="center"/>
          </w:tcPr>
          <w:p w14:paraId="1F93E6B4">
            <w:pPr>
              <w:bidi w:val="0"/>
              <w:spacing w:line="240" w:lineRule="auto"/>
              <w:jc w:val="center"/>
              <w:rPr>
                <w:sz w:val="21"/>
                <w:szCs w:val="21"/>
              </w:rPr>
            </w:pPr>
            <w:r>
              <w:rPr>
                <w:sz w:val="21"/>
                <w:szCs w:val="21"/>
              </w:rPr>
              <w:t>O</w:t>
            </w:r>
            <w:r>
              <w:rPr>
                <w:sz w:val="21"/>
                <w:szCs w:val="21"/>
                <w:vertAlign w:val="subscript"/>
              </w:rPr>
              <w:t>3</w:t>
            </w:r>
          </w:p>
        </w:tc>
        <w:tc>
          <w:tcPr>
            <w:tcW w:w="728" w:type="pct"/>
            <w:vAlign w:val="center"/>
          </w:tcPr>
          <w:p w14:paraId="5BC7EC6A">
            <w:pPr>
              <w:bidi w:val="0"/>
              <w:spacing w:line="240" w:lineRule="auto"/>
              <w:jc w:val="center"/>
              <w:rPr>
                <w:sz w:val="21"/>
                <w:szCs w:val="21"/>
              </w:rPr>
            </w:pPr>
            <w:r>
              <w:rPr>
                <w:sz w:val="21"/>
                <w:szCs w:val="21"/>
              </w:rPr>
              <w:t>日最大8小时平均</w:t>
            </w:r>
          </w:p>
        </w:tc>
        <w:tc>
          <w:tcPr>
            <w:tcW w:w="1070" w:type="pct"/>
            <w:vAlign w:val="center"/>
          </w:tcPr>
          <w:p w14:paraId="0C3C4BA3">
            <w:pPr>
              <w:bidi w:val="0"/>
              <w:spacing w:line="240" w:lineRule="auto"/>
              <w:jc w:val="center"/>
              <w:rPr>
                <w:sz w:val="21"/>
                <w:szCs w:val="21"/>
              </w:rPr>
            </w:pPr>
            <w:r>
              <w:rPr>
                <w:sz w:val="21"/>
                <w:szCs w:val="21"/>
              </w:rPr>
              <w:t>160</w:t>
            </w:r>
          </w:p>
        </w:tc>
        <w:tc>
          <w:tcPr>
            <w:tcW w:w="1012" w:type="pct"/>
            <w:vAlign w:val="center"/>
          </w:tcPr>
          <w:p w14:paraId="4BF50C19">
            <w:pPr>
              <w:bidi w:val="0"/>
              <w:spacing w:line="240" w:lineRule="auto"/>
              <w:jc w:val="center"/>
              <w:rPr>
                <w:sz w:val="21"/>
                <w:szCs w:val="21"/>
              </w:rPr>
            </w:pPr>
            <w:r>
              <w:rPr>
                <w:sz w:val="21"/>
                <w:szCs w:val="21"/>
              </w:rPr>
              <w:t>160</w:t>
            </w:r>
          </w:p>
        </w:tc>
        <w:tc>
          <w:tcPr>
            <w:tcW w:w="1357" w:type="pct"/>
            <w:vMerge w:val="continue"/>
            <w:vAlign w:val="center"/>
          </w:tcPr>
          <w:p w14:paraId="5596B32A">
            <w:pPr>
              <w:bidi w:val="0"/>
              <w:spacing w:line="240" w:lineRule="auto"/>
              <w:jc w:val="center"/>
              <w:rPr>
                <w:sz w:val="21"/>
                <w:szCs w:val="21"/>
              </w:rPr>
            </w:pPr>
          </w:p>
        </w:tc>
      </w:tr>
      <w:tr w14:paraId="0B58D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49B1514C">
            <w:pPr>
              <w:bidi w:val="0"/>
              <w:spacing w:line="240" w:lineRule="auto"/>
              <w:jc w:val="center"/>
              <w:rPr>
                <w:sz w:val="21"/>
                <w:szCs w:val="21"/>
              </w:rPr>
            </w:pPr>
          </w:p>
        </w:tc>
        <w:tc>
          <w:tcPr>
            <w:tcW w:w="591" w:type="pct"/>
            <w:vMerge w:val="continue"/>
            <w:vAlign w:val="center"/>
          </w:tcPr>
          <w:p w14:paraId="0F15972E">
            <w:pPr>
              <w:bidi w:val="0"/>
              <w:spacing w:line="240" w:lineRule="auto"/>
              <w:jc w:val="center"/>
              <w:rPr>
                <w:sz w:val="21"/>
                <w:szCs w:val="21"/>
              </w:rPr>
            </w:pPr>
          </w:p>
        </w:tc>
        <w:tc>
          <w:tcPr>
            <w:tcW w:w="728" w:type="pct"/>
            <w:vAlign w:val="center"/>
          </w:tcPr>
          <w:p w14:paraId="6F73179E">
            <w:pPr>
              <w:bidi w:val="0"/>
              <w:spacing w:line="240" w:lineRule="auto"/>
              <w:jc w:val="center"/>
              <w:rPr>
                <w:sz w:val="21"/>
                <w:szCs w:val="21"/>
              </w:rPr>
            </w:pPr>
            <w:r>
              <w:rPr>
                <w:sz w:val="21"/>
                <w:szCs w:val="21"/>
              </w:rPr>
              <w:t>1小时平均</w:t>
            </w:r>
          </w:p>
        </w:tc>
        <w:tc>
          <w:tcPr>
            <w:tcW w:w="1070" w:type="pct"/>
            <w:vAlign w:val="center"/>
          </w:tcPr>
          <w:p w14:paraId="1992276F">
            <w:pPr>
              <w:bidi w:val="0"/>
              <w:spacing w:line="240" w:lineRule="auto"/>
              <w:jc w:val="center"/>
              <w:rPr>
                <w:sz w:val="21"/>
                <w:szCs w:val="21"/>
              </w:rPr>
            </w:pPr>
            <w:r>
              <w:rPr>
                <w:sz w:val="21"/>
                <w:szCs w:val="21"/>
              </w:rPr>
              <w:t>200</w:t>
            </w:r>
          </w:p>
        </w:tc>
        <w:tc>
          <w:tcPr>
            <w:tcW w:w="1012" w:type="pct"/>
            <w:vAlign w:val="center"/>
          </w:tcPr>
          <w:p w14:paraId="6152BAF1">
            <w:pPr>
              <w:bidi w:val="0"/>
              <w:spacing w:line="240" w:lineRule="auto"/>
              <w:jc w:val="center"/>
              <w:rPr>
                <w:sz w:val="21"/>
                <w:szCs w:val="21"/>
              </w:rPr>
            </w:pPr>
            <w:r>
              <w:rPr>
                <w:sz w:val="21"/>
                <w:szCs w:val="21"/>
              </w:rPr>
              <w:t>200</w:t>
            </w:r>
          </w:p>
        </w:tc>
        <w:tc>
          <w:tcPr>
            <w:tcW w:w="1357" w:type="pct"/>
            <w:vMerge w:val="continue"/>
            <w:vAlign w:val="center"/>
          </w:tcPr>
          <w:p w14:paraId="1D23C35D">
            <w:pPr>
              <w:bidi w:val="0"/>
              <w:spacing w:line="240" w:lineRule="auto"/>
              <w:jc w:val="center"/>
              <w:rPr>
                <w:sz w:val="21"/>
                <w:szCs w:val="21"/>
              </w:rPr>
            </w:pPr>
          </w:p>
        </w:tc>
      </w:tr>
      <w:tr w14:paraId="784C5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238" w:type="pct"/>
            <w:vMerge w:val="restart"/>
            <w:vAlign w:val="center"/>
          </w:tcPr>
          <w:p w14:paraId="577DABB5">
            <w:pPr>
              <w:bidi w:val="0"/>
              <w:spacing w:line="240" w:lineRule="auto"/>
              <w:jc w:val="center"/>
              <w:rPr>
                <w:sz w:val="21"/>
                <w:szCs w:val="21"/>
              </w:rPr>
            </w:pPr>
            <w:r>
              <w:rPr>
                <w:rFonts w:hint="eastAsia"/>
                <w:sz w:val="21"/>
                <w:szCs w:val="21"/>
              </w:rPr>
              <w:t>8</w:t>
            </w:r>
          </w:p>
        </w:tc>
        <w:tc>
          <w:tcPr>
            <w:tcW w:w="591" w:type="pct"/>
            <w:vMerge w:val="restart"/>
            <w:vAlign w:val="center"/>
          </w:tcPr>
          <w:p w14:paraId="424BF4EB">
            <w:pPr>
              <w:bidi w:val="0"/>
              <w:spacing w:line="240" w:lineRule="auto"/>
              <w:jc w:val="center"/>
              <w:rPr>
                <w:sz w:val="21"/>
                <w:szCs w:val="21"/>
              </w:rPr>
            </w:pPr>
            <w:r>
              <w:rPr>
                <w:sz w:val="21"/>
                <w:szCs w:val="21"/>
              </w:rPr>
              <w:t>CO</w:t>
            </w:r>
          </w:p>
        </w:tc>
        <w:tc>
          <w:tcPr>
            <w:tcW w:w="728" w:type="pct"/>
            <w:vAlign w:val="center"/>
          </w:tcPr>
          <w:p w14:paraId="720FBB67">
            <w:pPr>
              <w:bidi w:val="0"/>
              <w:spacing w:line="240" w:lineRule="auto"/>
              <w:jc w:val="center"/>
              <w:rPr>
                <w:sz w:val="21"/>
                <w:szCs w:val="21"/>
              </w:rPr>
            </w:pPr>
            <w:r>
              <w:rPr>
                <w:sz w:val="21"/>
                <w:szCs w:val="21"/>
              </w:rPr>
              <w:t>1小时平均</w:t>
            </w:r>
          </w:p>
        </w:tc>
        <w:tc>
          <w:tcPr>
            <w:tcW w:w="1070" w:type="pct"/>
            <w:vAlign w:val="center"/>
          </w:tcPr>
          <w:p w14:paraId="330D4A9C">
            <w:pPr>
              <w:bidi w:val="0"/>
              <w:spacing w:line="240" w:lineRule="auto"/>
              <w:jc w:val="center"/>
              <w:rPr>
                <w:sz w:val="21"/>
                <w:szCs w:val="21"/>
              </w:rPr>
            </w:pPr>
            <w:r>
              <w:rPr>
                <w:sz w:val="21"/>
                <w:szCs w:val="21"/>
              </w:rPr>
              <w:t>10</w:t>
            </w:r>
            <w:r>
              <w:rPr>
                <w:rFonts w:hint="eastAsia"/>
                <w:sz w:val="21"/>
                <w:szCs w:val="21"/>
              </w:rPr>
              <w:t>000</w:t>
            </w:r>
          </w:p>
        </w:tc>
        <w:tc>
          <w:tcPr>
            <w:tcW w:w="1012" w:type="pct"/>
            <w:vAlign w:val="center"/>
          </w:tcPr>
          <w:p w14:paraId="4BD0ACE6">
            <w:pPr>
              <w:bidi w:val="0"/>
              <w:spacing w:line="240" w:lineRule="auto"/>
              <w:jc w:val="center"/>
              <w:rPr>
                <w:sz w:val="21"/>
                <w:szCs w:val="21"/>
              </w:rPr>
            </w:pPr>
            <w:r>
              <w:rPr>
                <w:sz w:val="21"/>
                <w:szCs w:val="21"/>
              </w:rPr>
              <w:t>10</w:t>
            </w:r>
            <w:r>
              <w:rPr>
                <w:rFonts w:hint="eastAsia"/>
                <w:sz w:val="21"/>
                <w:szCs w:val="21"/>
              </w:rPr>
              <w:t>000</w:t>
            </w:r>
          </w:p>
        </w:tc>
        <w:tc>
          <w:tcPr>
            <w:tcW w:w="1357" w:type="pct"/>
            <w:vMerge w:val="continue"/>
            <w:vAlign w:val="center"/>
          </w:tcPr>
          <w:p w14:paraId="4788A49E">
            <w:pPr>
              <w:bidi w:val="0"/>
              <w:spacing w:line="240" w:lineRule="auto"/>
              <w:jc w:val="center"/>
              <w:rPr>
                <w:sz w:val="21"/>
                <w:szCs w:val="21"/>
              </w:rPr>
            </w:pPr>
          </w:p>
        </w:tc>
      </w:tr>
      <w:tr w14:paraId="1B5A9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vMerge w:val="continue"/>
            <w:vAlign w:val="center"/>
          </w:tcPr>
          <w:p w14:paraId="578AB3DC">
            <w:pPr>
              <w:bidi w:val="0"/>
              <w:spacing w:line="240" w:lineRule="auto"/>
              <w:jc w:val="center"/>
              <w:rPr>
                <w:sz w:val="21"/>
                <w:szCs w:val="21"/>
              </w:rPr>
            </w:pPr>
          </w:p>
        </w:tc>
        <w:tc>
          <w:tcPr>
            <w:tcW w:w="591" w:type="pct"/>
            <w:vMerge w:val="continue"/>
            <w:vAlign w:val="center"/>
          </w:tcPr>
          <w:p w14:paraId="4AD8FE85">
            <w:pPr>
              <w:bidi w:val="0"/>
              <w:spacing w:line="240" w:lineRule="auto"/>
              <w:jc w:val="center"/>
              <w:rPr>
                <w:sz w:val="21"/>
                <w:szCs w:val="21"/>
              </w:rPr>
            </w:pPr>
          </w:p>
        </w:tc>
        <w:tc>
          <w:tcPr>
            <w:tcW w:w="728" w:type="pct"/>
            <w:vAlign w:val="center"/>
          </w:tcPr>
          <w:p w14:paraId="48C85BC8">
            <w:pPr>
              <w:bidi w:val="0"/>
              <w:spacing w:line="240" w:lineRule="auto"/>
              <w:jc w:val="center"/>
              <w:rPr>
                <w:sz w:val="21"/>
                <w:szCs w:val="21"/>
              </w:rPr>
            </w:pPr>
            <w:r>
              <w:rPr>
                <w:sz w:val="21"/>
                <w:szCs w:val="21"/>
              </w:rPr>
              <w:t>日平均</w:t>
            </w:r>
          </w:p>
        </w:tc>
        <w:tc>
          <w:tcPr>
            <w:tcW w:w="1070" w:type="pct"/>
            <w:vAlign w:val="center"/>
          </w:tcPr>
          <w:p w14:paraId="247ED5A3">
            <w:pPr>
              <w:bidi w:val="0"/>
              <w:spacing w:line="240" w:lineRule="auto"/>
              <w:jc w:val="center"/>
              <w:rPr>
                <w:sz w:val="21"/>
                <w:szCs w:val="21"/>
              </w:rPr>
            </w:pPr>
            <w:r>
              <w:rPr>
                <w:sz w:val="21"/>
                <w:szCs w:val="21"/>
              </w:rPr>
              <w:t>4</w:t>
            </w:r>
            <w:r>
              <w:rPr>
                <w:rFonts w:hint="eastAsia"/>
                <w:sz w:val="21"/>
                <w:szCs w:val="21"/>
              </w:rPr>
              <w:t>000</w:t>
            </w:r>
          </w:p>
        </w:tc>
        <w:tc>
          <w:tcPr>
            <w:tcW w:w="1012" w:type="pct"/>
            <w:vAlign w:val="center"/>
          </w:tcPr>
          <w:p w14:paraId="7FEBA43C">
            <w:pPr>
              <w:bidi w:val="0"/>
              <w:spacing w:line="240" w:lineRule="auto"/>
              <w:jc w:val="center"/>
              <w:rPr>
                <w:sz w:val="21"/>
                <w:szCs w:val="21"/>
              </w:rPr>
            </w:pPr>
            <w:r>
              <w:rPr>
                <w:sz w:val="21"/>
                <w:szCs w:val="21"/>
              </w:rPr>
              <w:t>4</w:t>
            </w:r>
            <w:r>
              <w:rPr>
                <w:rFonts w:hint="eastAsia"/>
                <w:sz w:val="21"/>
                <w:szCs w:val="21"/>
              </w:rPr>
              <w:t>000</w:t>
            </w:r>
          </w:p>
        </w:tc>
        <w:tc>
          <w:tcPr>
            <w:tcW w:w="1357" w:type="pct"/>
            <w:vMerge w:val="continue"/>
            <w:vAlign w:val="center"/>
          </w:tcPr>
          <w:p w14:paraId="02395C09">
            <w:pPr>
              <w:bidi w:val="0"/>
              <w:spacing w:line="240" w:lineRule="auto"/>
              <w:jc w:val="center"/>
              <w:rPr>
                <w:sz w:val="21"/>
                <w:szCs w:val="21"/>
              </w:rPr>
            </w:pPr>
          </w:p>
        </w:tc>
      </w:tr>
      <w:tr w14:paraId="1625A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238" w:type="pct"/>
            <w:shd w:val="clear" w:color="auto" w:fill="auto"/>
            <w:vAlign w:val="center"/>
          </w:tcPr>
          <w:p w14:paraId="45A25E3A">
            <w:pPr>
              <w:bidi w:val="0"/>
              <w:spacing w:line="240" w:lineRule="auto"/>
              <w:jc w:val="center"/>
              <w:rPr>
                <w:rFonts w:hint="default"/>
                <w:sz w:val="21"/>
                <w:szCs w:val="21"/>
                <w:lang w:val="en-US" w:eastAsia="zh-CN"/>
              </w:rPr>
            </w:pPr>
            <w:r>
              <w:rPr>
                <w:rFonts w:hint="eastAsia"/>
                <w:sz w:val="21"/>
                <w:szCs w:val="21"/>
                <w:lang w:val="en-US" w:eastAsia="zh-CN"/>
              </w:rPr>
              <w:t>9</w:t>
            </w:r>
          </w:p>
        </w:tc>
        <w:tc>
          <w:tcPr>
            <w:tcW w:w="591" w:type="pct"/>
            <w:vAlign w:val="center"/>
          </w:tcPr>
          <w:p w14:paraId="159C290A">
            <w:pPr>
              <w:bidi w:val="0"/>
              <w:spacing w:line="240" w:lineRule="auto"/>
              <w:jc w:val="center"/>
              <w:rPr>
                <w:sz w:val="21"/>
                <w:szCs w:val="21"/>
              </w:rPr>
            </w:pPr>
            <w:r>
              <w:rPr>
                <w:sz w:val="21"/>
                <w:szCs w:val="21"/>
              </w:rPr>
              <w:t>非甲烷总烃</w:t>
            </w:r>
          </w:p>
        </w:tc>
        <w:tc>
          <w:tcPr>
            <w:tcW w:w="728" w:type="pct"/>
            <w:vAlign w:val="center"/>
          </w:tcPr>
          <w:p w14:paraId="38A13543">
            <w:pPr>
              <w:bidi w:val="0"/>
              <w:spacing w:line="240" w:lineRule="auto"/>
              <w:jc w:val="center"/>
              <w:rPr>
                <w:sz w:val="21"/>
                <w:szCs w:val="21"/>
              </w:rPr>
            </w:pPr>
            <w:r>
              <w:rPr>
                <w:sz w:val="21"/>
                <w:szCs w:val="21"/>
              </w:rPr>
              <w:t>1小时平均</w:t>
            </w:r>
          </w:p>
        </w:tc>
        <w:tc>
          <w:tcPr>
            <w:tcW w:w="2083" w:type="pct"/>
            <w:gridSpan w:val="2"/>
            <w:vAlign w:val="center"/>
          </w:tcPr>
          <w:p w14:paraId="17D0F3E9">
            <w:pPr>
              <w:bidi w:val="0"/>
              <w:spacing w:line="240" w:lineRule="auto"/>
              <w:jc w:val="center"/>
              <w:rPr>
                <w:sz w:val="21"/>
                <w:szCs w:val="21"/>
              </w:rPr>
            </w:pPr>
            <w:r>
              <w:rPr>
                <w:sz w:val="21"/>
                <w:szCs w:val="21"/>
              </w:rPr>
              <w:t>2000</w:t>
            </w:r>
          </w:p>
        </w:tc>
        <w:tc>
          <w:tcPr>
            <w:tcW w:w="1357" w:type="pct"/>
            <w:vAlign w:val="center"/>
          </w:tcPr>
          <w:p w14:paraId="59318412">
            <w:pPr>
              <w:bidi w:val="0"/>
              <w:spacing w:line="240" w:lineRule="auto"/>
              <w:jc w:val="center"/>
              <w:rPr>
                <w:sz w:val="21"/>
                <w:szCs w:val="21"/>
              </w:rPr>
            </w:pPr>
            <w:r>
              <w:rPr>
                <w:sz w:val="21"/>
                <w:szCs w:val="21"/>
              </w:rPr>
              <w:t>《大气污染物综合排放标准详解》</w:t>
            </w:r>
          </w:p>
        </w:tc>
      </w:tr>
      <w:tr w14:paraId="161D9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5000" w:type="pct"/>
            <w:gridSpan w:val="6"/>
            <w:vAlign w:val="center"/>
          </w:tcPr>
          <w:p w14:paraId="021B5C7E">
            <w:pPr>
              <w:bidi w:val="0"/>
              <w:spacing w:line="240" w:lineRule="auto"/>
              <w:jc w:val="center"/>
              <w:rPr>
                <w:rFonts w:hint="default"/>
                <w:sz w:val="21"/>
                <w:szCs w:val="21"/>
                <w:lang w:val="en-US" w:eastAsia="zh-CN"/>
              </w:rPr>
            </w:pPr>
            <w:r>
              <w:rPr>
                <w:rFonts w:hint="eastAsia"/>
                <w:sz w:val="21"/>
                <w:szCs w:val="21"/>
                <w:lang w:val="en-US" w:eastAsia="zh-CN"/>
              </w:rPr>
              <w:t>注：2030年12月31日之前执行过渡阶段浓度限值；2030年12月31日之后执行浓度限值</w:t>
            </w:r>
          </w:p>
        </w:tc>
      </w:tr>
    </w:tbl>
    <w:p w14:paraId="3AE7D1EC">
      <w:pPr>
        <w:bidi w:val="0"/>
        <w:ind w:firstLine="480" w:firstLineChars="200"/>
        <w:rPr>
          <w:color w:val="auto"/>
        </w:rPr>
      </w:pPr>
      <w:r>
        <w:rPr>
          <w:color w:val="auto"/>
        </w:rPr>
        <w:t>（2）地表水环境</w:t>
      </w:r>
    </w:p>
    <w:p w14:paraId="36951C19">
      <w:pPr>
        <w:bidi w:val="0"/>
        <w:ind w:firstLine="480" w:firstLineChars="200"/>
        <w:rPr>
          <w:color w:val="auto"/>
        </w:rPr>
      </w:pPr>
      <w:r>
        <w:rPr>
          <w:color w:val="auto"/>
        </w:rPr>
        <w:t>本项目涉及地表水为店埠河、南淝河，店埠河、南淝河环境质量执行《地表水环境质量标准》（GB3838-2002）中</w:t>
      </w:r>
      <w:r>
        <w:rPr>
          <w:rFonts w:hint="eastAsia"/>
          <w:color w:val="auto"/>
          <w:lang w:eastAsia="zh-CN"/>
        </w:rPr>
        <w:t>Ⅳ类</w:t>
      </w:r>
      <w:r>
        <w:rPr>
          <w:color w:val="auto"/>
        </w:rPr>
        <w:t>水质标准。具体标准限值详见下表：</w:t>
      </w:r>
    </w:p>
    <w:p w14:paraId="08E64E10">
      <w:pPr>
        <w:bidi w:val="0"/>
        <w:jc w:val="center"/>
        <w:rPr>
          <w:rFonts w:ascii="Arial" w:hAnsi="Arial" w:eastAsia="Arial" w:cs="Arial"/>
          <w:color w:val="auto"/>
          <w:sz w:val="2"/>
          <w:szCs w:val="21"/>
        </w:rPr>
      </w:pPr>
      <w:r>
        <w:rPr>
          <w:b/>
          <w:bCs/>
        </w:rPr>
        <w:t>表2.3-2</w:t>
      </w:r>
      <w:r>
        <w:rPr>
          <w:rFonts w:hint="eastAsia"/>
          <w:b/>
          <w:bCs/>
          <w:lang w:val="en-US" w:eastAsia="zh-CN"/>
        </w:rPr>
        <w:t xml:space="preserve"> </w:t>
      </w:r>
      <w:r>
        <w:rPr>
          <w:b/>
          <w:bCs/>
        </w:rPr>
        <w:t>地表水环境质量标准单位：mg/L</w:t>
      </w:r>
    </w:p>
    <w:tbl>
      <w:tblPr>
        <w:tblStyle w:val="25"/>
        <w:tblW w:w="5003"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44"/>
        <w:gridCol w:w="757"/>
        <w:gridCol w:w="769"/>
        <w:gridCol w:w="832"/>
        <w:gridCol w:w="755"/>
        <w:gridCol w:w="847"/>
        <w:gridCol w:w="616"/>
        <w:gridCol w:w="663"/>
        <w:gridCol w:w="955"/>
        <w:gridCol w:w="928"/>
      </w:tblGrid>
      <w:tr w14:paraId="17B506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243" w:type="dxa"/>
            <w:vAlign w:val="center"/>
          </w:tcPr>
          <w:p w14:paraId="2EF63917">
            <w:pPr>
              <w:pStyle w:val="30"/>
              <w:widowControl w:val="0"/>
              <w:bidi w:val="0"/>
              <w:rPr>
                <w:b/>
                <w:bCs/>
                <w:color w:val="auto"/>
                <w:lang w:val="en-US" w:eastAsia="en-US"/>
              </w:rPr>
            </w:pPr>
            <w:r>
              <w:rPr>
                <w:b/>
                <w:bCs/>
                <w:color w:val="auto"/>
                <w:lang w:val="en-US" w:eastAsia="en-US"/>
              </w:rPr>
              <w:t>评价标准</w:t>
            </w:r>
          </w:p>
        </w:tc>
        <w:tc>
          <w:tcPr>
            <w:tcW w:w="757" w:type="dxa"/>
            <w:vAlign w:val="center"/>
          </w:tcPr>
          <w:p w14:paraId="23661A13">
            <w:pPr>
              <w:pStyle w:val="30"/>
              <w:widowControl w:val="0"/>
              <w:bidi w:val="0"/>
              <w:rPr>
                <w:b/>
                <w:bCs/>
                <w:color w:val="auto"/>
                <w:lang w:val="en-US" w:eastAsia="en-US"/>
              </w:rPr>
            </w:pPr>
            <w:r>
              <w:rPr>
                <w:b/>
                <w:bCs/>
                <w:color w:val="auto"/>
                <w:lang w:val="en-US" w:eastAsia="en-US"/>
              </w:rPr>
              <w:t>pH</w:t>
            </w:r>
          </w:p>
        </w:tc>
        <w:tc>
          <w:tcPr>
            <w:tcW w:w="769" w:type="dxa"/>
            <w:vAlign w:val="center"/>
          </w:tcPr>
          <w:p w14:paraId="2044A391">
            <w:pPr>
              <w:pStyle w:val="30"/>
              <w:widowControl w:val="0"/>
              <w:bidi w:val="0"/>
              <w:rPr>
                <w:b/>
                <w:bCs/>
                <w:color w:val="auto"/>
                <w:lang w:val="en-US" w:eastAsia="en-US"/>
              </w:rPr>
            </w:pPr>
            <w:r>
              <w:rPr>
                <w:b/>
                <w:bCs/>
                <w:color w:val="auto"/>
                <w:lang w:val="en-US" w:eastAsia="en-US"/>
              </w:rPr>
              <w:t>COD</w:t>
            </w:r>
          </w:p>
        </w:tc>
        <w:tc>
          <w:tcPr>
            <w:tcW w:w="831" w:type="dxa"/>
            <w:vAlign w:val="center"/>
          </w:tcPr>
          <w:p w14:paraId="714EB29B">
            <w:pPr>
              <w:pStyle w:val="30"/>
              <w:widowControl w:val="0"/>
              <w:bidi w:val="0"/>
              <w:rPr>
                <w:b/>
                <w:bCs/>
                <w:color w:val="auto"/>
                <w:lang w:val="en-US" w:eastAsia="en-US"/>
              </w:rPr>
            </w:pPr>
            <w:r>
              <w:rPr>
                <w:b/>
                <w:bCs/>
                <w:color w:val="auto"/>
                <w:lang w:val="en-US" w:eastAsia="en-US"/>
              </w:rPr>
              <w:t>BO</w:t>
            </w:r>
            <w:r>
              <w:rPr>
                <w:b/>
                <w:bCs/>
                <w:color w:val="auto"/>
                <w:vertAlign w:val="baseline"/>
                <w:lang w:val="en-US" w:eastAsia="en-US"/>
              </w:rPr>
              <w:t>D</w:t>
            </w:r>
            <w:r>
              <w:rPr>
                <w:b/>
                <w:bCs/>
                <w:color w:val="auto"/>
                <w:vertAlign w:val="subscript"/>
                <w:lang w:val="en-US" w:eastAsia="en-US"/>
              </w:rPr>
              <w:t>5</w:t>
            </w:r>
          </w:p>
        </w:tc>
        <w:tc>
          <w:tcPr>
            <w:tcW w:w="755" w:type="dxa"/>
            <w:vAlign w:val="center"/>
          </w:tcPr>
          <w:p w14:paraId="1478EA99">
            <w:pPr>
              <w:pStyle w:val="30"/>
              <w:widowControl w:val="0"/>
              <w:bidi w:val="0"/>
              <w:rPr>
                <w:b/>
                <w:bCs/>
                <w:color w:val="auto"/>
                <w:lang w:val="en-US" w:eastAsia="en-US"/>
              </w:rPr>
            </w:pPr>
            <w:r>
              <w:rPr>
                <w:b/>
                <w:bCs/>
                <w:color w:val="auto"/>
                <w:lang w:val="en-US" w:eastAsia="en-US"/>
              </w:rPr>
              <w:t>SS</w:t>
            </w:r>
          </w:p>
        </w:tc>
        <w:tc>
          <w:tcPr>
            <w:tcW w:w="846" w:type="dxa"/>
            <w:vAlign w:val="center"/>
          </w:tcPr>
          <w:p w14:paraId="0B35FC97">
            <w:pPr>
              <w:pStyle w:val="30"/>
              <w:widowControl w:val="0"/>
              <w:bidi w:val="0"/>
              <w:rPr>
                <w:b/>
                <w:bCs/>
                <w:color w:val="auto"/>
                <w:lang w:val="en-US" w:eastAsia="en-US"/>
              </w:rPr>
            </w:pPr>
            <w:r>
              <w:rPr>
                <w:b/>
                <w:bCs/>
                <w:color w:val="auto"/>
                <w:lang w:val="en-US" w:eastAsia="en-US"/>
              </w:rPr>
              <w:t>NH</w:t>
            </w:r>
            <w:r>
              <w:rPr>
                <w:b/>
                <w:bCs/>
                <w:color w:val="auto"/>
                <w:vertAlign w:val="subscript"/>
                <w:lang w:val="en-US" w:eastAsia="en-US"/>
              </w:rPr>
              <w:t>3</w:t>
            </w:r>
            <w:r>
              <w:rPr>
                <w:b/>
                <w:bCs/>
                <w:color w:val="auto"/>
                <w:lang w:val="en-US" w:eastAsia="en-US"/>
              </w:rPr>
              <w:t>-N</w:t>
            </w:r>
          </w:p>
        </w:tc>
        <w:tc>
          <w:tcPr>
            <w:tcW w:w="616" w:type="dxa"/>
            <w:vAlign w:val="center"/>
          </w:tcPr>
          <w:p w14:paraId="09E64959">
            <w:pPr>
              <w:pStyle w:val="30"/>
              <w:widowControl w:val="0"/>
              <w:bidi w:val="0"/>
              <w:rPr>
                <w:b/>
                <w:bCs/>
                <w:color w:val="auto"/>
                <w:lang w:val="en-US" w:eastAsia="en-US"/>
              </w:rPr>
            </w:pPr>
            <w:r>
              <w:rPr>
                <w:b/>
                <w:bCs/>
                <w:color w:val="auto"/>
                <w:lang w:val="en-US" w:eastAsia="en-US"/>
              </w:rPr>
              <w:t>TP</w:t>
            </w:r>
          </w:p>
        </w:tc>
        <w:tc>
          <w:tcPr>
            <w:tcW w:w="663" w:type="dxa"/>
            <w:vAlign w:val="center"/>
          </w:tcPr>
          <w:p w14:paraId="567A412A">
            <w:pPr>
              <w:pStyle w:val="30"/>
              <w:widowControl w:val="0"/>
              <w:bidi w:val="0"/>
              <w:rPr>
                <w:b/>
                <w:bCs/>
                <w:color w:val="auto"/>
                <w:lang w:val="en-US" w:eastAsia="en-US"/>
              </w:rPr>
            </w:pPr>
            <w:r>
              <w:rPr>
                <w:b/>
                <w:bCs/>
                <w:color w:val="auto"/>
                <w:lang w:val="en-US" w:eastAsia="en-US"/>
              </w:rPr>
              <w:t>TN</w:t>
            </w:r>
          </w:p>
        </w:tc>
        <w:tc>
          <w:tcPr>
            <w:tcW w:w="954" w:type="dxa"/>
            <w:vAlign w:val="center"/>
          </w:tcPr>
          <w:p w14:paraId="75FE6F99">
            <w:pPr>
              <w:pStyle w:val="30"/>
              <w:widowControl w:val="0"/>
              <w:bidi w:val="0"/>
              <w:rPr>
                <w:b/>
                <w:bCs/>
                <w:color w:val="auto"/>
                <w:lang w:val="en-US" w:eastAsia="en-US"/>
              </w:rPr>
            </w:pPr>
            <w:r>
              <w:rPr>
                <w:b/>
                <w:bCs/>
                <w:color w:val="auto"/>
                <w:lang w:val="en-US" w:eastAsia="en-US"/>
              </w:rPr>
              <w:t>氟化物</w:t>
            </w:r>
          </w:p>
        </w:tc>
        <w:tc>
          <w:tcPr>
            <w:tcW w:w="927" w:type="dxa"/>
            <w:vAlign w:val="center"/>
          </w:tcPr>
          <w:p w14:paraId="2753F780">
            <w:pPr>
              <w:pStyle w:val="30"/>
              <w:widowControl w:val="0"/>
              <w:bidi w:val="0"/>
              <w:rPr>
                <w:b/>
                <w:bCs/>
                <w:color w:val="auto"/>
                <w:lang w:val="en-US" w:eastAsia="en-US"/>
              </w:rPr>
            </w:pPr>
            <w:r>
              <w:rPr>
                <w:b/>
                <w:bCs/>
                <w:color w:val="auto"/>
                <w:lang w:val="en-US" w:eastAsia="en-US"/>
              </w:rPr>
              <w:t>石油类</w:t>
            </w:r>
          </w:p>
        </w:tc>
      </w:tr>
      <w:tr w14:paraId="48B7D2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2243" w:type="dxa"/>
            <w:vAlign w:val="center"/>
          </w:tcPr>
          <w:p w14:paraId="517FC0E2">
            <w:pPr>
              <w:pStyle w:val="30"/>
              <w:widowControl w:val="0"/>
              <w:bidi w:val="0"/>
              <w:rPr>
                <w:color w:val="auto"/>
                <w:lang w:val="en-US" w:eastAsia="en-US"/>
              </w:rPr>
            </w:pPr>
            <w:r>
              <w:rPr>
                <w:color w:val="auto"/>
                <w:lang w:val="en-US" w:eastAsia="en-US"/>
              </w:rPr>
              <w:t>GB3838-2002中Ⅳ类</w:t>
            </w:r>
          </w:p>
          <w:p w14:paraId="3C6860A0">
            <w:pPr>
              <w:pStyle w:val="30"/>
              <w:widowControl w:val="0"/>
              <w:bidi w:val="0"/>
              <w:rPr>
                <w:color w:val="auto"/>
                <w:lang w:val="en-US" w:eastAsia="en-US"/>
              </w:rPr>
            </w:pPr>
            <w:r>
              <w:rPr>
                <w:color w:val="auto"/>
                <w:lang w:val="en-US" w:eastAsia="en-US"/>
              </w:rPr>
              <w:t>标准</w:t>
            </w:r>
          </w:p>
        </w:tc>
        <w:tc>
          <w:tcPr>
            <w:tcW w:w="757" w:type="dxa"/>
            <w:vAlign w:val="center"/>
          </w:tcPr>
          <w:p w14:paraId="5868B9EA">
            <w:pPr>
              <w:pStyle w:val="30"/>
              <w:widowControl w:val="0"/>
              <w:bidi w:val="0"/>
              <w:rPr>
                <w:color w:val="auto"/>
                <w:lang w:val="en-US" w:eastAsia="en-US"/>
              </w:rPr>
            </w:pPr>
            <w:r>
              <w:rPr>
                <w:color w:val="auto"/>
                <w:lang w:val="en-US" w:eastAsia="en-US"/>
              </w:rPr>
              <w:t>6</w:t>
            </w:r>
            <w:r>
              <w:rPr>
                <w:rFonts w:hint="eastAsia"/>
                <w:color w:val="auto"/>
                <w:lang w:val="en-US" w:eastAsia="zh-CN"/>
              </w:rPr>
              <w:t>~</w:t>
            </w:r>
            <w:r>
              <w:rPr>
                <w:color w:val="auto"/>
                <w:lang w:val="en-US" w:eastAsia="en-US"/>
              </w:rPr>
              <w:t>9</w:t>
            </w:r>
          </w:p>
        </w:tc>
        <w:tc>
          <w:tcPr>
            <w:tcW w:w="769" w:type="dxa"/>
            <w:vAlign w:val="center"/>
          </w:tcPr>
          <w:p w14:paraId="36ACC86F">
            <w:pPr>
              <w:pStyle w:val="30"/>
              <w:widowControl w:val="0"/>
              <w:bidi w:val="0"/>
              <w:rPr>
                <w:color w:val="auto"/>
                <w:lang w:val="en-US" w:eastAsia="en-US"/>
              </w:rPr>
            </w:pPr>
            <w:r>
              <w:rPr>
                <w:color w:val="auto"/>
                <w:lang w:val="en-US" w:eastAsia="en-US"/>
              </w:rPr>
              <w:t>≤30</w:t>
            </w:r>
          </w:p>
        </w:tc>
        <w:tc>
          <w:tcPr>
            <w:tcW w:w="831" w:type="dxa"/>
            <w:vAlign w:val="center"/>
          </w:tcPr>
          <w:p w14:paraId="3425839C">
            <w:pPr>
              <w:pStyle w:val="30"/>
              <w:widowControl w:val="0"/>
              <w:bidi w:val="0"/>
              <w:rPr>
                <w:color w:val="auto"/>
                <w:lang w:val="en-US" w:eastAsia="en-US"/>
              </w:rPr>
            </w:pPr>
            <w:r>
              <w:rPr>
                <w:color w:val="auto"/>
                <w:lang w:val="en-US" w:eastAsia="en-US"/>
              </w:rPr>
              <w:t>≤6</w:t>
            </w:r>
          </w:p>
        </w:tc>
        <w:tc>
          <w:tcPr>
            <w:tcW w:w="755" w:type="dxa"/>
            <w:vAlign w:val="center"/>
          </w:tcPr>
          <w:p w14:paraId="5381DE80">
            <w:pPr>
              <w:pStyle w:val="30"/>
              <w:widowControl w:val="0"/>
              <w:bidi w:val="0"/>
              <w:rPr>
                <w:color w:val="auto"/>
                <w:lang w:val="en-US" w:eastAsia="en-US"/>
              </w:rPr>
            </w:pPr>
            <w:r>
              <w:rPr>
                <w:color w:val="auto"/>
                <w:lang w:val="en-US" w:eastAsia="en-US"/>
              </w:rPr>
              <w:t>≤60</w:t>
            </w:r>
          </w:p>
        </w:tc>
        <w:tc>
          <w:tcPr>
            <w:tcW w:w="846" w:type="dxa"/>
            <w:vAlign w:val="center"/>
          </w:tcPr>
          <w:p w14:paraId="346B738E">
            <w:pPr>
              <w:pStyle w:val="30"/>
              <w:widowControl w:val="0"/>
              <w:bidi w:val="0"/>
              <w:rPr>
                <w:color w:val="auto"/>
                <w:lang w:val="en-US" w:eastAsia="en-US"/>
              </w:rPr>
            </w:pPr>
            <w:r>
              <w:rPr>
                <w:color w:val="auto"/>
                <w:lang w:val="en-US" w:eastAsia="en-US"/>
              </w:rPr>
              <w:t>≤1.5</w:t>
            </w:r>
          </w:p>
        </w:tc>
        <w:tc>
          <w:tcPr>
            <w:tcW w:w="616" w:type="dxa"/>
            <w:vAlign w:val="center"/>
          </w:tcPr>
          <w:p w14:paraId="3FF6CEF7">
            <w:pPr>
              <w:pStyle w:val="30"/>
              <w:widowControl w:val="0"/>
              <w:bidi w:val="0"/>
              <w:rPr>
                <w:color w:val="auto"/>
                <w:lang w:val="en-US" w:eastAsia="en-US"/>
              </w:rPr>
            </w:pPr>
            <w:r>
              <w:rPr>
                <w:color w:val="auto"/>
                <w:lang w:val="en-US" w:eastAsia="en-US"/>
              </w:rPr>
              <w:t>≤0.3</w:t>
            </w:r>
          </w:p>
        </w:tc>
        <w:tc>
          <w:tcPr>
            <w:tcW w:w="663" w:type="dxa"/>
            <w:vAlign w:val="center"/>
          </w:tcPr>
          <w:p w14:paraId="5BA475C3">
            <w:pPr>
              <w:pStyle w:val="30"/>
              <w:widowControl w:val="0"/>
              <w:bidi w:val="0"/>
              <w:rPr>
                <w:color w:val="auto"/>
                <w:lang w:val="en-US" w:eastAsia="en-US"/>
              </w:rPr>
            </w:pPr>
            <w:r>
              <w:rPr>
                <w:color w:val="auto"/>
                <w:lang w:val="en-US" w:eastAsia="en-US"/>
              </w:rPr>
              <w:t>≤1.5</w:t>
            </w:r>
          </w:p>
        </w:tc>
        <w:tc>
          <w:tcPr>
            <w:tcW w:w="954" w:type="dxa"/>
            <w:vAlign w:val="center"/>
          </w:tcPr>
          <w:p w14:paraId="5FB4DD73">
            <w:pPr>
              <w:pStyle w:val="30"/>
              <w:widowControl w:val="0"/>
              <w:bidi w:val="0"/>
              <w:rPr>
                <w:color w:val="auto"/>
                <w:lang w:val="en-US" w:eastAsia="en-US"/>
              </w:rPr>
            </w:pPr>
            <w:r>
              <w:rPr>
                <w:color w:val="auto"/>
                <w:lang w:val="en-US" w:eastAsia="en-US"/>
              </w:rPr>
              <w:t>≤1.5</w:t>
            </w:r>
          </w:p>
        </w:tc>
        <w:tc>
          <w:tcPr>
            <w:tcW w:w="927" w:type="dxa"/>
            <w:vAlign w:val="center"/>
          </w:tcPr>
          <w:p w14:paraId="77B86976">
            <w:pPr>
              <w:pStyle w:val="30"/>
              <w:widowControl w:val="0"/>
              <w:bidi w:val="0"/>
              <w:rPr>
                <w:color w:val="auto"/>
                <w:lang w:val="en-US" w:eastAsia="en-US"/>
              </w:rPr>
            </w:pPr>
            <w:r>
              <w:rPr>
                <w:color w:val="auto"/>
                <w:lang w:val="en-US" w:eastAsia="en-US"/>
              </w:rPr>
              <w:t>≤0.5</w:t>
            </w:r>
          </w:p>
        </w:tc>
      </w:tr>
    </w:tbl>
    <w:p w14:paraId="4FF5039D">
      <w:pPr>
        <w:bidi w:val="0"/>
        <w:ind w:firstLine="480" w:firstLineChars="200"/>
        <w:rPr>
          <w:color w:val="auto"/>
        </w:rPr>
      </w:pPr>
      <w:r>
        <w:rPr>
          <w:color w:val="auto"/>
        </w:rPr>
        <w:t>（3）声环境</w:t>
      </w:r>
    </w:p>
    <w:p w14:paraId="01F52B56">
      <w:pPr>
        <w:bidi w:val="0"/>
        <w:ind w:firstLine="480" w:firstLineChars="200"/>
        <w:rPr>
          <w:color w:val="auto"/>
        </w:rPr>
      </w:pPr>
      <w:r>
        <w:rPr>
          <w:color w:val="auto"/>
        </w:rPr>
        <w:t>项目区声环境质量执行《声环境质量标准》（GB3096-2008）中3类标准，标准值详见下表：</w:t>
      </w:r>
    </w:p>
    <w:p w14:paraId="6F69D3D5">
      <w:pPr>
        <w:bidi w:val="0"/>
        <w:jc w:val="center"/>
        <w:rPr>
          <w:b/>
          <w:bCs/>
        </w:rPr>
      </w:pPr>
      <w:r>
        <w:rPr>
          <w:b/>
          <w:bCs/>
        </w:rPr>
        <w:t>表2.3-3</w:t>
      </w:r>
      <w:r>
        <w:rPr>
          <w:rFonts w:hint="eastAsia"/>
          <w:b/>
          <w:bCs/>
          <w:lang w:val="en-US" w:eastAsia="zh-CN"/>
        </w:rPr>
        <w:t xml:space="preserve"> </w:t>
      </w:r>
      <w:r>
        <w:rPr>
          <w:b/>
          <w:bCs/>
        </w:rPr>
        <w:t>声环境质量标准</w:t>
      </w:r>
    </w:p>
    <w:tbl>
      <w:tblPr>
        <w:tblStyle w:val="25"/>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433"/>
        <w:gridCol w:w="2462"/>
        <w:gridCol w:w="2466"/>
      </w:tblGrid>
      <w:tr w14:paraId="5420E7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jc w:val="center"/>
        </w:trPr>
        <w:tc>
          <w:tcPr>
            <w:tcW w:w="4346" w:type="dxa"/>
            <w:vAlign w:val="center"/>
          </w:tcPr>
          <w:p w14:paraId="2E5EABAD">
            <w:pPr>
              <w:widowControl w:val="0"/>
              <w:bidi w:val="0"/>
              <w:spacing w:line="240" w:lineRule="auto"/>
              <w:jc w:val="center"/>
              <w:rPr>
                <w:b/>
                <w:bCs/>
                <w:sz w:val="21"/>
                <w:szCs w:val="21"/>
                <w:lang w:val="en-US" w:eastAsia="en-US"/>
              </w:rPr>
            </w:pPr>
            <w:r>
              <w:rPr>
                <w:b/>
                <w:bCs/>
                <w:sz w:val="21"/>
                <w:szCs w:val="21"/>
                <w:lang w:val="en-US" w:eastAsia="en-US"/>
              </w:rPr>
              <w:t>执行标准</w:t>
            </w:r>
          </w:p>
        </w:tc>
        <w:tc>
          <w:tcPr>
            <w:tcW w:w="2414" w:type="dxa"/>
            <w:vAlign w:val="center"/>
          </w:tcPr>
          <w:p w14:paraId="4859C966">
            <w:pPr>
              <w:widowControl w:val="0"/>
              <w:bidi w:val="0"/>
              <w:spacing w:line="240" w:lineRule="auto"/>
              <w:jc w:val="center"/>
              <w:rPr>
                <w:b/>
                <w:bCs/>
                <w:sz w:val="21"/>
                <w:szCs w:val="21"/>
                <w:lang w:val="en-US" w:eastAsia="en-US"/>
              </w:rPr>
            </w:pPr>
            <w:r>
              <w:rPr>
                <w:b/>
                <w:bCs/>
                <w:sz w:val="21"/>
                <w:szCs w:val="21"/>
                <w:lang w:val="en-US" w:eastAsia="en-US"/>
              </w:rPr>
              <w:t>昼间dB（A）</w:t>
            </w:r>
          </w:p>
        </w:tc>
        <w:tc>
          <w:tcPr>
            <w:tcW w:w="2418" w:type="dxa"/>
            <w:vAlign w:val="center"/>
          </w:tcPr>
          <w:p w14:paraId="49F4B16F">
            <w:pPr>
              <w:widowControl w:val="0"/>
              <w:bidi w:val="0"/>
              <w:spacing w:line="240" w:lineRule="auto"/>
              <w:jc w:val="center"/>
              <w:rPr>
                <w:b/>
                <w:bCs/>
                <w:sz w:val="21"/>
                <w:szCs w:val="21"/>
                <w:lang w:val="en-US" w:eastAsia="en-US"/>
              </w:rPr>
            </w:pPr>
            <w:r>
              <w:rPr>
                <w:b/>
                <w:bCs/>
                <w:sz w:val="21"/>
                <w:szCs w:val="21"/>
                <w:lang w:val="en-US" w:eastAsia="en-US"/>
              </w:rPr>
              <w:t>夜间dB（A）</w:t>
            </w:r>
          </w:p>
        </w:tc>
      </w:tr>
      <w:tr w14:paraId="1ACC51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6" w:hRule="atLeast"/>
          <w:jc w:val="center"/>
        </w:trPr>
        <w:tc>
          <w:tcPr>
            <w:tcW w:w="4346" w:type="dxa"/>
            <w:vAlign w:val="center"/>
          </w:tcPr>
          <w:p w14:paraId="13EBEF0B">
            <w:pPr>
              <w:widowControl w:val="0"/>
              <w:bidi w:val="0"/>
              <w:spacing w:line="240" w:lineRule="auto"/>
              <w:jc w:val="center"/>
              <w:rPr>
                <w:sz w:val="21"/>
                <w:szCs w:val="21"/>
                <w:lang w:val="en-US" w:eastAsia="en-US"/>
              </w:rPr>
            </w:pPr>
            <w:r>
              <w:rPr>
                <w:sz w:val="21"/>
                <w:szCs w:val="21"/>
                <w:lang w:val="en-US" w:eastAsia="en-US"/>
              </w:rPr>
              <w:t>3类</w:t>
            </w:r>
          </w:p>
        </w:tc>
        <w:tc>
          <w:tcPr>
            <w:tcW w:w="2414" w:type="dxa"/>
            <w:vAlign w:val="center"/>
          </w:tcPr>
          <w:p w14:paraId="61774B7A">
            <w:pPr>
              <w:widowControl w:val="0"/>
              <w:bidi w:val="0"/>
              <w:spacing w:line="240" w:lineRule="auto"/>
              <w:jc w:val="center"/>
              <w:rPr>
                <w:sz w:val="21"/>
                <w:szCs w:val="21"/>
                <w:lang w:val="en-US" w:eastAsia="en-US"/>
              </w:rPr>
            </w:pPr>
            <w:r>
              <w:rPr>
                <w:sz w:val="21"/>
                <w:szCs w:val="21"/>
                <w:lang w:val="en-US" w:eastAsia="en-US"/>
              </w:rPr>
              <w:t>65</w:t>
            </w:r>
          </w:p>
        </w:tc>
        <w:tc>
          <w:tcPr>
            <w:tcW w:w="2418" w:type="dxa"/>
            <w:vAlign w:val="center"/>
          </w:tcPr>
          <w:p w14:paraId="2422E9A0">
            <w:pPr>
              <w:widowControl w:val="0"/>
              <w:bidi w:val="0"/>
              <w:spacing w:line="240" w:lineRule="auto"/>
              <w:jc w:val="center"/>
              <w:rPr>
                <w:sz w:val="21"/>
                <w:szCs w:val="21"/>
                <w:lang w:val="en-US" w:eastAsia="en-US"/>
              </w:rPr>
            </w:pPr>
            <w:r>
              <w:rPr>
                <w:sz w:val="21"/>
                <w:szCs w:val="21"/>
                <w:lang w:val="en-US" w:eastAsia="en-US"/>
              </w:rPr>
              <w:t>55</w:t>
            </w:r>
          </w:p>
        </w:tc>
      </w:tr>
    </w:tbl>
    <w:p w14:paraId="65772019">
      <w:pPr>
        <w:bidi w:val="0"/>
        <w:ind w:firstLine="480" w:firstLineChars="200"/>
        <w:rPr>
          <w:color w:val="auto"/>
        </w:rPr>
      </w:pPr>
      <w:r>
        <w:rPr>
          <w:color w:val="auto"/>
        </w:rPr>
        <w:t>（4）地下水环境</w:t>
      </w:r>
    </w:p>
    <w:p w14:paraId="6A020186">
      <w:pPr>
        <w:bidi w:val="0"/>
        <w:ind w:firstLine="480" w:firstLineChars="200"/>
        <w:rPr>
          <w:color w:val="auto"/>
        </w:rPr>
      </w:pPr>
      <w:r>
        <w:rPr>
          <w:color w:val="auto"/>
        </w:rPr>
        <w:t>区域地下水执行《地下水环境质量标准》（GB/T14848-2017）中Ⅲ类标准，具体标准值见</w:t>
      </w:r>
      <w:r>
        <w:rPr>
          <w:rFonts w:hint="eastAsia"/>
          <w:color w:val="auto"/>
          <w:lang w:val="en-US" w:eastAsia="zh-CN"/>
        </w:rPr>
        <w:t>下表</w:t>
      </w:r>
      <w:r>
        <w:rPr>
          <w:color w:val="auto"/>
        </w:rPr>
        <w:t>。</w:t>
      </w:r>
    </w:p>
    <w:p w14:paraId="32B5F646">
      <w:pPr>
        <w:bidi w:val="0"/>
        <w:jc w:val="center"/>
        <w:rPr>
          <w:b/>
          <w:bCs/>
        </w:rPr>
      </w:pPr>
      <w:r>
        <w:rPr>
          <w:b/>
          <w:bCs/>
        </w:rPr>
        <w:t>表2.3-4</w:t>
      </w:r>
      <w:r>
        <w:rPr>
          <w:rFonts w:hint="eastAsia"/>
          <w:b/>
          <w:bCs/>
          <w:lang w:val="en-US" w:eastAsia="zh-CN"/>
        </w:rPr>
        <w:t xml:space="preserve"> </w:t>
      </w:r>
      <w:r>
        <w:rPr>
          <w:b/>
          <w:bCs/>
        </w:rPr>
        <w:t>地下水环境质量标准单位：mg/L，pH除外</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
        <w:gridCol w:w="5041"/>
        <w:gridCol w:w="1696"/>
        <w:gridCol w:w="1894"/>
      </w:tblGrid>
      <w:tr w14:paraId="0410E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60535991">
            <w:pPr>
              <w:bidi w:val="0"/>
              <w:spacing w:line="240" w:lineRule="auto"/>
              <w:jc w:val="center"/>
              <w:rPr>
                <w:b/>
                <w:bCs/>
                <w:sz w:val="21"/>
                <w:szCs w:val="21"/>
              </w:rPr>
            </w:pPr>
            <w:r>
              <w:rPr>
                <w:b/>
                <w:bCs/>
                <w:sz w:val="21"/>
                <w:szCs w:val="21"/>
              </w:rPr>
              <w:t>序号</w:t>
            </w:r>
          </w:p>
        </w:tc>
        <w:tc>
          <w:tcPr>
            <w:tcW w:w="2633" w:type="pct"/>
            <w:vAlign w:val="center"/>
          </w:tcPr>
          <w:p w14:paraId="2C1C73DE">
            <w:pPr>
              <w:bidi w:val="0"/>
              <w:spacing w:line="240" w:lineRule="auto"/>
              <w:jc w:val="center"/>
              <w:rPr>
                <w:b/>
                <w:bCs/>
                <w:sz w:val="21"/>
                <w:szCs w:val="21"/>
              </w:rPr>
            </w:pPr>
            <w:r>
              <w:rPr>
                <w:b/>
                <w:bCs/>
                <w:sz w:val="21"/>
                <w:szCs w:val="21"/>
              </w:rPr>
              <w:t>项目</w:t>
            </w:r>
          </w:p>
        </w:tc>
        <w:tc>
          <w:tcPr>
            <w:tcW w:w="885" w:type="pct"/>
            <w:vAlign w:val="center"/>
          </w:tcPr>
          <w:p w14:paraId="163AF58F">
            <w:pPr>
              <w:bidi w:val="0"/>
              <w:spacing w:line="240" w:lineRule="auto"/>
              <w:jc w:val="center"/>
              <w:rPr>
                <w:b/>
                <w:bCs/>
                <w:sz w:val="21"/>
                <w:szCs w:val="21"/>
              </w:rPr>
            </w:pPr>
            <w:r>
              <w:rPr>
                <w:b/>
                <w:bCs/>
                <w:sz w:val="21"/>
                <w:szCs w:val="21"/>
              </w:rPr>
              <w:t>标准值</w:t>
            </w:r>
          </w:p>
        </w:tc>
        <w:tc>
          <w:tcPr>
            <w:tcW w:w="989" w:type="pct"/>
            <w:vAlign w:val="center"/>
          </w:tcPr>
          <w:p w14:paraId="49A24BCB">
            <w:pPr>
              <w:bidi w:val="0"/>
              <w:spacing w:line="240" w:lineRule="auto"/>
              <w:jc w:val="center"/>
              <w:rPr>
                <w:rFonts w:hint="eastAsia" w:ascii="Times New Roman" w:hAnsi="Times New Roman" w:eastAsia="宋体" w:cs="宋体"/>
                <w:b/>
                <w:bCs/>
                <w:sz w:val="21"/>
                <w:szCs w:val="21"/>
                <w:lang w:val="en-US" w:eastAsia="zh-CN"/>
              </w:rPr>
            </w:pPr>
            <w:r>
              <w:rPr>
                <w:rFonts w:hint="eastAsia" w:ascii="Times New Roman" w:hAnsi="Times New Roman" w:eastAsia="宋体" w:cs="宋体"/>
                <w:b/>
                <w:bCs/>
                <w:sz w:val="21"/>
                <w:szCs w:val="21"/>
                <w:lang w:val="en-US" w:eastAsia="zh-CN"/>
              </w:rPr>
              <w:t>标准来源</w:t>
            </w:r>
          </w:p>
        </w:tc>
      </w:tr>
      <w:tr w14:paraId="6AA59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010" w:type="pct"/>
            <w:gridSpan w:val="3"/>
            <w:vAlign w:val="center"/>
          </w:tcPr>
          <w:p w14:paraId="632D7B63">
            <w:pPr>
              <w:bidi w:val="0"/>
              <w:spacing w:line="240" w:lineRule="auto"/>
              <w:jc w:val="center"/>
              <w:rPr>
                <w:rFonts w:hint="default"/>
                <w:sz w:val="21"/>
                <w:szCs w:val="21"/>
                <w:lang w:val="en-US" w:eastAsia="zh-CN"/>
              </w:rPr>
            </w:pPr>
            <w:r>
              <w:rPr>
                <w:rFonts w:hint="eastAsia"/>
                <w:b/>
                <w:bCs/>
                <w:sz w:val="21"/>
                <w:szCs w:val="21"/>
                <w:lang w:val="en-US" w:eastAsia="zh-CN"/>
              </w:rPr>
              <w:t>一般化学指标</w:t>
            </w:r>
          </w:p>
        </w:tc>
        <w:tc>
          <w:tcPr>
            <w:tcW w:w="989" w:type="pct"/>
            <w:vMerge w:val="restart"/>
            <w:vAlign w:val="center"/>
          </w:tcPr>
          <w:p w14:paraId="1CD33268">
            <w:pPr>
              <w:bidi w:val="0"/>
              <w:spacing w:line="240" w:lineRule="auto"/>
              <w:jc w:val="center"/>
              <w:rPr>
                <w:rFonts w:hint="eastAsia" w:ascii="Times New Roman" w:hAnsi="Times New Roman" w:eastAsia="宋体" w:cs="宋体"/>
                <w:sz w:val="21"/>
                <w:szCs w:val="21"/>
                <w:lang w:val="en-US" w:eastAsia="zh-CN"/>
              </w:rPr>
            </w:pPr>
            <w:r>
              <w:rPr>
                <w:rFonts w:hint="eastAsia" w:ascii="Times New Roman" w:hAnsi="Times New Roman" w:eastAsia="宋体" w:cs="宋体"/>
                <w:sz w:val="21"/>
                <w:szCs w:val="21"/>
                <w:lang w:val="en-US" w:eastAsia="zh-CN"/>
              </w:rPr>
              <w:t>GB/T14848-2017</w:t>
            </w:r>
          </w:p>
          <w:p w14:paraId="3FF4F88E">
            <w:pPr>
              <w:bidi w:val="0"/>
              <w:spacing w:line="240" w:lineRule="auto"/>
              <w:jc w:val="center"/>
              <w:rPr>
                <w:rFonts w:hint="eastAsia" w:ascii="Times New Roman" w:hAnsi="Times New Roman" w:eastAsia="宋体" w:cs="宋体"/>
                <w:sz w:val="21"/>
                <w:szCs w:val="21"/>
                <w:lang w:val="en-US" w:eastAsia="zh-CN"/>
              </w:rPr>
            </w:pPr>
            <w:r>
              <w:rPr>
                <w:rFonts w:hint="eastAsia" w:ascii="Times New Roman" w:hAnsi="Times New Roman" w:eastAsia="宋体" w:cs="宋体"/>
                <w:sz w:val="21"/>
                <w:szCs w:val="21"/>
                <w:lang w:val="en-US" w:eastAsia="zh-CN"/>
              </w:rPr>
              <w:t>中III类标准</w:t>
            </w:r>
          </w:p>
        </w:tc>
      </w:tr>
      <w:tr w14:paraId="73561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45602D71">
            <w:pPr>
              <w:bidi w:val="0"/>
              <w:spacing w:line="240" w:lineRule="auto"/>
              <w:jc w:val="center"/>
              <w:rPr>
                <w:sz w:val="21"/>
                <w:szCs w:val="21"/>
              </w:rPr>
            </w:pPr>
            <w:r>
              <w:rPr>
                <w:sz w:val="21"/>
                <w:szCs w:val="21"/>
              </w:rPr>
              <w:t>1</w:t>
            </w:r>
          </w:p>
        </w:tc>
        <w:tc>
          <w:tcPr>
            <w:tcW w:w="2633" w:type="pct"/>
            <w:vAlign w:val="center"/>
          </w:tcPr>
          <w:p w14:paraId="12F88E04">
            <w:pPr>
              <w:bidi w:val="0"/>
              <w:spacing w:line="240" w:lineRule="auto"/>
              <w:jc w:val="center"/>
              <w:rPr>
                <w:sz w:val="21"/>
                <w:szCs w:val="21"/>
              </w:rPr>
            </w:pPr>
            <w:r>
              <w:rPr>
                <w:sz w:val="21"/>
                <w:szCs w:val="21"/>
              </w:rPr>
              <w:t>pH</w:t>
            </w:r>
          </w:p>
        </w:tc>
        <w:tc>
          <w:tcPr>
            <w:tcW w:w="885" w:type="pct"/>
            <w:vAlign w:val="center"/>
          </w:tcPr>
          <w:p w14:paraId="35F35AA0">
            <w:pPr>
              <w:bidi w:val="0"/>
              <w:spacing w:line="240" w:lineRule="auto"/>
              <w:jc w:val="center"/>
              <w:rPr>
                <w:sz w:val="21"/>
                <w:szCs w:val="21"/>
              </w:rPr>
            </w:pPr>
            <w:r>
              <w:rPr>
                <w:sz w:val="21"/>
                <w:szCs w:val="21"/>
              </w:rPr>
              <w:t>6.5~8.5</w:t>
            </w:r>
          </w:p>
        </w:tc>
        <w:tc>
          <w:tcPr>
            <w:tcW w:w="989" w:type="pct"/>
            <w:vMerge w:val="continue"/>
            <w:vAlign w:val="center"/>
          </w:tcPr>
          <w:p w14:paraId="319C86DD">
            <w:pPr>
              <w:jc w:val="center"/>
              <w:rPr>
                <w:rFonts w:ascii="Times New Roman" w:hAnsi="Times New Roman" w:cs="Times New Roman"/>
                <w:sz w:val="21"/>
                <w:szCs w:val="21"/>
              </w:rPr>
            </w:pPr>
          </w:p>
        </w:tc>
      </w:tr>
      <w:tr w14:paraId="62076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31A5FD61">
            <w:pPr>
              <w:bidi w:val="0"/>
              <w:spacing w:line="240" w:lineRule="auto"/>
              <w:jc w:val="center"/>
              <w:rPr>
                <w:sz w:val="21"/>
                <w:szCs w:val="21"/>
              </w:rPr>
            </w:pPr>
            <w:r>
              <w:rPr>
                <w:sz w:val="21"/>
                <w:szCs w:val="21"/>
              </w:rPr>
              <w:t>2</w:t>
            </w:r>
          </w:p>
        </w:tc>
        <w:tc>
          <w:tcPr>
            <w:tcW w:w="2633" w:type="pct"/>
            <w:vAlign w:val="center"/>
          </w:tcPr>
          <w:p w14:paraId="7B806997">
            <w:pPr>
              <w:bidi w:val="0"/>
              <w:spacing w:line="240" w:lineRule="auto"/>
              <w:jc w:val="center"/>
              <w:rPr>
                <w:sz w:val="21"/>
                <w:szCs w:val="21"/>
              </w:rPr>
            </w:pPr>
            <w:r>
              <w:rPr>
                <w:sz w:val="21"/>
                <w:szCs w:val="21"/>
              </w:rPr>
              <w:t>总硬度（以CaCO</w:t>
            </w:r>
            <w:r>
              <w:rPr>
                <w:sz w:val="21"/>
                <w:szCs w:val="21"/>
                <w:vertAlign w:val="subscript"/>
              </w:rPr>
              <w:t>3</w:t>
            </w:r>
            <w:r>
              <w:rPr>
                <w:sz w:val="21"/>
                <w:szCs w:val="21"/>
              </w:rPr>
              <w:t>计）</w:t>
            </w:r>
          </w:p>
        </w:tc>
        <w:tc>
          <w:tcPr>
            <w:tcW w:w="885" w:type="pct"/>
            <w:vAlign w:val="center"/>
          </w:tcPr>
          <w:p w14:paraId="64D8FC15">
            <w:pPr>
              <w:bidi w:val="0"/>
              <w:spacing w:line="240" w:lineRule="auto"/>
              <w:jc w:val="center"/>
              <w:rPr>
                <w:sz w:val="21"/>
                <w:szCs w:val="21"/>
              </w:rPr>
            </w:pPr>
            <w:r>
              <w:rPr>
                <w:sz w:val="21"/>
                <w:szCs w:val="21"/>
              </w:rPr>
              <w:t>≤450</w:t>
            </w:r>
          </w:p>
        </w:tc>
        <w:tc>
          <w:tcPr>
            <w:tcW w:w="989" w:type="pct"/>
            <w:vMerge w:val="continue"/>
            <w:vAlign w:val="center"/>
          </w:tcPr>
          <w:p w14:paraId="0F77E640">
            <w:pPr>
              <w:jc w:val="center"/>
              <w:rPr>
                <w:rFonts w:ascii="Times New Roman" w:hAnsi="Times New Roman" w:cs="Times New Roman"/>
                <w:sz w:val="21"/>
                <w:szCs w:val="21"/>
              </w:rPr>
            </w:pPr>
          </w:p>
        </w:tc>
      </w:tr>
      <w:tr w14:paraId="345C7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05120742">
            <w:pPr>
              <w:bidi w:val="0"/>
              <w:spacing w:line="240" w:lineRule="auto"/>
              <w:jc w:val="center"/>
              <w:rPr>
                <w:sz w:val="21"/>
                <w:szCs w:val="21"/>
              </w:rPr>
            </w:pPr>
            <w:r>
              <w:rPr>
                <w:sz w:val="21"/>
                <w:szCs w:val="21"/>
              </w:rPr>
              <w:t>3</w:t>
            </w:r>
          </w:p>
        </w:tc>
        <w:tc>
          <w:tcPr>
            <w:tcW w:w="2633" w:type="pct"/>
            <w:vAlign w:val="center"/>
          </w:tcPr>
          <w:p w14:paraId="0C31DE44">
            <w:pPr>
              <w:bidi w:val="0"/>
              <w:spacing w:line="240" w:lineRule="auto"/>
              <w:jc w:val="center"/>
              <w:rPr>
                <w:sz w:val="21"/>
                <w:szCs w:val="21"/>
              </w:rPr>
            </w:pPr>
            <w:r>
              <w:rPr>
                <w:sz w:val="21"/>
                <w:szCs w:val="21"/>
              </w:rPr>
              <w:t>溶解性总固体</w:t>
            </w:r>
          </w:p>
        </w:tc>
        <w:tc>
          <w:tcPr>
            <w:tcW w:w="885" w:type="pct"/>
            <w:vAlign w:val="center"/>
          </w:tcPr>
          <w:p w14:paraId="324715E6">
            <w:pPr>
              <w:bidi w:val="0"/>
              <w:spacing w:line="240" w:lineRule="auto"/>
              <w:jc w:val="center"/>
              <w:rPr>
                <w:sz w:val="21"/>
                <w:szCs w:val="21"/>
              </w:rPr>
            </w:pPr>
            <w:r>
              <w:rPr>
                <w:sz w:val="21"/>
                <w:szCs w:val="21"/>
              </w:rPr>
              <w:t>≤1000</w:t>
            </w:r>
          </w:p>
        </w:tc>
        <w:tc>
          <w:tcPr>
            <w:tcW w:w="989" w:type="pct"/>
            <w:vMerge w:val="continue"/>
            <w:vAlign w:val="center"/>
          </w:tcPr>
          <w:p w14:paraId="09D5196A">
            <w:pPr>
              <w:jc w:val="center"/>
              <w:rPr>
                <w:rFonts w:ascii="Times New Roman" w:hAnsi="Times New Roman" w:cs="Times New Roman"/>
                <w:sz w:val="21"/>
                <w:szCs w:val="21"/>
              </w:rPr>
            </w:pPr>
          </w:p>
        </w:tc>
      </w:tr>
      <w:tr w14:paraId="41B1B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1AD84D54">
            <w:pPr>
              <w:bidi w:val="0"/>
              <w:spacing w:line="240" w:lineRule="auto"/>
              <w:jc w:val="center"/>
              <w:rPr>
                <w:sz w:val="21"/>
                <w:szCs w:val="21"/>
              </w:rPr>
            </w:pPr>
            <w:r>
              <w:rPr>
                <w:sz w:val="21"/>
                <w:szCs w:val="21"/>
              </w:rPr>
              <w:t>4</w:t>
            </w:r>
          </w:p>
        </w:tc>
        <w:tc>
          <w:tcPr>
            <w:tcW w:w="2633" w:type="pct"/>
            <w:vAlign w:val="center"/>
          </w:tcPr>
          <w:p w14:paraId="3684C20E">
            <w:pPr>
              <w:bidi w:val="0"/>
              <w:spacing w:line="240" w:lineRule="auto"/>
              <w:jc w:val="center"/>
              <w:rPr>
                <w:sz w:val="21"/>
                <w:szCs w:val="21"/>
              </w:rPr>
            </w:pPr>
            <w:r>
              <w:rPr>
                <w:sz w:val="21"/>
                <w:szCs w:val="21"/>
              </w:rPr>
              <w:t>硫酸盐</w:t>
            </w:r>
          </w:p>
        </w:tc>
        <w:tc>
          <w:tcPr>
            <w:tcW w:w="885" w:type="pct"/>
            <w:vAlign w:val="center"/>
          </w:tcPr>
          <w:p w14:paraId="773A915A">
            <w:pPr>
              <w:bidi w:val="0"/>
              <w:spacing w:line="240" w:lineRule="auto"/>
              <w:jc w:val="center"/>
              <w:rPr>
                <w:sz w:val="21"/>
                <w:szCs w:val="21"/>
              </w:rPr>
            </w:pPr>
            <w:r>
              <w:rPr>
                <w:sz w:val="21"/>
                <w:szCs w:val="21"/>
              </w:rPr>
              <w:t>≤250</w:t>
            </w:r>
          </w:p>
        </w:tc>
        <w:tc>
          <w:tcPr>
            <w:tcW w:w="989" w:type="pct"/>
            <w:vMerge w:val="continue"/>
            <w:vAlign w:val="center"/>
          </w:tcPr>
          <w:p w14:paraId="78038EA7">
            <w:pPr>
              <w:jc w:val="center"/>
              <w:rPr>
                <w:rFonts w:ascii="Times New Roman" w:hAnsi="Times New Roman" w:cs="Times New Roman"/>
                <w:sz w:val="21"/>
                <w:szCs w:val="21"/>
              </w:rPr>
            </w:pPr>
          </w:p>
        </w:tc>
      </w:tr>
      <w:tr w14:paraId="53168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21EC81FE">
            <w:pPr>
              <w:bidi w:val="0"/>
              <w:spacing w:line="240" w:lineRule="auto"/>
              <w:jc w:val="center"/>
              <w:rPr>
                <w:sz w:val="21"/>
                <w:szCs w:val="21"/>
              </w:rPr>
            </w:pPr>
            <w:r>
              <w:rPr>
                <w:sz w:val="21"/>
                <w:szCs w:val="21"/>
              </w:rPr>
              <w:t>5</w:t>
            </w:r>
          </w:p>
        </w:tc>
        <w:tc>
          <w:tcPr>
            <w:tcW w:w="2633" w:type="pct"/>
            <w:vAlign w:val="center"/>
          </w:tcPr>
          <w:p w14:paraId="49E4A1BC">
            <w:pPr>
              <w:bidi w:val="0"/>
              <w:spacing w:line="240" w:lineRule="auto"/>
              <w:jc w:val="center"/>
              <w:rPr>
                <w:sz w:val="21"/>
                <w:szCs w:val="21"/>
              </w:rPr>
            </w:pPr>
            <w:r>
              <w:rPr>
                <w:sz w:val="21"/>
                <w:szCs w:val="21"/>
              </w:rPr>
              <w:t>氯化物</w:t>
            </w:r>
          </w:p>
        </w:tc>
        <w:tc>
          <w:tcPr>
            <w:tcW w:w="885" w:type="pct"/>
            <w:vAlign w:val="center"/>
          </w:tcPr>
          <w:p w14:paraId="3CEFDF56">
            <w:pPr>
              <w:bidi w:val="0"/>
              <w:spacing w:line="240" w:lineRule="auto"/>
              <w:jc w:val="center"/>
              <w:rPr>
                <w:sz w:val="21"/>
                <w:szCs w:val="21"/>
              </w:rPr>
            </w:pPr>
            <w:r>
              <w:rPr>
                <w:sz w:val="21"/>
                <w:szCs w:val="21"/>
              </w:rPr>
              <w:t>≤250</w:t>
            </w:r>
          </w:p>
        </w:tc>
        <w:tc>
          <w:tcPr>
            <w:tcW w:w="989" w:type="pct"/>
            <w:vMerge w:val="continue"/>
            <w:vAlign w:val="center"/>
          </w:tcPr>
          <w:p w14:paraId="5CED81A3">
            <w:pPr>
              <w:jc w:val="center"/>
              <w:rPr>
                <w:rFonts w:ascii="Times New Roman" w:hAnsi="Times New Roman" w:cs="Times New Roman"/>
                <w:sz w:val="21"/>
                <w:szCs w:val="21"/>
              </w:rPr>
            </w:pPr>
          </w:p>
        </w:tc>
      </w:tr>
      <w:tr w14:paraId="23088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6A27B4D7">
            <w:pPr>
              <w:bidi w:val="0"/>
              <w:spacing w:line="240" w:lineRule="auto"/>
              <w:jc w:val="center"/>
              <w:rPr>
                <w:sz w:val="21"/>
                <w:szCs w:val="21"/>
              </w:rPr>
            </w:pPr>
            <w:r>
              <w:rPr>
                <w:sz w:val="21"/>
                <w:szCs w:val="21"/>
              </w:rPr>
              <w:t>6</w:t>
            </w:r>
          </w:p>
        </w:tc>
        <w:tc>
          <w:tcPr>
            <w:tcW w:w="2633" w:type="pct"/>
            <w:vAlign w:val="center"/>
          </w:tcPr>
          <w:p w14:paraId="683A1AB4">
            <w:pPr>
              <w:bidi w:val="0"/>
              <w:spacing w:line="240" w:lineRule="auto"/>
              <w:jc w:val="center"/>
              <w:rPr>
                <w:sz w:val="21"/>
                <w:szCs w:val="21"/>
              </w:rPr>
            </w:pPr>
            <w:r>
              <w:rPr>
                <w:sz w:val="21"/>
                <w:szCs w:val="21"/>
              </w:rPr>
              <w:t>铁（Fe）</w:t>
            </w:r>
          </w:p>
        </w:tc>
        <w:tc>
          <w:tcPr>
            <w:tcW w:w="885" w:type="pct"/>
            <w:vAlign w:val="center"/>
          </w:tcPr>
          <w:p w14:paraId="4A63E3EF">
            <w:pPr>
              <w:bidi w:val="0"/>
              <w:spacing w:line="240" w:lineRule="auto"/>
              <w:jc w:val="center"/>
              <w:rPr>
                <w:sz w:val="21"/>
                <w:szCs w:val="21"/>
              </w:rPr>
            </w:pPr>
            <w:r>
              <w:rPr>
                <w:sz w:val="21"/>
                <w:szCs w:val="21"/>
              </w:rPr>
              <w:t>≤0.3</w:t>
            </w:r>
          </w:p>
        </w:tc>
        <w:tc>
          <w:tcPr>
            <w:tcW w:w="989" w:type="pct"/>
            <w:vMerge w:val="continue"/>
            <w:vAlign w:val="center"/>
          </w:tcPr>
          <w:p w14:paraId="2E859F4E">
            <w:pPr>
              <w:jc w:val="center"/>
              <w:rPr>
                <w:rFonts w:ascii="Times New Roman" w:hAnsi="Times New Roman" w:cs="Times New Roman"/>
                <w:sz w:val="21"/>
                <w:szCs w:val="21"/>
              </w:rPr>
            </w:pPr>
          </w:p>
        </w:tc>
      </w:tr>
      <w:tr w14:paraId="4C94A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4F5C8441">
            <w:pPr>
              <w:bidi w:val="0"/>
              <w:spacing w:line="240" w:lineRule="auto"/>
              <w:jc w:val="center"/>
              <w:rPr>
                <w:sz w:val="21"/>
                <w:szCs w:val="21"/>
              </w:rPr>
            </w:pPr>
            <w:r>
              <w:rPr>
                <w:sz w:val="21"/>
                <w:szCs w:val="21"/>
              </w:rPr>
              <w:t>7</w:t>
            </w:r>
          </w:p>
        </w:tc>
        <w:tc>
          <w:tcPr>
            <w:tcW w:w="2633" w:type="pct"/>
            <w:vAlign w:val="center"/>
          </w:tcPr>
          <w:p w14:paraId="6E3AF9AD">
            <w:pPr>
              <w:bidi w:val="0"/>
              <w:spacing w:line="240" w:lineRule="auto"/>
              <w:jc w:val="center"/>
              <w:rPr>
                <w:sz w:val="21"/>
                <w:szCs w:val="21"/>
              </w:rPr>
            </w:pPr>
            <w:r>
              <w:rPr>
                <w:sz w:val="21"/>
                <w:szCs w:val="21"/>
              </w:rPr>
              <w:t>锰（Mn）</w:t>
            </w:r>
          </w:p>
        </w:tc>
        <w:tc>
          <w:tcPr>
            <w:tcW w:w="885" w:type="pct"/>
            <w:vAlign w:val="center"/>
          </w:tcPr>
          <w:p w14:paraId="40B03938">
            <w:pPr>
              <w:bidi w:val="0"/>
              <w:spacing w:line="240" w:lineRule="auto"/>
              <w:jc w:val="center"/>
              <w:rPr>
                <w:sz w:val="21"/>
                <w:szCs w:val="21"/>
              </w:rPr>
            </w:pPr>
            <w:r>
              <w:rPr>
                <w:sz w:val="21"/>
                <w:szCs w:val="21"/>
              </w:rPr>
              <w:t>≤0.1</w:t>
            </w:r>
          </w:p>
        </w:tc>
        <w:tc>
          <w:tcPr>
            <w:tcW w:w="989" w:type="pct"/>
            <w:vMerge w:val="continue"/>
            <w:vAlign w:val="center"/>
          </w:tcPr>
          <w:p w14:paraId="6FC3C7CC">
            <w:pPr>
              <w:jc w:val="center"/>
              <w:rPr>
                <w:rFonts w:ascii="Times New Roman" w:hAnsi="Times New Roman" w:cs="Times New Roman"/>
                <w:sz w:val="21"/>
                <w:szCs w:val="21"/>
              </w:rPr>
            </w:pPr>
          </w:p>
        </w:tc>
      </w:tr>
      <w:tr w14:paraId="3F251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491" w:type="pct"/>
            <w:vAlign w:val="center"/>
          </w:tcPr>
          <w:p w14:paraId="286E7846">
            <w:pPr>
              <w:bidi w:val="0"/>
              <w:spacing w:line="240" w:lineRule="auto"/>
              <w:jc w:val="center"/>
              <w:rPr>
                <w:sz w:val="21"/>
                <w:szCs w:val="21"/>
              </w:rPr>
            </w:pPr>
            <w:r>
              <w:rPr>
                <w:sz w:val="21"/>
                <w:szCs w:val="21"/>
              </w:rPr>
              <w:t>8</w:t>
            </w:r>
          </w:p>
        </w:tc>
        <w:tc>
          <w:tcPr>
            <w:tcW w:w="2633" w:type="pct"/>
            <w:vAlign w:val="center"/>
          </w:tcPr>
          <w:p w14:paraId="29A21800">
            <w:pPr>
              <w:bidi w:val="0"/>
              <w:spacing w:line="240" w:lineRule="auto"/>
              <w:jc w:val="center"/>
              <w:rPr>
                <w:sz w:val="21"/>
                <w:szCs w:val="21"/>
              </w:rPr>
            </w:pPr>
            <w:r>
              <w:rPr>
                <w:sz w:val="21"/>
                <w:szCs w:val="21"/>
              </w:rPr>
              <w:t>铜（Cu）</w:t>
            </w:r>
          </w:p>
        </w:tc>
        <w:tc>
          <w:tcPr>
            <w:tcW w:w="885" w:type="pct"/>
            <w:vAlign w:val="center"/>
          </w:tcPr>
          <w:p w14:paraId="5527033C">
            <w:pPr>
              <w:bidi w:val="0"/>
              <w:spacing w:line="240" w:lineRule="auto"/>
              <w:jc w:val="center"/>
              <w:rPr>
                <w:sz w:val="21"/>
                <w:szCs w:val="21"/>
              </w:rPr>
            </w:pPr>
            <w:r>
              <w:rPr>
                <w:sz w:val="21"/>
                <w:szCs w:val="21"/>
              </w:rPr>
              <w:t>≤1.00</w:t>
            </w:r>
          </w:p>
        </w:tc>
        <w:tc>
          <w:tcPr>
            <w:tcW w:w="989" w:type="pct"/>
            <w:vMerge w:val="continue"/>
            <w:vAlign w:val="center"/>
          </w:tcPr>
          <w:p w14:paraId="772A5C1C">
            <w:pPr>
              <w:jc w:val="center"/>
              <w:rPr>
                <w:rFonts w:ascii="Times New Roman" w:hAnsi="Times New Roman" w:cs="Times New Roman"/>
                <w:sz w:val="21"/>
                <w:szCs w:val="21"/>
              </w:rPr>
            </w:pPr>
          </w:p>
        </w:tc>
      </w:tr>
      <w:tr w14:paraId="3BE64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068DA7F3">
            <w:pPr>
              <w:bidi w:val="0"/>
              <w:spacing w:line="240" w:lineRule="auto"/>
              <w:jc w:val="center"/>
              <w:rPr>
                <w:sz w:val="21"/>
                <w:szCs w:val="21"/>
              </w:rPr>
            </w:pPr>
            <w:r>
              <w:rPr>
                <w:sz w:val="21"/>
                <w:szCs w:val="21"/>
              </w:rPr>
              <w:t>9</w:t>
            </w:r>
          </w:p>
        </w:tc>
        <w:tc>
          <w:tcPr>
            <w:tcW w:w="2633" w:type="pct"/>
            <w:vAlign w:val="center"/>
          </w:tcPr>
          <w:p w14:paraId="2554295F">
            <w:pPr>
              <w:bidi w:val="0"/>
              <w:spacing w:line="240" w:lineRule="auto"/>
              <w:jc w:val="center"/>
              <w:rPr>
                <w:sz w:val="21"/>
                <w:szCs w:val="21"/>
              </w:rPr>
            </w:pPr>
            <w:r>
              <w:rPr>
                <w:sz w:val="21"/>
                <w:szCs w:val="21"/>
              </w:rPr>
              <w:t>锌（Zn）</w:t>
            </w:r>
          </w:p>
        </w:tc>
        <w:tc>
          <w:tcPr>
            <w:tcW w:w="885" w:type="pct"/>
            <w:vAlign w:val="center"/>
          </w:tcPr>
          <w:p w14:paraId="6D97FC2A">
            <w:pPr>
              <w:bidi w:val="0"/>
              <w:spacing w:line="240" w:lineRule="auto"/>
              <w:jc w:val="center"/>
              <w:rPr>
                <w:sz w:val="21"/>
                <w:szCs w:val="21"/>
              </w:rPr>
            </w:pPr>
            <w:r>
              <w:rPr>
                <w:sz w:val="21"/>
                <w:szCs w:val="21"/>
              </w:rPr>
              <w:t>≤1.00</w:t>
            </w:r>
          </w:p>
        </w:tc>
        <w:tc>
          <w:tcPr>
            <w:tcW w:w="989" w:type="pct"/>
            <w:vMerge w:val="continue"/>
            <w:vAlign w:val="center"/>
          </w:tcPr>
          <w:p w14:paraId="6BD3626F">
            <w:pPr>
              <w:jc w:val="center"/>
              <w:rPr>
                <w:rFonts w:ascii="Times New Roman" w:hAnsi="Times New Roman" w:cs="Times New Roman"/>
                <w:sz w:val="21"/>
                <w:szCs w:val="21"/>
              </w:rPr>
            </w:pPr>
          </w:p>
        </w:tc>
      </w:tr>
      <w:tr w14:paraId="3C1FF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792F3220">
            <w:pPr>
              <w:bidi w:val="0"/>
              <w:spacing w:line="240" w:lineRule="auto"/>
              <w:jc w:val="center"/>
              <w:rPr>
                <w:sz w:val="21"/>
                <w:szCs w:val="21"/>
              </w:rPr>
            </w:pPr>
            <w:r>
              <w:rPr>
                <w:sz w:val="21"/>
                <w:szCs w:val="21"/>
              </w:rPr>
              <w:t>10</w:t>
            </w:r>
          </w:p>
        </w:tc>
        <w:tc>
          <w:tcPr>
            <w:tcW w:w="2633" w:type="pct"/>
            <w:vAlign w:val="center"/>
          </w:tcPr>
          <w:p w14:paraId="5FC3C0FB">
            <w:pPr>
              <w:bidi w:val="0"/>
              <w:spacing w:line="240" w:lineRule="auto"/>
              <w:jc w:val="center"/>
              <w:rPr>
                <w:sz w:val="21"/>
                <w:szCs w:val="21"/>
              </w:rPr>
            </w:pPr>
            <w:r>
              <w:rPr>
                <w:sz w:val="21"/>
                <w:szCs w:val="21"/>
              </w:rPr>
              <w:t>铝（Al）</w:t>
            </w:r>
          </w:p>
        </w:tc>
        <w:tc>
          <w:tcPr>
            <w:tcW w:w="885" w:type="pct"/>
            <w:vAlign w:val="center"/>
          </w:tcPr>
          <w:p w14:paraId="7FAF211A">
            <w:pPr>
              <w:bidi w:val="0"/>
              <w:spacing w:line="240" w:lineRule="auto"/>
              <w:jc w:val="center"/>
              <w:rPr>
                <w:sz w:val="21"/>
                <w:szCs w:val="21"/>
              </w:rPr>
            </w:pPr>
            <w:r>
              <w:rPr>
                <w:sz w:val="21"/>
                <w:szCs w:val="21"/>
              </w:rPr>
              <w:t>≤0.20</w:t>
            </w:r>
          </w:p>
        </w:tc>
        <w:tc>
          <w:tcPr>
            <w:tcW w:w="989" w:type="pct"/>
            <w:vMerge w:val="continue"/>
            <w:vAlign w:val="center"/>
          </w:tcPr>
          <w:p w14:paraId="1F1B5A94">
            <w:pPr>
              <w:jc w:val="center"/>
              <w:rPr>
                <w:rFonts w:ascii="Times New Roman" w:hAnsi="Times New Roman" w:cs="Times New Roman"/>
                <w:sz w:val="21"/>
                <w:szCs w:val="21"/>
              </w:rPr>
            </w:pPr>
          </w:p>
        </w:tc>
      </w:tr>
      <w:tr w14:paraId="436F0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726AD35E">
            <w:pPr>
              <w:bidi w:val="0"/>
              <w:spacing w:line="240" w:lineRule="auto"/>
              <w:jc w:val="center"/>
              <w:rPr>
                <w:sz w:val="21"/>
                <w:szCs w:val="21"/>
              </w:rPr>
            </w:pPr>
            <w:r>
              <w:rPr>
                <w:sz w:val="21"/>
                <w:szCs w:val="21"/>
              </w:rPr>
              <w:t>11</w:t>
            </w:r>
          </w:p>
        </w:tc>
        <w:tc>
          <w:tcPr>
            <w:tcW w:w="2633" w:type="pct"/>
            <w:vAlign w:val="center"/>
          </w:tcPr>
          <w:p w14:paraId="4E86B2D9">
            <w:pPr>
              <w:bidi w:val="0"/>
              <w:spacing w:line="240" w:lineRule="auto"/>
              <w:jc w:val="center"/>
              <w:rPr>
                <w:sz w:val="21"/>
                <w:szCs w:val="21"/>
              </w:rPr>
            </w:pPr>
            <w:r>
              <w:rPr>
                <w:sz w:val="21"/>
                <w:szCs w:val="21"/>
              </w:rPr>
              <w:t>挥发性酚类（以苯酚计)</w:t>
            </w:r>
          </w:p>
        </w:tc>
        <w:tc>
          <w:tcPr>
            <w:tcW w:w="885" w:type="pct"/>
            <w:vAlign w:val="center"/>
          </w:tcPr>
          <w:p w14:paraId="77F50F3A">
            <w:pPr>
              <w:bidi w:val="0"/>
              <w:spacing w:line="240" w:lineRule="auto"/>
              <w:jc w:val="center"/>
              <w:rPr>
                <w:sz w:val="21"/>
                <w:szCs w:val="21"/>
              </w:rPr>
            </w:pPr>
            <w:r>
              <w:rPr>
                <w:sz w:val="21"/>
                <w:szCs w:val="21"/>
              </w:rPr>
              <w:t>≤0.002</w:t>
            </w:r>
          </w:p>
        </w:tc>
        <w:tc>
          <w:tcPr>
            <w:tcW w:w="989" w:type="pct"/>
            <w:vMerge w:val="continue"/>
            <w:vAlign w:val="center"/>
          </w:tcPr>
          <w:p w14:paraId="62EA994B">
            <w:pPr>
              <w:jc w:val="center"/>
              <w:rPr>
                <w:rFonts w:ascii="Times New Roman" w:hAnsi="Times New Roman" w:cs="Times New Roman"/>
                <w:sz w:val="21"/>
                <w:szCs w:val="21"/>
              </w:rPr>
            </w:pPr>
          </w:p>
        </w:tc>
      </w:tr>
      <w:tr w14:paraId="6A067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6CC7D6A1">
            <w:pPr>
              <w:bidi w:val="0"/>
              <w:spacing w:line="240" w:lineRule="auto"/>
              <w:jc w:val="center"/>
              <w:rPr>
                <w:sz w:val="21"/>
                <w:szCs w:val="21"/>
              </w:rPr>
            </w:pPr>
            <w:r>
              <w:rPr>
                <w:sz w:val="21"/>
                <w:szCs w:val="21"/>
              </w:rPr>
              <w:t>12</w:t>
            </w:r>
          </w:p>
        </w:tc>
        <w:tc>
          <w:tcPr>
            <w:tcW w:w="2633" w:type="pct"/>
            <w:vAlign w:val="center"/>
          </w:tcPr>
          <w:p w14:paraId="4E3F65CE">
            <w:pPr>
              <w:bidi w:val="0"/>
              <w:spacing w:line="240" w:lineRule="auto"/>
              <w:jc w:val="center"/>
              <w:rPr>
                <w:sz w:val="21"/>
                <w:szCs w:val="21"/>
              </w:rPr>
            </w:pPr>
            <w:r>
              <w:rPr>
                <w:sz w:val="21"/>
                <w:szCs w:val="21"/>
              </w:rPr>
              <w:t>阴离子表面活性剂</w:t>
            </w:r>
          </w:p>
        </w:tc>
        <w:tc>
          <w:tcPr>
            <w:tcW w:w="885" w:type="pct"/>
            <w:vAlign w:val="center"/>
          </w:tcPr>
          <w:p w14:paraId="0CA30789">
            <w:pPr>
              <w:bidi w:val="0"/>
              <w:spacing w:line="240" w:lineRule="auto"/>
              <w:jc w:val="center"/>
              <w:rPr>
                <w:sz w:val="21"/>
                <w:szCs w:val="21"/>
              </w:rPr>
            </w:pPr>
            <w:r>
              <w:rPr>
                <w:sz w:val="21"/>
                <w:szCs w:val="21"/>
              </w:rPr>
              <w:t>≤0.3</w:t>
            </w:r>
          </w:p>
        </w:tc>
        <w:tc>
          <w:tcPr>
            <w:tcW w:w="989" w:type="pct"/>
            <w:vMerge w:val="continue"/>
            <w:vAlign w:val="center"/>
          </w:tcPr>
          <w:p w14:paraId="0B3C5557">
            <w:pPr>
              <w:jc w:val="center"/>
              <w:rPr>
                <w:rFonts w:ascii="Times New Roman" w:hAnsi="Times New Roman" w:cs="Times New Roman"/>
                <w:sz w:val="21"/>
                <w:szCs w:val="21"/>
              </w:rPr>
            </w:pPr>
          </w:p>
        </w:tc>
      </w:tr>
      <w:tr w14:paraId="22745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465AC4B9">
            <w:pPr>
              <w:bidi w:val="0"/>
              <w:spacing w:line="240" w:lineRule="auto"/>
              <w:jc w:val="center"/>
              <w:rPr>
                <w:sz w:val="21"/>
                <w:szCs w:val="21"/>
              </w:rPr>
            </w:pPr>
            <w:r>
              <w:rPr>
                <w:sz w:val="21"/>
                <w:szCs w:val="21"/>
              </w:rPr>
              <w:t>13</w:t>
            </w:r>
          </w:p>
        </w:tc>
        <w:tc>
          <w:tcPr>
            <w:tcW w:w="2633" w:type="pct"/>
            <w:vAlign w:val="center"/>
          </w:tcPr>
          <w:p w14:paraId="02677485">
            <w:pPr>
              <w:bidi w:val="0"/>
              <w:spacing w:line="240" w:lineRule="auto"/>
              <w:jc w:val="center"/>
              <w:rPr>
                <w:sz w:val="21"/>
                <w:szCs w:val="21"/>
              </w:rPr>
            </w:pPr>
            <w:r>
              <w:rPr>
                <w:sz w:val="21"/>
                <w:szCs w:val="21"/>
              </w:rPr>
              <w:t>耗氧量（CODMn法，以O</w:t>
            </w:r>
            <w:r>
              <w:rPr>
                <w:sz w:val="21"/>
                <w:szCs w:val="21"/>
                <w:vertAlign w:val="subscript"/>
              </w:rPr>
              <w:t>2</w:t>
            </w:r>
            <w:r>
              <w:rPr>
                <w:sz w:val="21"/>
                <w:szCs w:val="21"/>
              </w:rPr>
              <w:t>计）</w:t>
            </w:r>
          </w:p>
        </w:tc>
        <w:tc>
          <w:tcPr>
            <w:tcW w:w="885" w:type="pct"/>
            <w:vAlign w:val="center"/>
          </w:tcPr>
          <w:p w14:paraId="24AC4BFE">
            <w:pPr>
              <w:bidi w:val="0"/>
              <w:spacing w:line="240" w:lineRule="auto"/>
              <w:jc w:val="center"/>
              <w:rPr>
                <w:sz w:val="21"/>
                <w:szCs w:val="21"/>
              </w:rPr>
            </w:pPr>
            <w:r>
              <w:rPr>
                <w:sz w:val="21"/>
                <w:szCs w:val="21"/>
              </w:rPr>
              <w:t>≤3.0</w:t>
            </w:r>
          </w:p>
        </w:tc>
        <w:tc>
          <w:tcPr>
            <w:tcW w:w="989" w:type="pct"/>
            <w:vMerge w:val="continue"/>
            <w:vAlign w:val="center"/>
          </w:tcPr>
          <w:p w14:paraId="689F2F21">
            <w:pPr>
              <w:jc w:val="center"/>
              <w:rPr>
                <w:rFonts w:ascii="Times New Roman" w:hAnsi="Times New Roman" w:cs="Times New Roman"/>
                <w:sz w:val="21"/>
                <w:szCs w:val="21"/>
              </w:rPr>
            </w:pPr>
          </w:p>
        </w:tc>
      </w:tr>
      <w:tr w14:paraId="3EA8F7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08D05886">
            <w:pPr>
              <w:bidi w:val="0"/>
              <w:spacing w:line="240" w:lineRule="auto"/>
              <w:jc w:val="center"/>
              <w:rPr>
                <w:sz w:val="21"/>
                <w:szCs w:val="21"/>
              </w:rPr>
            </w:pPr>
            <w:r>
              <w:rPr>
                <w:sz w:val="21"/>
                <w:szCs w:val="21"/>
              </w:rPr>
              <w:t>14</w:t>
            </w:r>
          </w:p>
        </w:tc>
        <w:tc>
          <w:tcPr>
            <w:tcW w:w="2633" w:type="pct"/>
            <w:vAlign w:val="center"/>
          </w:tcPr>
          <w:p w14:paraId="3C4B311A">
            <w:pPr>
              <w:bidi w:val="0"/>
              <w:spacing w:line="240" w:lineRule="auto"/>
              <w:jc w:val="center"/>
              <w:rPr>
                <w:sz w:val="21"/>
                <w:szCs w:val="21"/>
              </w:rPr>
            </w:pPr>
            <w:r>
              <w:rPr>
                <w:sz w:val="21"/>
                <w:szCs w:val="21"/>
              </w:rPr>
              <w:t>氨氮</w:t>
            </w:r>
          </w:p>
        </w:tc>
        <w:tc>
          <w:tcPr>
            <w:tcW w:w="885" w:type="pct"/>
            <w:vAlign w:val="center"/>
          </w:tcPr>
          <w:p w14:paraId="7622131F">
            <w:pPr>
              <w:bidi w:val="0"/>
              <w:spacing w:line="240" w:lineRule="auto"/>
              <w:jc w:val="center"/>
              <w:rPr>
                <w:sz w:val="21"/>
                <w:szCs w:val="21"/>
              </w:rPr>
            </w:pPr>
            <w:r>
              <w:rPr>
                <w:sz w:val="21"/>
                <w:szCs w:val="21"/>
              </w:rPr>
              <w:t>≤0.5</w:t>
            </w:r>
          </w:p>
        </w:tc>
        <w:tc>
          <w:tcPr>
            <w:tcW w:w="989" w:type="pct"/>
            <w:vMerge w:val="continue"/>
            <w:vAlign w:val="center"/>
          </w:tcPr>
          <w:p w14:paraId="26B3D7A8">
            <w:pPr>
              <w:jc w:val="center"/>
              <w:rPr>
                <w:rFonts w:ascii="Times New Roman" w:hAnsi="Times New Roman" w:cs="Times New Roman"/>
                <w:sz w:val="21"/>
                <w:szCs w:val="21"/>
              </w:rPr>
            </w:pPr>
          </w:p>
        </w:tc>
      </w:tr>
      <w:tr w14:paraId="040F0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748E66B3">
            <w:pPr>
              <w:bidi w:val="0"/>
              <w:spacing w:line="240" w:lineRule="auto"/>
              <w:jc w:val="center"/>
              <w:rPr>
                <w:sz w:val="21"/>
                <w:szCs w:val="21"/>
              </w:rPr>
            </w:pPr>
            <w:r>
              <w:rPr>
                <w:sz w:val="21"/>
                <w:szCs w:val="21"/>
              </w:rPr>
              <w:t>15</w:t>
            </w:r>
          </w:p>
        </w:tc>
        <w:tc>
          <w:tcPr>
            <w:tcW w:w="2633" w:type="pct"/>
            <w:vAlign w:val="center"/>
          </w:tcPr>
          <w:p w14:paraId="5092B13F">
            <w:pPr>
              <w:bidi w:val="0"/>
              <w:spacing w:line="240" w:lineRule="auto"/>
              <w:jc w:val="center"/>
              <w:rPr>
                <w:sz w:val="21"/>
                <w:szCs w:val="21"/>
              </w:rPr>
            </w:pPr>
            <w:r>
              <w:rPr>
                <w:sz w:val="21"/>
                <w:szCs w:val="21"/>
              </w:rPr>
              <w:t>硫化物</w:t>
            </w:r>
          </w:p>
        </w:tc>
        <w:tc>
          <w:tcPr>
            <w:tcW w:w="885" w:type="pct"/>
            <w:vAlign w:val="center"/>
          </w:tcPr>
          <w:p w14:paraId="62938910">
            <w:pPr>
              <w:bidi w:val="0"/>
              <w:spacing w:line="240" w:lineRule="auto"/>
              <w:jc w:val="center"/>
              <w:rPr>
                <w:sz w:val="21"/>
                <w:szCs w:val="21"/>
              </w:rPr>
            </w:pPr>
            <w:r>
              <w:rPr>
                <w:sz w:val="21"/>
                <w:szCs w:val="21"/>
              </w:rPr>
              <w:t>≤0.02</w:t>
            </w:r>
          </w:p>
        </w:tc>
        <w:tc>
          <w:tcPr>
            <w:tcW w:w="989" w:type="pct"/>
            <w:vMerge w:val="continue"/>
            <w:vAlign w:val="center"/>
          </w:tcPr>
          <w:p w14:paraId="0CB251B6">
            <w:pPr>
              <w:jc w:val="center"/>
              <w:rPr>
                <w:rFonts w:ascii="Times New Roman" w:hAnsi="Times New Roman" w:cs="Times New Roman"/>
                <w:sz w:val="21"/>
                <w:szCs w:val="21"/>
              </w:rPr>
            </w:pPr>
          </w:p>
        </w:tc>
      </w:tr>
      <w:tr w14:paraId="30486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1994CC49">
            <w:pPr>
              <w:bidi w:val="0"/>
              <w:spacing w:line="240" w:lineRule="auto"/>
              <w:jc w:val="center"/>
              <w:rPr>
                <w:sz w:val="21"/>
                <w:szCs w:val="21"/>
              </w:rPr>
            </w:pPr>
            <w:r>
              <w:rPr>
                <w:sz w:val="21"/>
                <w:szCs w:val="21"/>
              </w:rPr>
              <w:t>16</w:t>
            </w:r>
          </w:p>
        </w:tc>
        <w:tc>
          <w:tcPr>
            <w:tcW w:w="2633" w:type="pct"/>
            <w:vAlign w:val="center"/>
          </w:tcPr>
          <w:p w14:paraId="24D6B6B1">
            <w:pPr>
              <w:bidi w:val="0"/>
              <w:spacing w:line="240" w:lineRule="auto"/>
              <w:jc w:val="center"/>
              <w:rPr>
                <w:sz w:val="21"/>
                <w:szCs w:val="21"/>
              </w:rPr>
            </w:pPr>
            <w:r>
              <w:rPr>
                <w:sz w:val="21"/>
                <w:szCs w:val="21"/>
              </w:rPr>
              <w:t>钠（Na）</w:t>
            </w:r>
          </w:p>
        </w:tc>
        <w:tc>
          <w:tcPr>
            <w:tcW w:w="885" w:type="pct"/>
            <w:vAlign w:val="center"/>
          </w:tcPr>
          <w:p w14:paraId="1A2C7349">
            <w:pPr>
              <w:bidi w:val="0"/>
              <w:spacing w:line="240" w:lineRule="auto"/>
              <w:jc w:val="center"/>
              <w:rPr>
                <w:sz w:val="21"/>
                <w:szCs w:val="21"/>
              </w:rPr>
            </w:pPr>
            <w:r>
              <w:rPr>
                <w:sz w:val="21"/>
                <w:szCs w:val="21"/>
              </w:rPr>
              <w:t>≤200</w:t>
            </w:r>
          </w:p>
        </w:tc>
        <w:tc>
          <w:tcPr>
            <w:tcW w:w="989" w:type="pct"/>
            <w:vMerge w:val="continue"/>
            <w:vAlign w:val="center"/>
          </w:tcPr>
          <w:p w14:paraId="444403FE">
            <w:pPr>
              <w:jc w:val="center"/>
              <w:rPr>
                <w:rFonts w:ascii="Times New Roman" w:hAnsi="Times New Roman" w:cs="Times New Roman"/>
                <w:sz w:val="21"/>
                <w:szCs w:val="21"/>
              </w:rPr>
            </w:pPr>
          </w:p>
        </w:tc>
      </w:tr>
      <w:tr w14:paraId="73504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010" w:type="pct"/>
            <w:gridSpan w:val="3"/>
            <w:vAlign w:val="center"/>
          </w:tcPr>
          <w:p w14:paraId="57996AB6">
            <w:pPr>
              <w:bidi w:val="0"/>
              <w:spacing w:line="240" w:lineRule="auto"/>
              <w:jc w:val="center"/>
              <w:rPr>
                <w:rFonts w:hint="default"/>
                <w:sz w:val="21"/>
                <w:szCs w:val="21"/>
                <w:lang w:val="en-US" w:eastAsia="zh-CN"/>
              </w:rPr>
            </w:pPr>
            <w:r>
              <w:rPr>
                <w:rFonts w:hint="eastAsia"/>
                <w:b/>
                <w:bCs/>
                <w:sz w:val="21"/>
                <w:szCs w:val="21"/>
                <w:lang w:val="en-US" w:eastAsia="zh-CN"/>
              </w:rPr>
              <w:t>微生物指标</w:t>
            </w:r>
          </w:p>
        </w:tc>
        <w:tc>
          <w:tcPr>
            <w:tcW w:w="989" w:type="pct"/>
            <w:vMerge w:val="continue"/>
            <w:vAlign w:val="center"/>
          </w:tcPr>
          <w:p w14:paraId="1656F7CC">
            <w:pPr>
              <w:jc w:val="center"/>
              <w:rPr>
                <w:rFonts w:ascii="Times New Roman" w:hAnsi="Times New Roman" w:cs="Times New Roman"/>
                <w:sz w:val="21"/>
                <w:szCs w:val="21"/>
              </w:rPr>
            </w:pPr>
          </w:p>
        </w:tc>
      </w:tr>
      <w:tr w14:paraId="35FF3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28FE0EB0">
            <w:pPr>
              <w:bidi w:val="0"/>
              <w:spacing w:line="240" w:lineRule="auto"/>
              <w:jc w:val="center"/>
              <w:rPr>
                <w:sz w:val="21"/>
                <w:szCs w:val="21"/>
              </w:rPr>
            </w:pPr>
            <w:r>
              <w:rPr>
                <w:sz w:val="21"/>
                <w:szCs w:val="21"/>
              </w:rPr>
              <w:t>17</w:t>
            </w:r>
          </w:p>
        </w:tc>
        <w:tc>
          <w:tcPr>
            <w:tcW w:w="2633" w:type="pct"/>
            <w:vAlign w:val="center"/>
          </w:tcPr>
          <w:p w14:paraId="261D8E75">
            <w:pPr>
              <w:bidi w:val="0"/>
              <w:spacing w:line="240" w:lineRule="auto"/>
              <w:jc w:val="center"/>
              <w:rPr>
                <w:rFonts w:hint="eastAsia"/>
                <w:sz w:val="21"/>
                <w:szCs w:val="21"/>
                <w:lang w:val="en-US" w:eastAsia="zh-CN"/>
              </w:rPr>
            </w:pPr>
            <w:r>
              <w:rPr>
                <w:sz w:val="21"/>
                <w:szCs w:val="21"/>
              </w:rPr>
              <w:t>总大肠菌群</w:t>
            </w:r>
            <w:r>
              <w:rPr>
                <w:rFonts w:hint="eastAsia"/>
                <w:sz w:val="21"/>
                <w:szCs w:val="21"/>
                <w:lang w:val="en-US" w:eastAsia="zh-CN"/>
              </w:rPr>
              <w:t>/（MPN/100ml或CFU/100ml）</w:t>
            </w:r>
          </w:p>
        </w:tc>
        <w:tc>
          <w:tcPr>
            <w:tcW w:w="885" w:type="pct"/>
            <w:vAlign w:val="center"/>
          </w:tcPr>
          <w:p w14:paraId="4EFD352C">
            <w:pPr>
              <w:bidi w:val="0"/>
              <w:spacing w:line="240" w:lineRule="auto"/>
              <w:jc w:val="center"/>
              <w:rPr>
                <w:sz w:val="21"/>
                <w:szCs w:val="21"/>
              </w:rPr>
            </w:pPr>
            <w:r>
              <w:rPr>
                <w:sz w:val="21"/>
                <w:szCs w:val="21"/>
              </w:rPr>
              <w:t>≤3.0</w:t>
            </w:r>
          </w:p>
        </w:tc>
        <w:tc>
          <w:tcPr>
            <w:tcW w:w="989" w:type="pct"/>
            <w:vMerge w:val="continue"/>
            <w:vAlign w:val="center"/>
          </w:tcPr>
          <w:p w14:paraId="7B7890EA">
            <w:pPr>
              <w:jc w:val="center"/>
              <w:rPr>
                <w:rFonts w:ascii="Times New Roman" w:hAnsi="Times New Roman" w:cs="Times New Roman"/>
                <w:sz w:val="21"/>
                <w:szCs w:val="21"/>
              </w:rPr>
            </w:pPr>
          </w:p>
        </w:tc>
      </w:tr>
      <w:tr w14:paraId="7FB9F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72EA2BC7">
            <w:pPr>
              <w:bidi w:val="0"/>
              <w:spacing w:line="240" w:lineRule="auto"/>
              <w:jc w:val="center"/>
              <w:rPr>
                <w:sz w:val="21"/>
                <w:szCs w:val="21"/>
              </w:rPr>
            </w:pPr>
            <w:r>
              <w:rPr>
                <w:sz w:val="21"/>
                <w:szCs w:val="21"/>
              </w:rPr>
              <w:t>18</w:t>
            </w:r>
          </w:p>
        </w:tc>
        <w:tc>
          <w:tcPr>
            <w:tcW w:w="2633" w:type="pct"/>
            <w:vAlign w:val="center"/>
          </w:tcPr>
          <w:p w14:paraId="6319FE15">
            <w:pPr>
              <w:bidi w:val="0"/>
              <w:spacing w:line="240" w:lineRule="auto"/>
              <w:jc w:val="center"/>
              <w:rPr>
                <w:sz w:val="21"/>
                <w:szCs w:val="21"/>
              </w:rPr>
            </w:pPr>
            <w:r>
              <w:rPr>
                <w:sz w:val="21"/>
                <w:szCs w:val="21"/>
              </w:rPr>
              <w:t>细胞总数</w:t>
            </w:r>
            <w:r>
              <w:rPr>
                <w:rFonts w:hint="eastAsia"/>
                <w:sz w:val="21"/>
                <w:szCs w:val="21"/>
                <w:lang w:val="en-US" w:eastAsia="zh-CN"/>
              </w:rPr>
              <w:t>/（CFU/ml）</w:t>
            </w:r>
          </w:p>
        </w:tc>
        <w:tc>
          <w:tcPr>
            <w:tcW w:w="885" w:type="pct"/>
            <w:vAlign w:val="center"/>
          </w:tcPr>
          <w:p w14:paraId="7268C4BF">
            <w:pPr>
              <w:bidi w:val="0"/>
              <w:spacing w:line="240" w:lineRule="auto"/>
              <w:jc w:val="center"/>
              <w:rPr>
                <w:sz w:val="21"/>
                <w:szCs w:val="21"/>
              </w:rPr>
            </w:pPr>
            <w:r>
              <w:rPr>
                <w:sz w:val="21"/>
                <w:szCs w:val="21"/>
              </w:rPr>
              <w:t>≤100</w:t>
            </w:r>
          </w:p>
        </w:tc>
        <w:tc>
          <w:tcPr>
            <w:tcW w:w="989" w:type="pct"/>
            <w:vMerge w:val="continue"/>
            <w:vAlign w:val="center"/>
          </w:tcPr>
          <w:p w14:paraId="7B5F94B3">
            <w:pPr>
              <w:jc w:val="center"/>
              <w:rPr>
                <w:rFonts w:ascii="Times New Roman" w:hAnsi="Times New Roman" w:cs="Times New Roman"/>
                <w:sz w:val="21"/>
                <w:szCs w:val="21"/>
              </w:rPr>
            </w:pPr>
          </w:p>
        </w:tc>
      </w:tr>
      <w:tr w14:paraId="460F3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010" w:type="pct"/>
            <w:gridSpan w:val="3"/>
            <w:vAlign w:val="center"/>
          </w:tcPr>
          <w:p w14:paraId="56D5216A">
            <w:pPr>
              <w:bidi w:val="0"/>
              <w:spacing w:line="240" w:lineRule="auto"/>
              <w:jc w:val="center"/>
              <w:rPr>
                <w:rFonts w:hint="default"/>
                <w:sz w:val="21"/>
                <w:szCs w:val="21"/>
                <w:lang w:val="en-US" w:eastAsia="zh-CN"/>
              </w:rPr>
            </w:pPr>
            <w:r>
              <w:rPr>
                <w:rFonts w:hint="eastAsia"/>
                <w:b/>
                <w:bCs/>
                <w:sz w:val="21"/>
                <w:szCs w:val="21"/>
                <w:lang w:val="en-US" w:eastAsia="zh-CN"/>
              </w:rPr>
              <w:t>毒理学指标</w:t>
            </w:r>
          </w:p>
        </w:tc>
        <w:tc>
          <w:tcPr>
            <w:tcW w:w="989" w:type="pct"/>
            <w:vMerge w:val="continue"/>
            <w:vAlign w:val="center"/>
          </w:tcPr>
          <w:p w14:paraId="5327F503">
            <w:pPr>
              <w:jc w:val="center"/>
              <w:rPr>
                <w:rFonts w:ascii="Times New Roman" w:hAnsi="Times New Roman" w:cs="Times New Roman"/>
                <w:sz w:val="21"/>
                <w:szCs w:val="21"/>
              </w:rPr>
            </w:pPr>
          </w:p>
        </w:tc>
      </w:tr>
      <w:tr w14:paraId="5E37D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175964FC">
            <w:pPr>
              <w:bidi w:val="0"/>
              <w:spacing w:line="240" w:lineRule="auto"/>
              <w:jc w:val="center"/>
              <w:rPr>
                <w:sz w:val="21"/>
                <w:szCs w:val="21"/>
              </w:rPr>
            </w:pPr>
            <w:r>
              <w:rPr>
                <w:sz w:val="21"/>
                <w:szCs w:val="21"/>
              </w:rPr>
              <w:t>19</w:t>
            </w:r>
          </w:p>
        </w:tc>
        <w:tc>
          <w:tcPr>
            <w:tcW w:w="2633" w:type="pct"/>
            <w:vAlign w:val="center"/>
          </w:tcPr>
          <w:p w14:paraId="69CB3CB5">
            <w:pPr>
              <w:bidi w:val="0"/>
              <w:spacing w:line="240" w:lineRule="auto"/>
              <w:jc w:val="center"/>
              <w:rPr>
                <w:sz w:val="21"/>
                <w:szCs w:val="21"/>
              </w:rPr>
            </w:pPr>
            <w:r>
              <w:rPr>
                <w:sz w:val="21"/>
                <w:szCs w:val="21"/>
              </w:rPr>
              <w:t>亚硝酸盐（以N计</w:t>
            </w:r>
            <w:r>
              <w:rPr>
                <w:rFonts w:hint="eastAsia"/>
                <w:sz w:val="21"/>
                <w:szCs w:val="21"/>
                <w:lang w:val="en-US" w:eastAsia="zh-CN"/>
              </w:rPr>
              <w:t>）</w:t>
            </w:r>
          </w:p>
        </w:tc>
        <w:tc>
          <w:tcPr>
            <w:tcW w:w="885" w:type="pct"/>
            <w:vAlign w:val="center"/>
          </w:tcPr>
          <w:p w14:paraId="6464E312">
            <w:pPr>
              <w:bidi w:val="0"/>
              <w:spacing w:line="240" w:lineRule="auto"/>
              <w:jc w:val="center"/>
              <w:rPr>
                <w:sz w:val="21"/>
                <w:szCs w:val="21"/>
              </w:rPr>
            </w:pPr>
            <w:r>
              <w:rPr>
                <w:sz w:val="21"/>
                <w:szCs w:val="21"/>
              </w:rPr>
              <w:t>≤1.00</w:t>
            </w:r>
          </w:p>
        </w:tc>
        <w:tc>
          <w:tcPr>
            <w:tcW w:w="989" w:type="pct"/>
            <w:vMerge w:val="continue"/>
            <w:vAlign w:val="center"/>
          </w:tcPr>
          <w:p w14:paraId="2880E19E">
            <w:pPr>
              <w:jc w:val="center"/>
              <w:rPr>
                <w:rFonts w:ascii="Times New Roman" w:hAnsi="Times New Roman" w:cs="Times New Roman"/>
                <w:sz w:val="21"/>
                <w:szCs w:val="21"/>
              </w:rPr>
            </w:pPr>
          </w:p>
        </w:tc>
      </w:tr>
      <w:tr w14:paraId="4E4B8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5B02BDD4">
            <w:pPr>
              <w:bidi w:val="0"/>
              <w:spacing w:line="240" w:lineRule="auto"/>
              <w:jc w:val="center"/>
              <w:rPr>
                <w:sz w:val="21"/>
                <w:szCs w:val="21"/>
              </w:rPr>
            </w:pPr>
            <w:r>
              <w:rPr>
                <w:sz w:val="21"/>
                <w:szCs w:val="21"/>
              </w:rPr>
              <w:t>20</w:t>
            </w:r>
          </w:p>
        </w:tc>
        <w:tc>
          <w:tcPr>
            <w:tcW w:w="2633" w:type="pct"/>
            <w:vAlign w:val="center"/>
          </w:tcPr>
          <w:p w14:paraId="66629B5F">
            <w:pPr>
              <w:bidi w:val="0"/>
              <w:spacing w:line="240" w:lineRule="auto"/>
              <w:jc w:val="center"/>
              <w:rPr>
                <w:sz w:val="21"/>
                <w:szCs w:val="21"/>
              </w:rPr>
            </w:pPr>
            <w:r>
              <w:rPr>
                <w:sz w:val="21"/>
                <w:szCs w:val="21"/>
              </w:rPr>
              <w:t>硝酸盐（以N计</w:t>
            </w:r>
            <w:r>
              <w:rPr>
                <w:rFonts w:hint="eastAsia"/>
                <w:sz w:val="21"/>
                <w:szCs w:val="21"/>
                <w:lang w:val="en-US" w:eastAsia="zh-CN"/>
              </w:rPr>
              <w:t>）</w:t>
            </w:r>
          </w:p>
        </w:tc>
        <w:tc>
          <w:tcPr>
            <w:tcW w:w="885" w:type="pct"/>
            <w:vAlign w:val="center"/>
          </w:tcPr>
          <w:p w14:paraId="41B0A61A">
            <w:pPr>
              <w:bidi w:val="0"/>
              <w:spacing w:line="240" w:lineRule="auto"/>
              <w:jc w:val="center"/>
              <w:rPr>
                <w:sz w:val="21"/>
                <w:szCs w:val="21"/>
              </w:rPr>
            </w:pPr>
            <w:r>
              <w:rPr>
                <w:sz w:val="21"/>
                <w:szCs w:val="21"/>
              </w:rPr>
              <w:t>≤20</w:t>
            </w:r>
          </w:p>
        </w:tc>
        <w:tc>
          <w:tcPr>
            <w:tcW w:w="989" w:type="pct"/>
            <w:vMerge w:val="continue"/>
            <w:vAlign w:val="center"/>
          </w:tcPr>
          <w:p w14:paraId="629BEB1B">
            <w:pPr>
              <w:jc w:val="center"/>
              <w:rPr>
                <w:rFonts w:ascii="Times New Roman" w:hAnsi="Times New Roman" w:cs="Times New Roman"/>
                <w:sz w:val="21"/>
                <w:szCs w:val="21"/>
              </w:rPr>
            </w:pPr>
          </w:p>
        </w:tc>
      </w:tr>
      <w:tr w14:paraId="42EE3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201D595A">
            <w:pPr>
              <w:bidi w:val="0"/>
              <w:spacing w:line="240" w:lineRule="auto"/>
              <w:jc w:val="center"/>
              <w:rPr>
                <w:sz w:val="21"/>
                <w:szCs w:val="21"/>
              </w:rPr>
            </w:pPr>
            <w:r>
              <w:rPr>
                <w:sz w:val="21"/>
                <w:szCs w:val="21"/>
              </w:rPr>
              <w:t>21</w:t>
            </w:r>
          </w:p>
        </w:tc>
        <w:tc>
          <w:tcPr>
            <w:tcW w:w="2633" w:type="pct"/>
            <w:vAlign w:val="center"/>
          </w:tcPr>
          <w:p w14:paraId="09B2429A">
            <w:pPr>
              <w:bidi w:val="0"/>
              <w:spacing w:line="240" w:lineRule="auto"/>
              <w:jc w:val="center"/>
              <w:rPr>
                <w:sz w:val="21"/>
                <w:szCs w:val="21"/>
              </w:rPr>
            </w:pPr>
            <w:r>
              <w:rPr>
                <w:sz w:val="21"/>
                <w:szCs w:val="21"/>
              </w:rPr>
              <w:t>氰化物</w:t>
            </w:r>
          </w:p>
        </w:tc>
        <w:tc>
          <w:tcPr>
            <w:tcW w:w="885" w:type="pct"/>
            <w:vAlign w:val="center"/>
          </w:tcPr>
          <w:p w14:paraId="6222110E">
            <w:pPr>
              <w:bidi w:val="0"/>
              <w:spacing w:line="240" w:lineRule="auto"/>
              <w:jc w:val="center"/>
              <w:rPr>
                <w:sz w:val="21"/>
                <w:szCs w:val="21"/>
              </w:rPr>
            </w:pPr>
            <w:r>
              <w:rPr>
                <w:sz w:val="21"/>
                <w:szCs w:val="21"/>
              </w:rPr>
              <w:t>≤0.05</w:t>
            </w:r>
          </w:p>
        </w:tc>
        <w:tc>
          <w:tcPr>
            <w:tcW w:w="989" w:type="pct"/>
            <w:vMerge w:val="continue"/>
            <w:vAlign w:val="center"/>
          </w:tcPr>
          <w:p w14:paraId="01A0BBBD">
            <w:pPr>
              <w:jc w:val="center"/>
              <w:rPr>
                <w:rFonts w:ascii="Times New Roman" w:hAnsi="Times New Roman" w:cs="Times New Roman"/>
                <w:sz w:val="21"/>
                <w:szCs w:val="21"/>
              </w:rPr>
            </w:pPr>
          </w:p>
        </w:tc>
      </w:tr>
      <w:tr w14:paraId="5160B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vAlign w:val="center"/>
          </w:tcPr>
          <w:p w14:paraId="62F09A08">
            <w:pPr>
              <w:bidi w:val="0"/>
              <w:spacing w:line="240" w:lineRule="auto"/>
              <w:jc w:val="center"/>
              <w:rPr>
                <w:sz w:val="21"/>
                <w:szCs w:val="21"/>
              </w:rPr>
            </w:pPr>
            <w:r>
              <w:rPr>
                <w:sz w:val="21"/>
                <w:szCs w:val="21"/>
              </w:rPr>
              <w:t>22</w:t>
            </w:r>
          </w:p>
        </w:tc>
        <w:tc>
          <w:tcPr>
            <w:tcW w:w="2633" w:type="pct"/>
            <w:vAlign w:val="center"/>
          </w:tcPr>
          <w:p w14:paraId="2A42D2F3">
            <w:pPr>
              <w:bidi w:val="0"/>
              <w:spacing w:line="240" w:lineRule="auto"/>
              <w:jc w:val="center"/>
              <w:rPr>
                <w:sz w:val="21"/>
                <w:szCs w:val="21"/>
              </w:rPr>
            </w:pPr>
            <w:r>
              <w:rPr>
                <w:sz w:val="21"/>
                <w:szCs w:val="21"/>
              </w:rPr>
              <w:t>氟化物</w:t>
            </w:r>
          </w:p>
        </w:tc>
        <w:tc>
          <w:tcPr>
            <w:tcW w:w="885" w:type="pct"/>
            <w:vAlign w:val="center"/>
          </w:tcPr>
          <w:p w14:paraId="51960904">
            <w:pPr>
              <w:bidi w:val="0"/>
              <w:spacing w:line="240" w:lineRule="auto"/>
              <w:jc w:val="center"/>
              <w:rPr>
                <w:sz w:val="21"/>
                <w:szCs w:val="21"/>
              </w:rPr>
            </w:pPr>
            <w:r>
              <w:rPr>
                <w:sz w:val="21"/>
                <w:szCs w:val="21"/>
              </w:rPr>
              <w:t>≤1.0</w:t>
            </w:r>
          </w:p>
        </w:tc>
        <w:tc>
          <w:tcPr>
            <w:tcW w:w="989" w:type="pct"/>
            <w:vMerge w:val="continue"/>
            <w:vAlign w:val="center"/>
          </w:tcPr>
          <w:p w14:paraId="628B2338">
            <w:pPr>
              <w:jc w:val="center"/>
              <w:rPr>
                <w:rFonts w:ascii="Times New Roman" w:hAnsi="Times New Roman" w:cs="Times New Roman"/>
                <w:sz w:val="21"/>
                <w:szCs w:val="21"/>
              </w:rPr>
            </w:pPr>
          </w:p>
        </w:tc>
      </w:tr>
      <w:tr w14:paraId="7ABAB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2C8739E7">
            <w:pPr>
              <w:bidi w:val="0"/>
              <w:spacing w:line="240" w:lineRule="auto"/>
              <w:jc w:val="center"/>
              <w:rPr>
                <w:sz w:val="21"/>
                <w:szCs w:val="21"/>
                <w:lang w:val="en-US" w:eastAsia="zh-CN"/>
              </w:rPr>
            </w:pPr>
            <w:r>
              <w:rPr>
                <w:sz w:val="21"/>
                <w:szCs w:val="21"/>
              </w:rPr>
              <w:t>23</w:t>
            </w:r>
          </w:p>
        </w:tc>
        <w:tc>
          <w:tcPr>
            <w:tcW w:w="2633" w:type="pct"/>
            <w:vAlign w:val="center"/>
          </w:tcPr>
          <w:p w14:paraId="0D72C27B">
            <w:pPr>
              <w:bidi w:val="0"/>
              <w:spacing w:line="240" w:lineRule="auto"/>
              <w:jc w:val="center"/>
              <w:rPr>
                <w:rFonts w:hint="eastAsia"/>
                <w:sz w:val="21"/>
                <w:szCs w:val="21"/>
                <w:lang w:val="en-US" w:eastAsia="zh-CN"/>
              </w:rPr>
            </w:pPr>
            <w:r>
              <w:rPr>
                <w:rFonts w:hint="eastAsia"/>
                <w:sz w:val="21"/>
                <w:szCs w:val="21"/>
                <w:lang w:val="en-US" w:eastAsia="zh-CN"/>
              </w:rPr>
              <w:t>碘化物</w:t>
            </w:r>
          </w:p>
        </w:tc>
        <w:tc>
          <w:tcPr>
            <w:tcW w:w="885" w:type="pct"/>
            <w:vAlign w:val="center"/>
          </w:tcPr>
          <w:p w14:paraId="28F7D70C">
            <w:pPr>
              <w:bidi w:val="0"/>
              <w:spacing w:line="240" w:lineRule="auto"/>
              <w:jc w:val="center"/>
              <w:rPr>
                <w:rFonts w:hint="default"/>
                <w:sz w:val="21"/>
                <w:szCs w:val="21"/>
                <w:lang w:val="en-US" w:eastAsia="zh-CN"/>
              </w:rPr>
            </w:pPr>
            <w:r>
              <w:rPr>
                <w:sz w:val="21"/>
                <w:szCs w:val="21"/>
              </w:rPr>
              <w:t>≤</w:t>
            </w:r>
            <w:r>
              <w:rPr>
                <w:rFonts w:hint="eastAsia"/>
                <w:sz w:val="21"/>
                <w:szCs w:val="21"/>
                <w:lang w:val="en-US" w:eastAsia="zh-CN"/>
              </w:rPr>
              <w:t>0.08</w:t>
            </w:r>
          </w:p>
        </w:tc>
        <w:tc>
          <w:tcPr>
            <w:tcW w:w="989" w:type="pct"/>
            <w:vMerge w:val="continue"/>
            <w:vAlign w:val="center"/>
          </w:tcPr>
          <w:p w14:paraId="0A1E251A">
            <w:pPr>
              <w:jc w:val="center"/>
              <w:rPr>
                <w:rFonts w:ascii="Times New Roman" w:hAnsi="Times New Roman" w:cs="Times New Roman"/>
                <w:sz w:val="21"/>
                <w:szCs w:val="21"/>
              </w:rPr>
            </w:pPr>
          </w:p>
        </w:tc>
      </w:tr>
      <w:tr w14:paraId="65AE1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2C2BD5A2">
            <w:pPr>
              <w:bidi w:val="0"/>
              <w:spacing w:line="240" w:lineRule="auto"/>
              <w:jc w:val="center"/>
              <w:rPr>
                <w:sz w:val="21"/>
                <w:szCs w:val="21"/>
                <w:lang w:val="en-US" w:eastAsia="zh-CN"/>
              </w:rPr>
            </w:pPr>
            <w:r>
              <w:rPr>
                <w:sz w:val="21"/>
                <w:szCs w:val="21"/>
              </w:rPr>
              <w:t>24</w:t>
            </w:r>
          </w:p>
        </w:tc>
        <w:tc>
          <w:tcPr>
            <w:tcW w:w="2633" w:type="pct"/>
            <w:vAlign w:val="center"/>
          </w:tcPr>
          <w:p w14:paraId="6AFE902E">
            <w:pPr>
              <w:bidi w:val="0"/>
              <w:spacing w:line="240" w:lineRule="auto"/>
              <w:jc w:val="center"/>
              <w:rPr>
                <w:sz w:val="21"/>
                <w:szCs w:val="21"/>
              </w:rPr>
            </w:pPr>
            <w:r>
              <w:rPr>
                <w:sz w:val="21"/>
                <w:szCs w:val="21"/>
              </w:rPr>
              <w:t>汞</w:t>
            </w:r>
          </w:p>
        </w:tc>
        <w:tc>
          <w:tcPr>
            <w:tcW w:w="885" w:type="pct"/>
            <w:vAlign w:val="center"/>
          </w:tcPr>
          <w:p w14:paraId="13A9D1E6">
            <w:pPr>
              <w:bidi w:val="0"/>
              <w:spacing w:line="240" w:lineRule="auto"/>
              <w:jc w:val="center"/>
              <w:rPr>
                <w:sz w:val="21"/>
                <w:szCs w:val="21"/>
              </w:rPr>
            </w:pPr>
            <w:r>
              <w:rPr>
                <w:sz w:val="21"/>
                <w:szCs w:val="21"/>
              </w:rPr>
              <w:t>≤0.001</w:t>
            </w:r>
          </w:p>
        </w:tc>
        <w:tc>
          <w:tcPr>
            <w:tcW w:w="989" w:type="pct"/>
            <w:vMerge w:val="continue"/>
            <w:vAlign w:val="center"/>
          </w:tcPr>
          <w:p w14:paraId="606A3966">
            <w:pPr>
              <w:jc w:val="center"/>
              <w:rPr>
                <w:rFonts w:ascii="Times New Roman" w:hAnsi="Times New Roman" w:cs="Times New Roman"/>
                <w:sz w:val="21"/>
                <w:szCs w:val="21"/>
              </w:rPr>
            </w:pPr>
          </w:p>
        </w:tc>
      </w:tr>
      <w:tr w14:paraId="62B5B4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66B28ADB">
            <w:pPr>
              <w:bidi w:val="0"/>
              <w:spacing w:line="240" w:lineRule="auto"/>
              <w:jc w:val="center"/>
              <w:rPr>
                <w:sz w:val="21"/>
                <w:szCs w:val="21"/>
                <w:lang w:val="en-US" w:eastAsia="zh-CN"/>
              </w:rPr>
            </w:pPr>
            <w:r>
              <w:rPr>
                <w:sz w:val="21"/>
                <w:szCs w:val="21"/>
              </w:rPr>
              <w:t>25</w:t>
            </w:r>
          </w:p>
        </w:tc>
        <w:tc>
          <w:tcPr>
            <w:tcW w:w="2633" w:type="pct"/>
            <w:vAlign w:val="center"/>
          </w:tcPr>
          <w:p w14:paraId="527CAE88">
            <w:pPr>
              <w:bidi w:val="0"/>
              <w:spacing w:line="240" w:lineRule="auto"/>
              <w:jc w:val="center"/>
              <w:rPr>
                <w:sz w:val="21"/>
                <w:szCs w:val="21"/>
              </w:rPr>
            </w:pPr>
            <w:r>
              <w:rPr>
                <w:sz w:val="21"/>
                <w:szCs w:val="21"/>
              </w:rPr>
              <w:t>砷</w:t>
            </w:r>
          </w:p>
        </w:tc>
        <w:tc>
          <w:tcPr>
            <w:tcW w:w="885" w:type="pct"/>
            <w:vAlign w:val="center"/>
          </w:tcPr>
          <w:p w14:paraId="7A0114C4">
            <w:pPr>
              <w:bidi w:val="0"/>
              <w:spacing w:line="240" w:lineRule="auto"/>
              <w:jc w:val="center"/>
              <w:rPr>
                <w:sz w:val="21"/>
                <w:szCs w:val="21"/>
              </w:rPr>
            </w:pPr>
            <w:r>
              <w:rPr>
                <w:sz w:val="21"/>
                <w:szCs w:val="21"/>
              </w:rPr>
              <w:t>≤0.01</w:t>
            </w:r>
          </w:p>
        </w:tc>
        <w:tc>
          <w:tcPr>
            <w:tcW w:w="989" w:type="pct"/>
            <w:vMerge w:val="continue"/>
            <w:vAlign w:val="center"/>
          </w:tcPr>
          <w:p w14:paraId="0A174082">
            <w:pPr>
              <w:jc w:val="center"/>
              <w:rPr>
                <w:rFonts w:ascii="Times New Roman" w:hAnsi="Times New Roman" w:cs="Times New Roman"/>
                <w:sz w:val="21"/>
                <w:szCs w:val="21"/>
              </w:rPr>
            </w:pPr>
          </w:p>
        </w:tc>
      </w:tr>
      <w:tr w14:paraId="77487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7E0384C5">
            <w:pPr>
              <w:bidi w:val="0"/>
              <w:spacing w:line="240" w:lineRule="auto"/>
              <w:jc w:val="center"/>
              <w:rPr>
                <w:sz w:val="21"/>
                <w:szCs w:val="21"/>
                <w:lang w:val="en-US" w:eastAsia="zh-CN"/>
              </w:rPr>
            </w:pPr>
            <w:r>
              <w:rPr>
                <w:sz w:val="21"/>
                <w:szCs w:val="21"/>
              </w:rPr>
              <w:t>26</w:t>
            </w:r>
          </w:p>
        </w:tc>
        <w:tc>
          <w:tcPr>
            <w:tcW w:w="2633" w:type="pct"/>
            <w:vAlign w:val="center"/>
          </w:tcPr>
          <w:p w14:paraId="26F1F1B2">
            <w:pPr>
              <w:bidi w:val="0"/>
              <w:spacing w:line="240" w:lineRule="auto"/>
              <w:jc w:val="center"/>
              <w:rPr>
                <w:rFonts w:hint="eastAsia"/>
                <w:sz w:val="21"/>
                <w:szCs w:val="21"/>
                <w:lang w:val="en-US" w:eastAsia="zh-CN"/>
              </w:rPr>
            </w:pPr>
            <w:r>
              <w:rPr>
                <w:rFonts w:hint="eastAsia"/>
                <w:sz w:val="21"/>
                <w:szCs w:val="21"/>
                <w:lang w:val="en-US" w:eastAsia="zh-CN"/>
              </w:rPr>
              <w:t>硒</w:t>
            </w:r>
          </w:p>
        </w:tc>
        <w:tc>
          <w:tcPr>
            <w:tcW w:w="885" w:type="pct"/>
            <w:vAlign w:val="center"/>
          </w:tcPr>
          <w:p w14:paraId="78C605F6">
            <w:pPr>
              <w:bidi w:val="0"/>
              <w:spacing w:line="240" w:lineRule="auto"/>
              <w:jc w:val="center"/>
              <w:rPr>
                <w:sz w:val="21"/>
                <w:szCs w:val="21"/>
              </w:rPr>
            </w:pPr>
            <w:r>
              <w:rPr>
                <w:sz w:val="21"/>
                <w:szCs w:val="21"/>
              </w:rPr>
              <w:t>≤0.01</w:t>
            </w:r>
          </w:p>
        </w:tc>
        <w:tc>
          <w:tcPr>
            <w:tcW w:w="989" w:type="pct"/>
            <w:vMerge w:val="continue"/>
            <w:vAlign w:val="center"/>
          </w:tcPr>
          <w:p w14:paraId="2A4F5E9E">
            <w:pPr>
              <w:jc w:val="center"/>
              <w:rPr>
                <w:rFonts w:ascii="Times New Roman" w:hAnsi="Times New Roman" w:cs="Times New Roman"/>
                <w:sz w:val="21"/>
                <w:szCs w:val="21"/>
              </w:rPr>
            </w:pPr>
          </w:p>
        </w:tc>
      </w:tr>
      <w:tr w14:paraId="051C4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7507A735">
            <w:pPr>
              <w:bidi w:val="0"/>
              <w:spacing w:line="240" w:lineRule="auto"/>
              <w:jc w:val="center"/>
              <w:rPr>
                <w:sz w:val="21"/>
                <w:szCs w:val="21"/>
                <w:lang w:val="en-US" w:eastAsia="zh-CN"/>
              </w:rPr>
            </w:pPr>
            <w:r>
              <w:rPr>
                <w:sz w:val="21"/>
                <w:szCs w:val="21"/>
              </w:rPr>
              <w:t>27</w:t>
            </w:r>
          </w:p>
        </w:tc>
        <w:tc>
          <w:tcPr>
            <w:tcW w:w="2633" w:type="pct"/>
            <w:vAlign w:val="center"/>
          </w:tcPr>
          <w:p w14:paraId="1DE0FEC6">
            <w:pPr>
              <w:bidi w:val="0"/>
              <w:spacing w:line="240" w:lineRule="auto"/>
              <w:jc w:val="center"/>
              <w:rPr>
                <w:sz w:val="21"/>
                <w:szCs w:val="21"/>
              </w:rPr>
            </w:pPr>
            <w:r>
              <w:rPr>
                <w:sz w:val="21"/>
                <w:szCs w:val="21"/>
              </w:rPr>
              <w:t>镉</w:t>
            </w:r>
          </w:p>
        </w:tc>
        <w:tc>
          <w:tcPr>
            <w:tcW w:w="885" w:type="pct"/>
            <w:vAlign w:val="center"/>
          </w:tcPr>
          <w:p w14:paraId="12ED6266">
            <w:pPr>
              <w:bidi w:val="0"/>
              <w:spacing w:line="240" w:lineRule="auto"/>
              <w:jc w:val="center"/>
              <w:rPr>
                <w:sz w:val="21"/>
                <w:szCs w:val="21"/>
              </w:rPr>
            </w:pPr>
            <w:r>
              <w:rPr>
                <w:sz w:val="21"/>
                <w:szCs w:val="21"/>
              </w:rPr>
              <w:t>≤0.005</w:t>
            </w:r>
          </w:p>
        </w:tc>
        <w:tc>
          <w:tcPr>
            <w:tcW w:w="989" w:type="pct"/>
            <w:vMerge w:val="continue"/>
            <w:vAlign w:val="center"/>
          </w:tcPr>
          <w:p w14:paraId="63AB84D7">
            <w:pPr>
              <w:jc w:val="center"/>
              <w:rPr>
                <w:rFonts w:ascii="Times New Roman" w:hAnsi="Times New Roman" w:cs="Times New Roman"/>
                <w:sz w:val="21"/>
                <w:szCs w:val="21"/>
              </w:rPr>
            </w:pPr>
          </w:p>
        </w:tc>
      </w:tr>
      <w:tr w14:paraId="3DC17C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7BC306A6">
            <w:pPr>
              <w:bidi w:val="0"/>
              <w:spacing w:line="240" w:lineRule="auto"/>
              <w:jc w:val="center"/>
              <w:rPr>
                <w:rFonts w:hint="default"/>
                <w:sz w:val="21"/>
                <w:szCs w:val="21"/>
                <w:lang w:val="en-US" w:eastAsia="zh-CN"/>
              </w:rPr>
            </w:pPr>
            <w:r>
              <w:rPr>
                <w:rFonts w:hint="eastAsia"/>
                <w:sz w:val="21"/>
                <w:szCs w:val="21"/>
                <w:lang w:val="en-US" w:eastAsia="zh-CN"/>
              </w:rPr>
              <w:t>28</w:t>
            </w:r>
          </w:p>
        </w:tc>
        <w:tc>
          <w:tcPr>
            <w:tcW w:w="2633" w:type="pct"/>
            <w:vAlign w:val="center"/>
          </w:tcPr>
          <w:p w14:paraId="4B8EE80E">
            <w:pPr>
              <w:bidi w:val="0"/>
              <w:spacing w:line="240" w:lineRule="auto"/>
              <w:jc w:val="center"/>
              <w:rPr>
                <w:rFonts w:hint="eastAsia"/>
                <w:sz w:val="21"/>
                <w:szCs w:val="21"/>
                <w:lang w:val="en-US" w:eastAsia="zh-CN"/>
              </w:rPr>
            </w:pPr>
            <w:r>
              <w:rPr>
                <w:rFonts w:hint="eastAsia"/>
                <w:sz w:val="21"/>
                <w:szCs w:val="21"/>
                <w:lang w:val="en-US" w:eastAsia="zh-CN"/>
              </w:rPr>
              <w:t>铬（六价）</w:t>
            </w:r>
          </w:p>
        </w:tc>
        <w:tc>
          <w:tcPr>
            <w:tcW w:w="885" w:type="pct"/>
            <w:vAlign w:val="center"/>
          </w:tcPr>
          <w:p w14:paraId="4EC55F29">
            <w:pPr>
              <w:bidi w:val="0"/>
              <w:spacing w:line="240" w:lineRule="auto"/>
              <w:jc w:val="center"/>
              <w:rPr>
                <w:sz w:val="21"/>
                <w:szCs w:val="21"/>
              </w:rPr>
            </w:pPr>
            <w:r>
              <w:rPr>
                <w:sz w:val="21"/>
                <w:szCs w:val="21"/>
              </w:rPr>
              <w:t>≤0.05</w:t>
            </w:r>
          </w:p>
        </w:tc>
        <w:tc>
          <w:tcPr>
            <w:tcW w:w="989" w:type="pct"/>
            <w:vMerge w:val="continue"/>
            <w:vAlign w:val="center"/>
          </w:tcPr>
          <w:p w14:paraId="7026235F">
            <w:pPr>
              <w:jc w:val="center"/>
              <w:rPr>
                <w:rFonts w:ascii="Times New Roman" w:hAnsi="Times New Roman" w:cs="Times New Roman"/>
                <w:sz w:val="21"/>
                <w:szCs w:val="21"/>
              </w:rPr>
            </w:pPr>
          </w:p>
        </w:tc>
      </w:tr>
      <w:tr w14:paraId="4D6AF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491" w:type="pct"/>
            <w:shd w:val="clear" w:color="auto" w:fill="auto"/>
            <w:vAlign w:val="center"/>
          </w:tcPr>
          <w:p w14:paraId="03528541">
            <w:pPr>
              <w:bidi w:val="0"/>
              <w:spacing w:line="240" w:lineRule="auto"/>
              <w:jc w:val="center"/>
              <w:rPr>
                <w:rFonts w:hint="default"/>
                <w:sz w:val="21"/>
                <w:szCs w:val="21"/>
                <w:lang w:val="en-US" w:eastAsia="zh-CN"/>
              </w:rPr>
            </w:pPr>
            <w:r>
              <w:rPr>
                <w:rFonts w:hint="eastAsia"/>
                <w:sz w:val="21"/>
                <w:szCs w:val="21"/>
                <w:lang w:val="en-US" w:eastAsia="zh-CN"/>
              </w:rPr>
              <w:t>29</w:t>
            </w:r>
          </w:p>
        </w:tc>
        <w:tc>
          <w:tcPr>
            <w:tcW w:w="2633" w:type="pct"/>
            <w:vAlign w:val="center"/>
          </w:tcPr>
          <w:p w14:paraId="4322AE56">
            <w:pPr>
              <w:bidi w:val="0"/>
              <w:spacing w:line="240" w:lineRule="auto"/>
              <w:jc w:val="center"/>
              <w:rPr>
                <w:rFonts w:hint="default"/>
                <w:sz w:val="21"/>
                <w:szCs w:val="21"/>
                <w:lang w:val="en-US" w:eastAsia="zh-CN"/>
              </w:rPr>
            </w:pPr>
            <w:r>
              <w:rPr>
                <w:rFonts w:hint="eastAsia"/>
                <w:sz w:val="21"/>
                <w:szCs w:val="21"/>
                <w:lang w:val="en-US" w:eastAsia="zh-CN"/>
              </w:rPr>
              <w:t>铅</w:t>
            </w:r>
          </w:p>
        </w:tc>
        <w:tc>
          <w:tcPr>
            <w:tcW w:w="885" w:type="pct"/>
            <w:vAlign w:val="center"/>
          </w:tcPr>
          <w:p w14:paraId="6A20C743">
            <w:pPr>
              <w:bidi w:val="0"/>
              <w:spacing w:line="240" w:lineRule="auto"/>
              <w:jc w:val="center"/>
              <w:rPr>
                <w:sz w:val="21"/>
                <w:szCs w:val="21"/>
              </w:rPr>
            </w:pPr>
            <w:r>
              <w:rPr>
                <w:sz w:val="21"/>
                <w:szCs w:val="21"/>
              </w:rPr>
              <w:t>≤0.01</w:t>
            </w:r>
          </w:p>
        </w:tc>
        <w:tc>
          <w:tcPr>
            <w:tcW w:w="989" w:type="pct"/>
            <w:vMerge w:val="continue"/>
            <w:vAlign w:val="center"/>
          </w:tcPr>
          <w:p w14:paraId="06B4B52F">
            <w:pPr>
              <w:jc w:val="center"/>
              <w:rPr>
                <w:rFonts w:ascii="Times New Roman" w:hAnsi="Times New Roman" w:cs="Times New Roman"/>
                <w:sz w:val="21"/>
                <w:szCs w:val="21"/>
              </w:rPr>
            </w:pPr>
          </w:p>
        </w:tc>
      </w:tr>
      <w:tr w14:paraId="76858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009950F2">
            <w:pPr>
              <w:bidi w:val="0"/>
              <w:spacing w:line="240" w:lineRule="auto"/>
              <w:jc w:val="center"/>
              <w:rPr>
                <w:rFonts w:hint="default"/>
                <w:sz w:val="21"/>
                <w:szCs w:val="21"/>
                <w:lang w:val="en-US" w:eastAsia="zh-CN"/>
              </w:rPr>
            </w:pPr>
            <w:r>
              <w:rPr>
                <w:rFonts w:hint="eastAsia"/>
                <w:sz w:val="21"/>
                <w:szCs w:val="21"/>
                <w:lang w:val="en-US" w:eastAsia="zh-CN"/>
              </w:rPr>
              <w:t>30</w:t>
            </w:r>
          </w:p>
        </w:tc>
        <w:tc>
          <w:tcPr>
            <w:tcW w:w="2633" w:type="pct"/>
            <w:vAlign w:val="center"/>
          </w:tcPr>
          <w:p w14:paraId="3041CAF8">
            <w:pPr>
              <w:bidi w:val="0"/>
              <w:spacing w:line="240" w:lineRule="auto"/>
              <w:jc w:val="center"/>
              <w:rPr>
                <w:rFonts w:hint="default"/>
                <w:sz w:val="21"/>
                <w:szCs w:val="21"/>
                <w:lang w:val="en-US" w:eastAsia="zh-CN"/>
              </w:rPr>
            </w:pPr>
            <w:r>
              <w:rPr>
                <w:rFonts w:hint="eastAsia"/>
                <w:sz w:val="21"/>
                <w:szCs w:val="21"/>
                <w:lang w:val="en-US" w:eastAsia="zh-CN"/>
              </w:rPr>
              <w:t>三氯甲烷</w:t>
            </w:r>
          </w:p>
        </w:tc>
        <w:tc>
          <w:tcPr>
            <w:tcW w:w="885" w:type="pct"/>
            <w:vAlign w:val="center"/>
          </w:tcPr>
          <w:p w14:paraId="55384721">
            <w:pPr>
              <w:bidi w:val="0"/>
              <w:spacing w:line="240" w:lineRule="auto"/>
              <w:jc w:val="center"/>
              <w:rPr>
                <w:rFonts w:hint="default"/>
                <w:sz w:val="21"/>
                <w:szCs w:val="21"/>
                <w:lang w:val="en-US" w:eastAsia="zh-CN"/>
              </w:rPr>
            </w:pPr>
            <w:r>
              <w:rPr>
                <w:sz w:val="21"/>
                <w:szCs w:val="21"/>
              </w:rPr>
              <w:t>≤</w:t>
            </w:r>
            <w:r>
              <w:rPr>
                <w:rFonts w:hint="eastAsia"/>
                <w:sz w:val="21"/>
                <w:szCs w:val="21"/>
                <w:lang w:val="en-US" w:eastAsia="zh-CN"/>
              </w:rPr>
              <w:t>0.06</w:t>
            </w:r>
          </w:p>
        </w:tc>
        <w:tc>
          <w:tcPr>
            <w:tcW w:w="989" w:type="pct"/>
            <w:vMerge w:val="continue"/>
            <w:vAlign w:val="center"/>
          </w:tcPr>
          <w:p w14:paraId="530C296D">
            <w:pPr>
              <w:jc w:val="center"/>
              <w:rPr>
                <w:rFonts w:ascii="Times New Roman" w:hAnsi="Times New Roman" w:cs="Times New Roman"/>
                <w:sz w:val="21"/>
                <w:szCs w:val="21"/>
              </w:rPr>
            </w:pPr>
          </w:p>
        </w:tc>
      </w:tr>
      <w:tr w14:paraId="401CE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491" w:type="pct"/>
            <w:shd w:val="clear" w:color="auto" w:fill="auto"/>
            <w:vAlign w:val="center"/>
          </w:tcPr>
          <w:p w14:paraId="0894C292">
            <w:pPr>
              <w:bidi w:val="0"/>
              <w:spacing w:line="240" w:lineRule="auto"/>
              <w:jc w:val="center"/>
              <w:rPr>
                <w:rFonts w:hint="default"/>
                <w:sz w:val="21"/>
                <w:szCs w:val="21"/>
                <w:lang w:val="en-US" w:eastAsia="zh-CN"/>
              </w:rPr>
            </w:pPr>
            <w:r>
              <w:rPr>
                <w:rFonts w:hint="eastAsia"/>
                <w:sz w:val="21"/>
                <w:szCs w:val="21"/>
                <w:lang w:val="en-US" w:eastAsia="zh-CN"/>
              </w:rPr>
              <w:t>31</w:t>
            </w:r>
          </w:p>
        </w:tc>
        <w:tc>
          <w:tcPr>
            <w:tcW w:w="2633" w:type="pct"/>
            <w:vAlign w:val="center"/>
          </w:tcPr>
          <w:p w14:paraId="102FD6C2">
            <w:pPr>
              <w:bidi w:val="0"/>
              <w:spacing w:line="240" w:lineRule="auto"/>
              <w:jc w:val="center"/>
              <w:rPr>
                <w:rFonts w:hint="default"/>
                <w:sz w:val="21"/>
                <w:szCs w:val="21"/>
                <w:lang w:val="en-US" w:eastAsia="zh-CN"/>
              </w:rPr>
            </w:pPr>
            <w:r>
              <w:rPr>
                <w:rFonts w:hint="eastAsia"/>
                <w:sz w:val="21"/>
                <w:szCs w:val="21"/>
                <w:lang w:val="en-US" w:eastAsia="zh-CN"/>
              </w:rPr>
              <w:t>四氯化碳</w:t>
            </w:r>
          </w:p>
        </w:tc>
        <w:tc>
          <w:tcPr>
            <w:tcW w:w="885" w:type="pct"/>
            <w:vAlign w:val="center"/>
          </w:tcPr>
          <w:p w14:paraId="2DF989BE">
            <w:pPr>
              <w:bidi w:val="0"/>
              <w:spacing w:line="240" w:lineRule="auto"/>
              <w:jc w:val="center"/>
              <w:rPr>
                <w:rFonts w:hint="default"/>
                <w:sz w:val="21"/>
                <w:szCs w:val="21"/>
                <w:lang w:val="en-US"/>
              </w:rPr>
            </w:pPr>
            <w:r>
              <w:rPr>
                <w:sz w:val="21"/>
                <w:szCs w:val="21"/>
              </w:rPr>
              <w:t>≤</w:t>
            </w:r>
            <w:r>
              <w:rPr>
                <w:rFonts w:hint="eastAsia"/>
                <w:sz w:val="21"/>
                <w:szCs w:val="21"/>
                <w:lang w:val="en-US" w:eastAsia="zh-CN"/>
              </w:rPr>
              <w:t>0.002</w:t>
            </w:r>
          </w:p>
        </w:tc>
        <w:tc>
          <w:tcPr>
            <w:tcW w:w="989" w:type="pct"/>
            <w:vMerge w:val="continue"/>
            <w:vAlign w:val="center"/>
          </w:tcPr>
          <w:p w14:paraId="141B72AD">
            <w:pPr>
              <w:jc w:val="center"/>
              <w:rPr>
                <w:rFonts w:ascii="Times New Roman" w:hAnsi="Times New Roman" w:cs="Times New Roman"/>
                <w:sz w:val="21"/>
                <w:szCs w:val="21"/>
              </w:rPr>
            </w:pPr>
          </w:p>
        </w:tc>
      </w:tr>
      <w:tr w14:paraId="5505C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2925DD7F">
            <w:pPr>
              <w:bidi w:val="0"/>
              <w:spacing w:line="240" w:lineRule="auto"/>
              <w:jc w:val="center"/>
              <w:rPr>
                <w:rFonts w:hint="default"/>
                <w:sz w:val="21"/>
                <w:szCs w:val="21"/>
                <w:lang w:val="en-US" w:eastAsia="zh-CN"/>
              </w:rPr>
            </w:pPr>
            <w:r>
              <w:rPr>
                <w:rFonts w:hint="eastAsia"/>
                <w:sz w:val="21"/>
                <w:szCs w:val="21"/>
                <w:lang w:val="en-US" w:eastAsia="zh-CN"/>
              </w:rPr>
              <w:t>32</w:t>
            </w:r>
          </w:p>
        </w:tc>
        <w:tc>
          <w:tcPr>
            <w:tcW w:w="2633" w:type="pct"/>
            <w:vAlign w:val="center"/>
          </w:tcPr>
          <w:p w14:paraId="137282F5">
            <w:pPr>
              <w:bidi w:val="0"/>
              <w:spacing w:line="240" w:lineRule="auto"/>
              <w:jc w:val="center"/>
              <w:rPr>
                <w:rFonts w:hint="eastAsia"/>
                <w:sz w:val="21"/>
                <w:szCs w:val="21"/>
                <w:lang w:val="en-US" w:eastAsia="zh-CN"/>
              </w:rPr>
            </w:pPr>
            <w:r>
              <w:rPr>
                <w:rFonts w:hint="eastAsia"/>
                <w:sz w:val="21"/>
                <w:szCs w:val="21"/>
                <w:lang w:val="en-US" w:eastAsia="zh-CN"/>
              </w:rPr>
              <w:t>苯</w:t>
            </w:r>
          </w:p>
        </w:tc>
        <w:tc>
          <w:tcPr>
            <w:tcW w:w="885" w:type="pct"/>
            <w:vAlign w:val="center"/>
          </w:tcPr>
          <w:p w14:paraId="4A3131FD">
            <w:pPr>
              <w:bidi w:val="0"/>
              <w:spacing w:line="240" w:lineRule="auto"/>
              <w:jc w:val="center"/>
              <w:rPr>
                <w:rFonts w:hint="default"/>
                <w:sz w:val="21"/>
                <w:szCs w:val="21"/>
                <w:lang w:val="en-US" w:eastAsia="zh-CN"/>
              </w:rPr>
            </w:pPr>
            <w:r>
              <w:rPr>
                <w:sz w:val="21"/>
                <w:szCs w:val="21"/>
              </w:rPr>
              <w:t>≤</w:t>
            </w:r>
            <w:r>
              <w:rPr>
                <w:rFonts w:hint="eastAsia"/>
                <w:sz w:val="21"/>
                <w:szCs w:val="21"/>
                <w:lang w:val="en-US" w:eastAsia="zh-CN"/>
              </w:rPr>
              <w:t>0.01</w:t>
            </w:r>
          </w:p>
        </w:tc>
        <w:tc>
          <w:tcPr>
            <w:tcW w:w="989" w:type="pct"/>
            <w:vMerge w:val="continue"/>
            <w:vAlign w:val="center"/>
          </w:tcPr>
          <w:p w14:paraId="32BE3AC7">
            <w:pPr>
              <w:jc w:val="center"/>
              <w:rPr>
                <w:rFonts w:ascii="Times New Roman" w:hAnsi="Times New Roman" w:cs="Times New Roman"/>
                <w:sz w:val="21"/>
                <w:szCs w:val="21"/>
              </w:rPr>
            </w:pPr>
          </w:p>
        </w:tc>
      </w:tr>
      <w:tr w14:paraId="096B2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0FD4473F">
            <w:pPr>
              <w:bidi w:val="0"/>
              <w:spacing w:line="240" w:lineRule="auto"/>
              <w:jc w:val="center"/>
              <w:rPr>
                <w:rFonts w:hint="default"/>
                <w:sz w:val="21"/>
                <w:szCs w:val="21"/>
                <w:lang w:val="en-US" w:eastAsia="zh-CN"/>
              </w:rPr>
            </w:pPr>
            <w:r>
              <w:rPr>
                <w:rFonts w:hint="eastAsia"/>
                <w:sz w:val="21"/>
                <w:szCs w:val="21"/>
                <w:lang w:val="en-US" w:eastAsia="zh-CN"/>
              </w:rPr>
              <w:t>33</w:t>
            </w:r>
          </w:p>
        </w:tc>
        <w:tc>
          <w:tcPr>
            <w:tcW w:w="2633" w:type="pct"/>
            <w:vAlign w:val="center"/>
          </w:tcPr>
          <w:p w14:paraId="1FA38E65">
            <w:pPr>
              <w:bidi w:val="0"/>
              <w:spacing w:line="240" w:lineRule="auto"/>
              <w:jc w:val="center"/>
              <w:rPr>
                <w:rFonts w:hint="eastAsia"/>
                <w:sz w:val="21"/>
                <w:szCs w:val="21"/>
                <w:lang w:val="en-US" w:eastAsia="zh-CN"/>
              </w:rPr>
            </w:pPr>
            <w:r>
              <w:rPr>
                <w:rFonts w:hint="eastAsia"/>
                <w:sz w:val="21"/>
                <w:szCs w:val="21"/>
                <w:lang w:val="en-US" w:eastAsia="zh-CN"/>
              </w:rPr>
              <w:t>甲苯</w:t>
            </w:r>
          </w:p>
        </w:tc>
        <w:tc>
          <w:tcPr>
            <w:tcW w:w="885" w:type="pct"/>
            <w:vAlign w:val="center"/>
          </w:tcPr>
          <w:p w14:paraId="7741BBCA">
            <w:pPr>
              <w:bidi w:val="0"/>
              <w:spacing w:line="240" w:lineRule="auto"/>
              <w:jc w:val="center"/>
              <w:rPr>
                <w:rFonts w:hint="default"/>
                <w:sz w:val="21"/>
                <w:szCs w:val="21"/>
                <w:lang w:val="en-US" w:eastAsia="zh-CN"/>
              </w:rPr>
            </w:pPr>
            <w:r>
              <w:rPr>
                <w:sz w:val="21"/>
                <w:szCs w:val="21"/>
              </w:rPr>
              <w:t>≤</w:t>
            </w:r>
            <w:r>
              <w:rPr>
                <w:rFonts w:hint="eastAsia"/>
                <w:sz w:val="21"/>
                <w:szCs w:val="21"/>
                <w:lang w:val="en-US" w:eastAsia="zh-CN"/>
              </w:rPr>
              <w:t>0.70</w:t>
            </w:r>
          </w:p>
        </w:tc>
        <w:tc>
          <w:tcPr>
            <w:tcW w:w="989" w:type="pct"/>
            <w:vMerge w:val="continue"/>
            <w:vAlign w:val="center"/>
          </w:tcPr>
          <w:p w14:paraId="057242D5">
            <w:pPr>
              <w:jc w:val="center"/>
              <w:rPr>
                <w:rFonts w:ascii="Times New Roman" w:hAnsi="Times New Roman" w:cs="Times New Roman"/>
                <w:sz w:val="21"/>
                <w:szCs w:val="21"/>
              </w:rPr>
            </w:pPr>
          </w:p>
        </w:tc>
      </w:tr>
      <w:tr w14:paraId="1E2E9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491" w:type="pct"/>
            <w:shd w:val="clear" w:color="auto" w:fill="auto"/>
            <w:vAlign w:val="center"/>
          </w:tcPr>
          <w:p w14:paraId="33580D5F">
            <w:pPr>
              <w:bidi w:val="0"/>
              <w:spacing w:line="240" w:lineRule="auto"/>
              <w:jc w:val="center"/>
              <w:rPr>
                <w:rFonts w:hint="default"/>
                <w:sz w:val="21"/>
                <w:szCs w:val="21"/>
                <w:lang w:val="en-US" w:eastAsia="zh-CN"/>
              </w:rPr>
            </w:pPr>
            <w:r>
              <w:rPr>
                <w:rFonts w:hint="eastAsia"/>
                <w:sz w:val="21"/>
                <w:szCs w:val="21"/>
                <w:lang w:val="en-US" w:eastAsia="zh-CN"/>
              </w:rPr>
              <w:t>34</w:t>
            </w:r>
          </w:p>
        </w:tc>
        <w:tc>
          <w:tcPr>
            <w:tcW w:w="2633" w:type="pct"/>
            <w:vAlign w:val="center"/>
          </w:tcPr>
          <w:p w14:paraId="3B003F7A">
            <w:pPr>
              <w:bidi w:val="0"/>
              <w:spacing w:line="240" w:lineRule="auto"/>
              <w:jc w:val="center"/>
              <w:rPr>
                <w:rFonts w:hint="default"/>
                <w:sz w:val="21"/>
                <w:szCs w:val="21"/>
                <w:lang w:val="en-US" w:eastAsia="zh-CN"/>
              </w:rPr>
            </w:pPr>
            <w:r>
              <w:rPr>
                <w:rFonts w:hint="eastAsia"/>
                <w:sz w:val="21"/>
                <w:szCs w:val="21"/>
                <w:lang w:val="en-US" w:eastAsia="zh-CN"/>
              </w:rPr>
              <w:t>1，2-二氯乙烷</w:t>
            </w:r>
          </w:p>
        </w:tc>
        <w:tc>
          <w:tcPr>
            <w:tcW w:w="885" w:type="pct"/>
            <w:vAlign w:val="center"/>
          </w:tcPr>
          <w:p w14:paraId="3EA3059B">
            <w:pPr>
              <w:bidi w:val="0"/>
              <w:spacing w:line="240" w:lineRule="auto"/>
              <w:jc w:val="center"/>
              <w:rPr>
                <w:rFonts w:hint="default"/>
                <w:sz w:val="21"/>
                <w:szCs w:val="21"/>
                <w:lang w:val="en-US" w:eastAsia="zh-CN"/>
              </w:rPr>
            </w:pPr>
            <w:r>
              <w:rPr>
                <w:sz w:val="21"/>
                <w:szCs w:val="21"/>
              </w:rPr>
              <w:t>≤</w:t>
            </w:r>
            <w:r>
              <w:rPr>
                <w:rFonts w:hint="eastAsia"/>
                <w:sz w:val="21"/>
                <w:szCs w:val="21"/>
                <w:lang w:val="en-US" w:eastAsia="zh-CN"/>
              </w:rPr>
              <w:t>0.03</w:t>
            </w:r>
          </w:p>
        </w:tc>
        <w:tc>
          <w:tcPr>
            <w:tcW w:w="989" w:type="pct"/>
            <w:vMerge w:val="continue"/>
            <w:vAlign w:val="center"/>
          </w:tcPr>
          <w:p w14:paraId="78FC1F1D">
            <w:pPr>
              <w:jc w:val="center"/>
              <w:rPr>
                <w:rFonts w:ascii="Times New Roman" w:hAnsi="Times New Roman" w:cs="Times New Roman"/>
                <w:sz w:val="21"/>
                <w:szCs w:val="21"/>
              </w:rPr>
            </w:pPr>
          </w:p>
        </w:tc>
      </w:tr>
    </w:tbl>
    <w:p w14:paraId="50B84D4F">
      <w:pPr>
        <w:bidi w:val="0"/>
        <w:ind w:firstLine="480" w:firstLineChars="200"/>
        <w:rPr>
          <w:color w:val="auto"/>
        </w:rPr>
      </w:pPr>
      <w:r>
        <w:rPr>
          <w:color w:val="auto"/>
        </w:rPr>
        <w:t>（5）土壤环境</w:t>
      </w:r>
    </w:p>
    <w:p w14:paraId="21A198B8">
      <w:pPr>
        <w:bidi w:val="0"/>
        <w:ind w:firstLine="480" w:firstLineChars="200"/>
        <w:rPr>
          <w:color w:val="auto"/>
        </w:rPr>
      </w:pPr>
      <w:r>
        <w:rPr>
          <w:rFonts w:hint="eastAsia"/>
          <w:color w:val="auto"/>
        </w:rPr>
        <w:t>项目建设用地土壤执行《土壤环境质量建设用地土壤污染风险管控标准》（GB36600-2018）中第二类用地筛选值，氟化物参照《场地土壤环境风险评价筛选值》（DB11/T811-2011）中工业用地标准。</w:t>
      </w:r>
      <w:r>
        <w:rPr>
          <w:color w:val="auto"/>
        </w:rPr>
        <w:t>具体标准值见表2.3-5。</w:t>
      </w:r>
    </w:p>
    <w:p w14:paraId="4D809163">
      <w:pPr>
        <w:bidi w:val="0"/>
        <w:jc w:val="center"/>
        <w:rPr>
          <w:rFonts w:ascii="Arial" w:hAnsi="Arial" w:eastAsia="Arial" w:cs="Arial"/>
          <w:color w:val="auto"/>
          <w:sz w:val="2"/>
          <w:szCs w:val="21"/>
        </w:rPr>
      </w:pPr>
      <w:r>
        <w:rPr>
          <w:b/>
          <w:bCs/>
        </w:rPr>
        <w:t>表2.3-5</w:t>
      </w:r>
      <w:r>
        <w:rPr>
          <w:rFonts w:hint="eastAsia"/>
          <w:b/>
          <w:bCs/>
          <w:lang w:val="en-US" w:eastAsia="zh-CN"/>
        </w:rPr>
        <w:t xml:space="preserve"> </w:t>
      </w:r>
      <w:r>
        <w:rPr>
          <w:b/>
          <w:bCs/>
        </w:rPr>
        <w:t>土壤环境质量标准单位：mg/kg</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9"/>
        <w:gridCol w:w="2354"/>
        <w:gridCol w:w="2371"/>
        <w:gridCol w:w="3146"/>
      </w:tblGrid>
      <w:tr w14:paraId="79F44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 w:hRule="atLeast"/>
          <w:jc w:val="center"/>
        </w:trPr>
        <w:tc>
          <w:tcPr>
            <w:tcW w:w="1750" w:type="dxa"/>
            <w:vMerge w:val="restart"/>
            <w:tcBorders>
              <w:tl2br w:val="nil"/>
              <w:tr2bl w:val="nil"/>
            </w:tcBorders>
            <w:noWrap w:val="0"/>
            <w:vAlign w:val="center"/>
          </w:tcPr>
          <w:p w14:paraId="2DE2E61B">
            <w:pPr>
              <w:pStyle w:val="30"/>
              <w:bidi w:val="0"/>
              <w:rPr>
                <w:rFonts w:hint="default"/>
                <w:b/>
                <w:bCs/>
                <w:color w:val="auto"/>
                <w:lang w:val="en-US" w:eastAsia="en-US"/>
              </w:rPr>
            </w:pPr>
            <w:r>
              <w:rPr>
                <w:rFonts w:hint="default"/>
                <w:b/>
                <w:bCs/>
                <w:color w:val="auto"/>
                <w:lang w:val="en-US" w:eastAsia="en-US"/>
              </w:rPr>
              <w:t>序号</w:t>
            </w:r>
          </w:p>
        </w:tc>
        <w:tc>
          <w:tcPr>
            <w:tcW w:w="2424" w:type="dxa"/>
            <w:vMerge w:val="restart"/>
            <w:tcBorders>
              <w:tl2br w:val="nil"/>
              <w:tr2bl w:val="nil"/>
            </w:tcBorders>
            <w:noWrap w:val="0"/>
            <w:vAlign w:val="center"/>
          </w:tcPr>
          <w:p w14:paraId="6349ACA5">
            <w:pPr>
              <w:pStyle w:val="30"/>
              <w:bidi w:val="0"/>
              <w:rPr>
                <w:rFonts w:hint="default"/>
                <w:b/>
                <w:bCs/>
                <w:color w:val="auto"/>
                <w:lang w:val="en-US" w:eastAsia="en-US"/>
              </w:rPr>
            </w:pPr>
            <w:r>
              <w:rPr>
                <w:rFonts w:hint="default"/>
                <w:b/>
                <w:bCs/>
                <w:color w:val="auto"/>
                <w:lang w:val="en-US" w:eastAsia="en-US"/>
              </w:rPr>
              <w:t>污染物项目</w:t>
            </w:r>
          </w:p>
        </w:tc>
        <w:tc>
          <w:tcPr>
            <w:tcW w:w="2442" w:type="dxa"/>
            <w:vMerge w:val="restart"/>
            <w:tcBorders>
              <w:tl2br w:val="nil"/>
              <w:tr2bl w:val="nil"/>
            </w:tcBorders>
            <w:noWrap w:val="0"/>
            <w:vAlign w:val="center"/>
          </w:tcPr>
          <w:p w14:paraId="5EC0E072">
            <w:pPr>
              <w:pStyle w:val="30"/>
              <w:bidi w:val="0"/>
              <w:rPr>
                <w:rFonts w:hint="default"/>
                <w:b/>
                <w:bCs/>
                <w:color w:val="auto"/>
                <w:lang w:val="en-US" w:eastAsia="en-US"/>
              </w:rPr>
            </w:pPr>
            <w:r>
              <w:rPr>
                <w:rFonts w:hint="default"/>
                <w:b/>
                <w:bCs/>
                <w:color w:val="auto"/>
                <w:lang w:val="en-US" w:eastAsia="en-US"/>
              </w:rPr>
              <w:t>CAS编号</w:t>
            </w:r>
          </w:p>
        </w:tc>
        <w:tc>
          <w:tcPr>
            <w:tcW w:w="3239" w:type="dxa"/>
            <w:tcBorders>
              <w:tl2br w:val="nil"/>
              <w:tr2bl w:val="nil"/>
            </w:tcBorders>
            <w:noWrap w:val="0"/>
            <w:vAlign w:val="center"/>
          </w:tcPr>
          <w:p w14:paraId="721C3E12">
            <w:pPr>
              <w:pStyle w:val="30"/>
              <w:bidi w:val="0"/>
              <w:rPr>
                <w:rFonts w:hint="default"/>
                <w:b/>
                <w:bCs/>
                <w:color w:val="auto"/>
                <w:lang w:val="en-US" w:eastAsia="en-US"/>
              </w:rPr>
            </w:pPr>
            <w:r>
              <w:rPr>
                <w:rFonts w:hint="default"/>
                <w:b/>
                <w:bCs/>
                <w:color w:val="auto"/>
                <w:lang w:val="en-US" w:eastAsia="en-US"/>
              </w:rPr>
              <w:t>GB36600-2018筛选值</w:t>
            </w:r>
          </w:p>
        </w:tc>
      </w:tr>
      <w:tr w14:paraId="1B09C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vMerge w:val="continue"/>
            <w:tcBorders>
              <w:tl2br w:val="nil"/>
              <w:tr2bl w:val="nil"/>
            </w:tcBorders>
            <w:noWrap w:val="0"/>
            <w:vAlign w:val="center"/>
          </w:tcPr>
          <w:p w14:paraId="61A541AB">
            <w:pPr>
              <w:pStyle w:val="30"/>
              <w:bidi w:val="0"/>
              <w:rPr>
                <w:rFonts w:hint="default"/>
                <w:b/>
                <w:bCs/>
                <w:color w:val="auto"/>
                <w:lang w:val="en-US" w:eastAsia="en-US"/>
              </w:rPr>
            </w:pPr>
          </w:p>
        </w:tc>
        <w:tc>
          <w:tcPr>
            <w:tcW w:w="2424" w:type="dxa"/>
            <w:vMerge w:val="continue"/>
            <w:tcBorders>
              <w:tl2br w:val="nil"/>
              <w:tr2bl w:val="nil"/>
            </w:tcBorders>
            <w:noWrap w:val="0"/>
            <w:vAlign w:val="center"/>
          </w:tcPr>
          <w:p w14:paraId="32715A13">
            <w:pPr>
              <w:pStyle w:val="30"/>
              <w:bidi w:val="0"/>
              <w:rPr>
                <w:rFonts w:hint="default"/>
                <w:b/>
                <w:bCs/>
                <w:color w:val="auto"/>
                <w:lang w:val="en-US" w:eastAsia="en-US"/>
              </w:rPr>
            </w:pPr>
          </w:p>
        </w:tc>
        <w:tc>
          <w:tcPr>
            <w:tcW w:w="2442" w:type="dxa"/>
            <w:vMerge w:val="continue"/>
            <w:tcBorders>
              <w:tl2br w:val="nil"/>
              <w:tr2bl w:val="nil"/>
            </w:tcBorders>
            <w:noWrap w:val="0"/>
            <w:vAlign w:val="center"/>
          </w:tcPr>
          <w:p w14:paraId="4E8DD46D">
            <w:pPr>
              <w:pStyle w:val="30"/>
              <w:bidi w:val="0"/>
              <w:rPr>
                <w:rFonts w:hint="default"/>
                <w:b/>
                <w:bCs/>
                <w:color w:val="auto"/>
                <w:lang w:val="en-US" w:eastAsia="en-US"/>
              </w:rPr>
            </w:pPr>
          </w:p>
        </w:tc>
        <w:tc>
          <w:tcPr>
            <w:tcW w:w="3239" w:type="dxa"/>
            <w:tcBorders>
              <w:tl2br w:val="nil"/>
              <w:tr2bl w:val="nil"/>
            </w:tcBorders>
            <w:noWrap w:val="0"/>
            <w:vAlign w:val="center"/>
          </w:tcPr>
          <w:p w14:paraId="4F87F85D">
            <w:pPr>
              <w:pStyle w:val="30"/>
              <w:bidi w:val="0"/>
              <w:rPr>
                <w:rFonts w:hint="default"/>
                <w:b/>
                <w:bCs/>
                <w:color w:val="auto"/>
                <w:lang w:val="en-US" w:eastAsia="en-US"/>
              </w:rPr>
            </w:pPr>
            <w:r>
              <w:rPr>
                <w:rFonts w:hint="default"/>
                <w:b/>
                <w:bCs/>
                <w:color w:val="auto"/>
                <w:lang w:val="en-US" w:eastAsia="en-US"/>
              </w:rPr>
              <w:t>第二类用地</w:t>
            </w:r>
          </w:p>
        </w:tc>
      </w:tr>
      <w:tr w14:paraId="6032EA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855" w:type="dxa"/>
            <w:gridSpan w:val="4"/>
            <w:tcBorders>
              <w:tl2br w:val="nil"/>
              <w:tr2bl w:val="nil"/>
            </w:tcBorders>
            <w:noWrap w:val="0"/>
            <w:vAlign w:val="center"/>
          </w:tcPr>
          <w:p w14:paraId="5A307360">
            <w:pPr>
              <w:pStyle w:val="30"/>
              <w:bidi w:val="0"/>
              <w:rPr>
                <w:rFonts w:hint="default"/>
                <w:color w:val="auto"/>
                <w:lang w:val="en-US" w:eastAsia="en-US"/>
              </w:rPr>
            </w:pPr>
            <w:r>
              <w:rPr>
                <w:rFonts w:hint="default"/>
                <w:color w:val="auto"/>
                <w:lang w:val="en-US" w:eastAsia="en-US"/>
              </w:rPr>
              <w:t>重金属和无机物</w:t>
            </w:r>
          </w:p>
        </w:tc>
      </w:tr>
      <w:tr w14:paraId="23538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5B8AC6C">
            <w:pPr>
              <w:pStyle w:val="30"/>
              <w:bidi w:val="0"/>
              <w:rPr>
                <w:rFonts w:hint="default"/>
                <w:color w:val="auto"/>
                <w:lang w:val="en-US" w:eastAsia="en-US"/>
              </w:rPr>
            </w:pPr>
            <w:r>
              <w:rPr>
                <w:rFonts w:hint="default"/>
                <w:color w:val="auto"/>
                <w:lang w:val="en-US" w:eastAsia="en-US"/>
              </w:rPr>
              <w:t>1</w:t>
            </w:r>
          </w:p>
        </w:tc>
        <w:tc>
          <w:tcPr>
            <w:tcW w:w="2424" w:type="dxa"/>
            <w:tcBorders>
              <w:tl2br w:val="nil"/>
              <w:tr2bl w:val="nil"/>
            </w:tcBorders>
            <w:noWrap w:val="0"/>
            <w:vAlign w:val="center"/>
          </w:tcPr>
          <w:p w14:paraId="585FB3C9">
            <w:pPr>
              <w:pStyle w:val="30"/>
              <w:bidi w:val="0"/>
              <w:rPr>
                <w:rFonts w:hint="default"/>
                <w:color w:val="auto"/>
                <w:lang w:val="en-US" w:eastAsia="en-US"/>
              </w:rPr>
            </w:pPr>
            <w:r>
              <w:rPr>
                <w:rFonts w:hint="default"/>
                <w:color w:val="auto"/>
                <w:lang w:val="en-US" w:eastAsia="en-US"/>
              </w:rPr>
              <w:t>砷</w:t>
            </w:r>
          </w:p>
        </w:tc>
        <w:tc>
          <w:tcPr>
            <w:tcW w:w="2442" w:type="dxa"/>
            <w:tcBorders>
              <w:tl2br w:val="nil"/>
              <w:tr2bl w:val="nil"/>
            </w:tcBorders>
            <w:noWrap w:val="0"/>
            <w:vAlign w:val="center"/>
          </w:tcPr>
          <w:p w14:paraId="1CB6F7EA">
            <w:pPr>
              <w:pStyle w:val="30"/>
              <w:bidi w:val="0"/>
              <w:rPr>
                <w:rFonts w:hint="default"/>
                <w:color w:val="auto"/>
                <w:lang w:val="en-US" w:eastAsia="en-US"/>
              </w:rPr>
            </w:pPr>
            <w:r>
              <w:rPr>
                <w:rFonts w:hint="default"/>
                <w:color w:val="auto"/>
                <w:lang w:val="en-US" w:eastAsia="en-US"/>
              </w:rPr>
              <w:t>7440-38-2</w:t>
            </w:r>
          </w:p>
        </w:tc>
        <w:tc>
          <w:tcPr>
            <w:tcW w:w="3239" w:type="dxa"/>
            <w:tcBorders>
              <w:tl2br w:val="nil"/>
              <w:tr2bl w:val="nil"/>
            </w:tcBorders>
            <w:noWrap w:val="0"/>
            <w:vAlign w:val="center"/>
          </w:tcPr>
          <w:p w14:paraId="56877CB6">
            <w:pPr>
              <w:pStyle w:val="30"/>
              <w:bidi w:val="0"/>
              <w:rPr>
                <w:rFonts w:hint="default"/>
                <w:color w:val="auto"/>
                <w:lang w:val="en-US" w:eastAsia="zh-CN"/>
              </w:rPr>
            </w:pPr>
            <w:r>
              <w:rPr>
                <w:rFonts w:hint="default"/>
                <w:color w:val="auto"/>
                <w:lang w:val="en-US" w:eastAsia="zh-CN"/>
              </w:rPr>
              <w:t>60</w:t>
            </w:r>
          </w:p>
        </w:tc>
      </w:tr>
      <w:tr w14:paraId="4370B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A8254B3">
            <w:pPr>
              <w:pStyle w:val="30"/>
              <w:bidi w:val="0"/>
              <w:rPr>
                <w:rFonts w:hint="default"/>
                <w:color w:val="auto"/>
                <w:lang w:val="en-US" w:eastAsia="en-US"/>
              </w:rPr>
            </w:pPr>
            <w:r>
              <w:rPr>
                <w:rFonts w:hint="default"/>
                <w:color w:val="auto"/>
                <w:lang w:val="en-US" w:eastAsia="en-US"/>
              </w:rPr>
              <w:t>2</w:t>
            </w:r>
          </w:p>
        </w:tc>
        <w:tc>
          <w:tcPr>
            <w:tcW w:w="2424" w:type="dxa"/>
            <w:tcBorders>
              <w:tl2br w:val="nil"/>
              <w:tr2bl w:val="nil"/>
            </w:tcBorders>
            <w:noWrap w:val="0"/>
            <w:vAlign w:val="center"/>
          </w:tcPr>
          <w:p w14:paraId="1948FDCA">
            <w:pPr>
              <w:pStyle w:val="30"/>
              <w:bidi w:val="0"/>
              <w:rPr>
                <w:rFonts w:hint="default"/>
                <w:color w:val="auto"/>
                <w:lang w:val="en-US" w:eastAsia="en-US"/>
              </w:rPr>
            </w:pPr>
            <w:r>
              <w:rPr>
                <w:rFonts w:hint="default"/>
                <w:color w:val="auto"/>
                <w:lang w:val="en-US" w:eastAsia="en-US"/>
              </w:rPr>
              <w:t>镉</w:t>
            </w:r>
          </w:p>
        </w:tc>
        <w:tc>
          <w:tcPr>
            <w:tcW w:w="2442" w:type="dxa"/>
            <w:tcBorders>
              <w:tl2br w:val="nil"/>
              <w:tr2bl w:val="nil"/>
            </w:tcBorders>
            <w:noWrap w:val="0"/>
            <w:vAlign w:val="center"/>
          </w:tcPr>
          <w:p w14:paraId="3BDA17B5">
            <w:pPr>
              <w:pStyle w:val="30"/>
              <w:bidi w:val="0"/>
              <w:rPr>
                <w:rFonts w:hint="default"/>
                <w:color w:val="auto"/>
                <w:lang w:val="en-US" w:eastAsia="en-US"/>
              </w:rPr>
            </w:pPr>
            <w:r>
              <w:rPr>
                <w:rFonts w:hint="default"/>
                <w:color w:val="auto"/>
                <w:lang w:val="en-US" w:eastAsia="en-US"/>
              </w:rPr>
              <w:t>7440-43-9</w:t>
            </w:r>
          </w:p>
        </w:tc>
        <w:tc>
          <w:tcPr>
            <w:tcW w:w="3239" w:type="dxa"/>
            <w:tcBorders>
              <w:tl2br w:val="nil"/>
              <w:tr2bl w:val="nil"/>
            </w:tcBorders>
            <w:noWrap w:val="0"/>
            <w:vAlign w:val="center"/>
          </w:tcPr>
          <w:p w14:paraId="18F66356">
            <w:pPr>
              <w:pStyle w:val="30"/>
              <w:bidi w:val="0"/>
              <w:rPr>
                <w:rFonts w:hint="default"/>
                <w:color w:val="auto"/>
                <w:lang w:val="en-US" w:eastAsia="zh-CN"/>
              </w:rPr>
            </w:pPr>
            <w:r>
              <w:rPr>
                <w:rFonts w:hint="default"/>
                <w:color w:val="auto"/>
                <w:lang w:val="en-US" w:eastAsia="zh-CN"/>
              </w:rPr>
              <w:t>65</w:t>
            </w:r>
          </w:p>
        </w:tc>
      </w:tr>
      <w:tr w14:paraId="6C2BE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4FB14A18">
            <w:pPr>
              <w:pStyle w:val="30"/>
              <w:bidi w:val="0"/>
              <w:rPr>
                <w:rFonts w:hint="default"/>
                <w:color w:val="auto"/>
                <w:lang w:val="en-US" w:eastAsia="en-US"/>
              </w:rPr>
            </w:pPr>
            <w:r>
              <w:rPr>
                <w:rFonts w:hint="default"/>
                <w:color w:val="auto"/>
                <w:lang w:val="en-US" w:eastAsia="en-US"/>
              </w:rPr>
              <w:t>3</w:t>
            </w:r>
          </w:p>
        </w:tc>
        <w:tc>
          <w:tcPr>
            <w:tcW w:w="2424" w:type="dxa"/>
            <w:tcBorders>
              <w:tl2br w:val="nil"/>
              <w:tr2bl w:val="nil"/>
            </w:tcBorders>
            <w:noWrap w:val="0"/>
            <w:vAlign w:val="center"/>
          </w:tcPr>
          <w:p w14:paraId="78292F04">
            <w:pPr>
              <w:pStyle w:val="30"/>
              <w:bidi w:val="0"/>
              <w:rPr>
                <w:rFonts w:hint="default"/>
                <w:color w:val="auto"/>
                <w:lang w:val="en-US" w:eastAsia="en-US"/>
              </w:rPr>
            </w:pPr>
            <w:r>
              <w:rPr>
                <w:rFonts w:hint="default"/>
                <w:color w:val="auto"/>
                <w:lang w:val="en-US" w:eastAsia="en-US"/>
              </w:rPr>
              <w:t>铬（六价）</w:t>
            </w:r>
          </w:p>
        </w:tc>
        <w:tc>
          <w:tcPr>
            <w:tcW w:w="2442" w:type="dxa"/>
            <w:tcBorders>
              <w:tl2br w:val="nil"/>
              <w:tr2bl w:val="nil"/>
            </w:tcBorders>
            <w:noWrap w:val="0"/>
            <w:vAlign w:val="center"/>
          </w:tcPr>
          <w:p w14:paraId="568EE4CF">
            <w:pPr>
              <w:pStyle w:val="30"/>
              <w:bidi w:val="0"/>
              <w:rPr>
                <w:rFonts w:hint="default"/>
                <w:color w:val="auto"/>
                <w:lang w:val="en-US" w:eastAsia="en-US"/>
              </w:rPr>
            </w:pPr>
            <w:r>
              <w:rPr>
                <w:rFonts w:hint="default"/>
                <w:color w:val="auto"/>
                <w:lang w:val="en-US" w:eastAsia="en-US"/>
              </w:rPr>
              <w:t>18540-29-9</w:t>
            </w:r>
          </w:p>
        </w:tc>
        <w:tc>
          <w:tcPr>
            <w:tcW w:w="3239" w:type="dxa"/>
            <w:tcBorders>
              <w:tl2br w:val="nil"/>
              <w:tr2bl w:val="nil"/>
            </w:tcBorders>
            <w:noWrap w:val="0"/>
            <w:vAlign w:val="center"/>
          </w:tcPr>
          <w:p w14:paraId="16282DF1">
            <w:pPr>
              <w:pStyle w:val="30"/>
              <w:bidi w:val="0"/>
              <w:rPr>
                <w:rFonts w:hint="default"/>
                <w:color w:val="auto"/>
                <w:lang w:val="en-US" w:eastAsia="zh-CN"/>
              </w:rPr>
            </w:pPr>
            <w:r>
              <w:rPr>
                <w:rFonts w:hint="default"/>
                <w:color w:val="auto"/>
                <w:lang w:val="en-US" w:eastAsia="zh-CN"/>
              </w:rPr>
              <w:t>5.7</w:t>
            </w:r>
          </w:p>
        </w:tc>
      </w:tr>
      <w:tr w14:paraId="144F3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F3DB859">
            <w:pPr>
              <w:pStyle w:val="30"/>
              <w:bidi w:val="0"/>
              <w:rPr>
                <w:rFonts w:hint="default"/>
                <w:color w:val="auto"/>
                <w:lang w:val="en-US" w:eastAsia="en-US"/>
              </w:rPr>
            </w:pPr>
            <w:r>
              <w:rPr>
                <w:rFonts w:hint="default"/>
                <w:color w:val="auto"/>
                <w:lang w:val="en-US" w:eastAsia="en-US"/>
              </w:rPr>
              <w:t>4</w:t>
            </w:r>
          </w:p>
        </w:tc>
        <w:tc>
          <w:tcPr>
            <w:tcW w:w="2424" w:type="dxa"/>
            <w:tcBorders>
              <w:tl2br w:val="nil"/>
              <w:tr2bl w:val="nil"/>
            </w:tcBorders>
            <w:noWrap w:val="0"/>
            <w:vAlign w:val="center"/>
          </w:tcPr>
          <w:p w14:paraId="3B84B25A">
            <w:pPr>
              <w:pStyle w:val="30"/>
              <w:bidi w:val="0"/>
              <w:rPr>
                <w:rFonts w:hint="default"/>
                <w:color w:val="auto"/>
                <w:lang w:val="en-US" w:eastAsia="en-US"/>
              </w:rPr>
            </w:pPr>
            <w:r>
              <w:rPr>
                <w:rFonts w:hint="default"/>
                <w:color w:val="auto"/>
                <w:lang w:val="en-US" w:eastAsia="en-US"/>
              </w:rPr>
              <w:t>铜</w:t>
            </w:r>
          </w:p>
        </w:tc>
        <w:tc>
          <w:tcPr>
            <w:tcW w:w="2442" w:type="dxa"/>
            <w:tcBorders>
              <w:tl2br w:val="nil"/>
              <w:tr2bl w:val="nil"/>
            </w:tcBorders>
            <w:noWrap w:val="0"/>
            <w:vAlign w:val="center"/>
          </w:tcPr>
          <w:p w14:paraId="1AEB9053">
            <w:pPr>
              <w:pStyle w:val="30"/>
              <w:bidi w:val="0"/>
              <w:rPr>
                <w:rFonts w:hint="default"/>
                <w:color w:val="auto"/>
                <w:lang w:val="en-US" w:eastAsia="en-US"/>
              </w:rPr>
            </w:pPr>
            <w:r>
              <w:rPr>
                <w:rFonts w:hint="default"/>
                <w:color w:val="auto"/>
                <w:lang w:val="en-US" w:eastAsia="en-US"/>
              </w:rPr>
              <w:t>7440-50-8</w:t>
            </w:r>
          </w:p>
        </w:tc>
        <w:tc>
          <w:tcPr>
            <w:tcW w:w="3239" w:type="dxa"/>
            <w:tcBorders>
              <w:tl2br w:val="nil"/>
              <w:tr2bl w:val="nil"/>
            </w:tcBorders>
            <w:noWrap w:val="0"/>
            <w:vAlign w:val="center"/>
          </w:tcPr>
          <w:p w14:paraId="381FF560">
            <w:pPr>
              <w:pStyle w:val="30"/>
              <w:bidi w:val="0"/>
              <w:rPr>
                <w:rFonts w:hint="default"/>
                <w:color w:val="auto"/>
                <w:lang w:val="en-US" w:eastAsia="zh-CN"/>
              </w:rPr>
            </w:pPr>
            <w:r>
              <w:rPr>
                <w:rFonts w:hint="default"/>
                <w:color w:val="auto"/>
                <w:lang w:val="en-US" w:eastAsia="zh-CN"/>
              </w:rPr>
              <w:t>18000</w:t>
            </w:r>
          </w:p>
        </w:tc>
      </w:tr>
      <w:tr w14:paraId="06F99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5777CE5">
            <w:pPr>
              <w:pStyle w:val="30"/>
              <w:bidi w:val="0"/>
              <w:rPr>
                <w:rFonts w:hint="default"/>
                <w:color w:val="auto"/>
                <w:lang w:val="en-US" w:eastAsia="en-US"/>
              </w:rPr>
            </w:pPr>
            <w:r>
              <w:rPr>
                <w:rFonts w:hint="default"/>
                <w:color w:val="auto"/>
                <w:lang w:val="en-US" w:eastAsia="en-US"/>
              </w:rPr>
              <w:t>5</w:t>
            </w:r>
          </w:p>
        </w:tc>
        <w:tc>
          <w:tcPr>
            <w:tcW w:w="2424" w:type="dxa"/>
            <w:tcBorders>
              <w:tl2br w:val="nil"/>
              <w:tr2bl w:val="nil"/>
            </w:tcBorders>
            <w:noWrap w:val="0"/>
            <w:vAlign w:val="center"/>
          </w:tcPr>
          <w:p w14:paraId="3E0A2E6D">
            <w:pPr>
              <w:pStyle w:val="30"/>
              <w:bidi w:val="0"/>
              <w:rPr>
                <w:rFonts w:hint="default"/>
                <w:color w:val="auto"/>
                <w:lang w:val="en-US" w:eastAsia="en-US"/>
              </w:rPr>
            </w:pPr>
            <w:r>
              <w:rPr>
                <w:rFonts w:hint="default"/>
                <w:color w:val="auto"/>
                <w:lang w:val="en-US" w:eastAsia="en-US"/>
              </w:rPr>
              <w:t>铅</w:t>
            </w:r>
          </w:p>
        </w:tc>
        <w:tc>
          <w:tcPr>
            <w:tcW w:w="2442" w:type="dxa"/>
            <w:tcBorders>
              <w:tl2br w:val="nil"/>
              <w:tr2bl w:val="nil"/>
            </w:tcBorders>
            <w:noWrap w:val="0"/>
            <w:vAlign w:val="center"/>
          </w:tcPr>
          <w:p w14:paraId="33D1AB04">
            <w:pPr>
              <w:pStyle w:val="30"/>
              <w:bidi w:val="0"/>
              <w:rPr>
                <w:rFonts w:hint="default"/>
                <w:color w:val="auto"/>
                <w:lang w:val="en-US" w:eastAsia="en-US"/>
              </w:rPr>
            </w:pPr>
            <w:r>
              <w:rPr>
                <w:rFonts w:hint="default"/>
                <w:color w:val="auto"/>
                <w:lang w:val="en-US" w:eastAsia="en-US"/>
              </w:rPr>
              <w:t>7439-92-1</w:t>
            </w:r>
          </w:p>
        </w:tc>
        <w:tc>
          <w:tcPr>
            <w:tcW w:w="3239" w:type="dxa"/>
            <w:tcBorders>
              <w:tl2br w:val="nil"/>
              <w:tr2bl w:val="nil"/>
            </w:tcBorders>
            <w:noWrap w:val="0"/>
            <w:vAlign w:val="center"/>
          </w:tcPr>
          <w:p w14:paraId="6A967EC2">
            <w:pPr>
              <w:pStyle w:val="30"/>
              <w:bidi w:val="0"/>
              <w:rPr>
                <w:rFonts w:hint="default"/>
                <w:color w:val="auto"/>
                <w:lang w:val="en-US" w:eastAsia="zh-CN"/>
              </w:rPr>
            </w:pPr>
            <w:r>
              <w:rPr>
                <w:rFonts w:hint="default"/>
                <w:color w:val="auto"/>
                <w:lang w:val="en-US" w:eastAsia="zh-CN"/>
              </w:rPr>
              <w:t>800</w:t>
            </w:r>
          </w:p>
        </w:tc>
      </w:tr>
      <w:tr w14:paraId="388D2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83F6D3B">
            <w:pPr>
              <w:pStyle w:val="30"/>
              <w:bidi w:val="0"/>
              <w:rPr>
                <w:rFonts w:hint="default"/>
                <w:color w:val="auto"/>
                <w:lang w:val="en-US" w:eastAsia="en-US"/>
              </w:rPr>
            </w:pPr>
            <w:r>
              <w:rPr>
                <w:rFonts w:hint="default"/>
                <w:color w:val="auto"/>
                <w:lang w:val="en-US" w:eastAsia="en-US"/>
              </w:rPr>
              <w:t>6</w:t>
            </w:r>
          </w:p>
        </w:tc>
        <w:tc>
          <w:tcPr>
            <w:tcW w:w="2424" w:type="dxa"/>
            <w:tcBorders>
              <w:tl2br w:val="nil"/>
              <w:tr2bl w:val="nil"/>
            </w:tcBorders>
            <w:noWrap w:val="0"/>
            <w:vAlign w:val="center"/>
          </w:tcPr>
          <w:p w14:paraId="4F690EA5">
            <w:pPr>
              <w:pStyle w:val="30"/>
              <w:bidi w:val="0"/>
              <w:rPr>
                <w:rFonts w:hint="default"/>
                <w:color w:val="auto"/>
                <w:lang w:val="en-US" w:eastAsia="en-US"/>
              </w:rPr>
            </w:pPr>
            <w:r>
              <w:rPr>
                <w:rFonts w:hint="default"/>
                <w:color w:val="auto"/>
                <w:lang w:val="en-US" w:eastAsia="en-US"/>
              </w:rPr>
              <w:t>汞</w:t>
            </w:r>
          </w:p>
        </w:tc>
        <w:tc>
          <w:tcPr>
            <w:tcW w:w="2442" w:type="dxa"/>
            <w:tcBorders>
              <w:tl2br w:val="nil"/>
              <w:tr2bl w:val="nil"/>
            </w:tcBorders>
            <w:noWrap w:val="0"/>
            <w:vAlign w:val="center"/>
          </w:tcPr>
          <w:p w14:paraId="379A4555">
            <w:pPr>
              <w:pStyle w:val="30"/>
              <w:bidi w:val="0"/>
              <w:rPr>
                <w:rFonts w:hint="default"/>
                <w:color w:val="auto"/>
                <w:lang w:val="en-US" w:eastAsia="en-US"/>
              </w:rPr>
            </w:pPr>
            <w:r>
              <w:rPr>
                <w:rFonts w:hint="default"/>
                <w:color w:val="auto"/>
                <w:lang w:val="en-US" w:eastAsia="en-US"/>
              </w:rPr>
              <w:t>7439-97-6</w:t>
            </w:r>
          </w:p>
        </w:tc>
        <w:tc>
          <w:tcPr>
            <w:tcW w:w="3239" w:type="dxa"/>
            <w:tcBorders>
              <w:tl2br w:val="nil"/>
              <w:tr2bl w:val="nil"/>
            </w:tcBorders>
            <w:noWrap w:val="0"/>
            <w:vAlign w:val="center"/>
          </w:tcPr>
          <w:p w14:paraId="77D63628">
            <w:pPr>
              <w:pStyle w:val="30"/>
              <w:bidi w:val="0"/>
              <w:rPr>
                <w:rFonts w:hint="default"/>
                <w:color w:val="auto"/>
                <w:lang w:val="en-US" w:eastAsia="zh-CN"/>
              </w:rPr>
            </w:pPr>
            <w:r>
              <w:rPr>
                <w:rFonts w:hint="default"/>
                <w:color w:val="auto"/>
                <w:lang w:val="en-US" w:eastAsia="zh-CN"/>
              </w:rPr>
              <w:t>38</w:t>
            </w:r>
          </w:p>
        </w:tc>
      </w:tr>
      <w:tr w14:paraId="40FA7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3E674E7">
            <w:pPr>
              <w:pStyle w:val="30"/>
              <w:bidi w:val="0"/>
              <w:rPr>
                <w:rFonts w:hint="default"/>
                <w:color w:val="auto"/>
                <w:lang w:val="en-US" w:eastAsia="en-US"/>
              </w:rPr>
            </w:pPr>
            <w:r>
              <w:rPr>
                <w:rFonts w:hint="default"/>
                <w:color w:val="auto"/>
                <w:lang w:val="en-US" w:eastAsia="en-US"/>
              </w:rPr>
              <w:t>7</w:t>
            </w:r>
          </w:p>
        </w:tc>
        <w:tc>
          <w:tcPr>
            <w:tcW w:w="2424" w:type="dxa"/>
            <w:tcBorders>
              <w:tl2br w:val="nil"/>
              <w:tr2bl w:val="nil"/>
            </w:tcBorders>
            <w:noWrap w:val="0"/>
            <w:vAlign w:val="center"/>
          </w:tcPr>
          <w:p w14:paraId="2E1F49F6">
            <w:pPr>
              <w:pStyle w:val="30"/>
              <w:bidi w:val="0"/>
              <w:rPr>
                <w:rFonts w:hint="default"/>
                <w:color w:val="auto"/>
                <w:lang w:val="en-US" w:eastAsia="en-US"/>
              </w:rPr>
            </w:pPr>
            <w:r>
              <w:rPr>
                <w:rFonts w:hint="default"/>
                <w:color w:val="auto"/>
                <w:lang w:val="en-US" w:eastAsia="en-US"/>
              </w:rPr>
              <w:t>镍</w:t>
            </w:r>
          </w:p>
        </w:tc>
        <w:tc>
          <w:tcPr>
            <w:tcW w:w="2442" w:type="dxa"/>
            <w:tcBorders>
              <w:tl2br w:val="nil"/>
              <w:tr2bl w:val="nil"/>
            </w:tcBorders>
            <w:noWrap w:val="0"/>
            <w:vAlign w:val="center"/>
          </w:tcPr>
          <w:p w14:paraId="74807BE6">
            <w:pPr>
              <w:pStyle w:val="30"/>
              <w:bidi w:val="0"/>
              <w:rPr>
                <w:rFonts w:hint="default"/>
                <w:color w:val="auto"/>
                <w:lang w:val="en-US" w:eastAsia="en-US"/>
              </w:rPr>
            </w:pPr>
            <w:r>
              <w:rPr>
                <w:rFonts w:hint="default"/>
                <w:color w:val="auto"/>
                <w:lang w:val="en-US" w:eastAsia="en-US"/>
              </w:rPr>
              <w:t>7440-02-0</w:t>
            </w:r>
          </w:p>
        </w:tc>
        <w:tc>
          <w:tcPr>
            <w:tcW w:w="3239" w:type="dxa"/>
            <w:tcBorders>
              <w:tl2br w:val="nil"/>
              <w:tr2bl w:val="nil"/>
            </w:tcBorders>
            <w:noWrap w:val="0"/>
            <w:vAlign w:val="center"/>
          </w:tcPr>
          <w:p w14:paraId="0FB5DDE8">
            <w:pPr>
              <w:pStyle w:val="30"/>
              <w:bidi w:val="0"/>
              <w:rPr>
                <w:rFonts w:hint="default"/>
                <w:color w:val="auto"/>
                <w:lang w:val="en-US" w:eastAsia="zh-CN"/>
              </w:rPr>
            </w:pPr>
            <w:r>
              <w:rPr>
                <w:rFonts w:hint="default"/>
                <w:color w:val="auto"/>
                <w:lang w:val="en-US" w:eastAsia="zh-CN"/>
              </w:rPr>
              <w:t>900</w:t>
            </w:r>
          </w:p>
        </w:tc>
      </w:tr>
      <w:tr w14:paraId="2F9C6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855" w:type="dxa"/>
            <w:gridSpan w:val="4"/>
            <w:tcBorders>
              <w:tl2br w:val="nil"/>
              <w:tr2bl w:val="nil"/>
            </w:tcBorders>
            <w:noWrap w:val="0"/>
            <w:vAlign w:val="center"/>
          </w:tcPr>
          <w:p w14:paraId="4E7C4DD7">
            <w:pPr>
              <w:pStyle w:val="30"/>
              <w:bidi w:val="0"/>
              <w:rPr>
                <w:rFonts w:hint="default"/>
                <w:color w:val="auto"/>
                <w:lang w:val="en-US" w:eastAsia="en-US"/>
              </w:rPr>
            </w:pPr>
            <w:r>
              <w:rPr>
                <w:rFonts w:hint="default"/>
                <w:color w:val="auto"/>
                <w:lang w:val="en-US" w:eastAsia="en-US"/>
              </w:rPr>
              <w:t>挥发性有机物</w:t>
            </w:r>
          </w:p>
        </w:tc>
      </w:tr>
      <w:tr w14:paraId="51246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DDEA67D">
            <w:pPr>
              <w:pStyle w:val="30"/>
              <w:bidi w:val="0"/>
              <w:rPr>
                <w:rFonts w:hint="default"/>
                <w:color w:val="auto"/>
                <w:lang w:val="en-US" w:eastAsia="en-US"/>
              </w:rPr>
            </w:pPr>
            <w:r>
              <w:rPr>
                <w:rFonts w:hint="default"/>
                <w:color w:val="auto"/>
                <w:lang w:val="en-US" w:eastAsia="en-US"/>
              </w:rPr>
              <w:t>8</w:t>
            </w:r>
          </w:p>
        </w:tc>
        <w:tc>
          <w:tcPr>
            <w:tcW w:w="2424" w:type="dxa"/>
            <w:tcBorders>
              <w:tl2br w:val="nil"/>
              <w:tr2bl w:val="nil"/>
            </w:tcBorders>
            <w:noWrap w:val="0"/>
            <w:vAlign w:val="center"/>
          </w:tcPr>
          <w:p w14:paraId="536D50BB">
            <w:pPr>
              <w:pStyle w:val="30"/>
              <w:bidi w:val="0"/>
              <w:rPr>
                <w:rFonts w:hint="default"/>
                <w:color w:val="auto"/>
                <w:lang w:val="en-US" w:eastAsia="en-US"/>
              </w:rPr>
            </w:pPr>
            <w:r>
              <w:rPr>
                <w:rFonts w:hint="default"/>
                <w:color w:val="auto"/>
                <w:lang w:val="en-US" w:eastAsia="en-US"/>
              </w:rPr>
              <w:t>四氯化碳</w:t>
            </w:r>
          </w:p>
        </w:tc>
        <w:tc>
          <w:tcPr>
            <w:tcW w:w="2442" w:type="dxa"/>
            <w:tcBorders>
              <w:tl2br w:val="nil"/>
              <w:tr2bl w:val="nil"/>
            </w:tcBorders>
            <w:noWrap w:val="0"/>
            <w:vAlign w:val="center"/>
          </w:tcPr>
          <w:p w14:paraId="1784DC80">
            <w:pPr>
              <w:pStyle w:val="30"/>
              <w:bidi w:val="0"/>
              <w:rPr>
                <w:rFonts w:hint="default"/>
                <w:color w:val="auto"/>
                <w:lang w:val="en-US" w:eastAsia="en-US"/>
              </w:rPr>
            </w:pPr>
            <w:r>
              <w:rPr>
                <w:rFonts w:hint="default"/>
                <w:color w:val="auto"/>
                <w:lang w:val="en-US" w:eastAsia="en-US"/>
              </w:rPr>
              <w:t>56-23-5</w:t>
            </w:r>
          </w:p>
        </w:tc>
        <w:tc>
          <w:tcPr>
            <w:tcW w:w="3239" w:type="dxa"/>
            <w:tcBorders>
              <w:tl2br w:val="nil"/>
              <w:tr2bl w:val="nil"/>
            </w:tcBorders>
            <w:noWrap w:val="0"/>
            <w:vAlign w:val="center"/>
          </w:tcPr>
          <w:p w14:paraId="387C1D94">
            <w:pPr>
              <w:pStyle w:val="30"/>
              <w:bidi w:val="0"/>
              <w:rPr>
                <w:rFonts w:hint="default"/>
                <w:color w:val="auto"/>
                <w:lang w:val="en-US" w:eastAsia="zh-CN"/>
              </w:rPr>
            </w:pPr>
            <w:r>
              <w:rPr>
                <w:rFonts w:hint="default"/>
                <w:color w:val="auto"/>
                <w:lang w:val="en-US" w:eastAsia="zh-CN"/>
              </w:rPr>
              <w:t>2.8</w:t>
            </w:r>
          </w:p>
        </w:tc>
      </w:tr>
      <w:tr w14:paraId="4919B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25134B3">
            <w:pPr>
              <w:pStyle w:val="30"/>
              <w:bidi w:val="0"/>
              <w:rPr>
                <w:rFonts w:hint="default"/>
                <w:color w:val="auto"/>
                <w:lang w:val="en-US" w:eastAsia="en-US"/>
              </w:rPr>
            </w:pPr>
            <w:r>
              <w:rPr>
                <w:rFonts w:hint="default"/>
                <w:color w:val="auto"/>
                <w:lang w:val="en-US" w:eastAsia="en-US"/>
              </w:rPr>
              <w:t>9</w:t>
            </w:r>
          </w:p>
        </w:tc>
        <w:tc>
          <w:tcPr>
            <w:tcW w:w="2424" w:type="dxa"/>
            <w:tcBorders>
              <w:tl2br w:val="nil"/>
              <w:tr2bl w:val="nil"/>
            </w:tcBorders>
            <w:noWrap w:val="0"/>
            <w:vAlign w:val="center"/>
          </w:tcPr>
          <w:p w14:paraId="6FCEB826">
            <w:pPr>
              <w:pStyle w:val="30"/>
              <w:bidi w:val="0"/>
              <w:rPr>
                <w:rFonts w:hint="default"/>
                <w:color w:val="auto"/>
                <w:lang w:val="en-US" w:eastAsia="en-US"/>
              </w:rPr>
            </w:pPr>
            <w:r>
              <w:rPr>
                <w:rFonts w:hint="default"/>
                <w:color w:val="auto"/>
                <w:lang w:val="en-US" w:eastAsia="en-US"/>
              </w:rPr>
              <w:t>氯仿</w:t>
            </w:r>
          </w:p>
        </w:tc>
        <w:tc>
          <w:tcPr>
            <w:tcW w:w="2442" w:type="dxa"/>
            <w:tcBorders>
              <w:tl2br w:val="nil"/>
              <w:tr2bl w:val="nil"/>
            </w:tcBorders>
            <w:noWrap w:val="0"/>
            <w:vAlign w:val="center"/>
          </w:tcPr>
          <w:p w14:paraId="0DB36287">
            <w:pPr>
              <w:pStyle w:val="30"/>
              <w:bidi w:val="0"/>
              <w:rPr>
                <w:rFonts w:hint="default"/>
                <w:color w:val="auto"/>
                <w:lang w:val="en-US" w:eastAsia="en-US"/>
              </w:rPr>
            </w:pPr>
            <w:r>
              <w:rPr>
                <w:rFonts w:hint="default"/>
                <w:color w:val="auto"/>
                <w:lang w:val="en-US" w:eastAsia="en-US"/>
              </w:rPr>
              <w:t>67-66-3</w:t>
            </w:r>
          </w:p>
        </w:tc>
        <w:tc>
          <w:tcPr>
            <w:tcW w:w="3239" w:type="dxa"/>
            <w:tcBorders>
              <w:tl2br w:val="nil"/>
              <w:tr2bl w:val="nil"/>
            </w:tcBorders>
            <w:noWrap w:val="0"/>
            <w:vAlign w:val="center"/>
          </w:tcPr>
          <w:p w14:paraId="6D6B9907">
            <w:pPr>
              <w:pStyle w:val="30"/>
              <w:bidi w:val="0"/>
              <w:rPr>
                <w:rFonts w:hint="default"/>
                <w:color w:val="auto"/>
                <w:lang w:val="en-US" w:eastAsia="zh-CN"/>
              </w:rPr>
            </w:pPr>
            <w:r>
              <w:rPr>
                <w:rFonts w:hint="default"/>
                <w:color w:val="auto"/>
                <w:lang w:val="en-US" w:eastAsia="zh-CN"/>
              </w:rPr>
              <w:t>0.9</w:t>
            </w:r>
          </w:p>
        </w:tc>
      </w:tr>
      <w:tr w14:paraId="72644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2F825C7">
            <w:pPr>
              <w:pStyle w:val="30"/>
              <w:bidi w:val="0"/>
              <w:rPr>
                <w:rFonts w:hint="default"/>
                <w:color w:val="auto"/>
                <w:lang w:val="en-US" w:eastAsia="en-US"/>
              </w:rPr>
            </w:pPr>
            <w:r>
              <w:rPr>
                <w:rFonts w:hint="default"/>
                <w:color w:val="auto"/>
                <w:lang w:val="en-US" w:eastAsia="en-US"/>
              </w:rPr>
              <w:t>10</w:t>
            </w:r>
          </w:p>
        </w:tc>
        <w:tc>
          <w:tcPr>
            <w:tcW w:w="2424" w:type="dxa"/>
            <w:tcBorders>
              <w:tl2br w:val="nil"/>
              <w:tr2bl w:val="nil"/>
            </w:tcBorders>
            <w:noWrap w:val="0"/>
            <w:vAlign w:val="center"/>
          </w:tcPr>
          <w:p w14:paraId="79EA996B">
            <w:pPr>
              <w:pStyle w:val="30"/>
              <w:bidi w:val="0"/>
              <w:rPr>
                <w:rFonts w:hint="default"/>
                <w:color w:val="auto"/>
                <w:lang w:val="en-US" w:eastAsia="en-US"/>
              </w:rPr>
            </w:pPr>
            <w:r>
              <w:rPr>
                <w:rFonts w:hint="default"/>
                <w:color w:val="auto"/>
                <w:lang w:val="en-US" w:eastAsia="en-US"/>
              </w:rPr>
              <w:t>氯甲烷</w:t>
            </w:r>
          </w:p>
        </w:tc>
        <w:tc>
          <w:tcPr>
            <w:tcW w:w="2442" w:type="dxa"/>
            <w:tcBorders>
              <w:tl2br w:val="nil"/>
              <w:tr2bl w:val="nil"/>
            </w:tcBorders>
            <w:noWrap w:val="0"/>
            <w:vAlign w:val="center"/>
          </w:tcPr>
          <w:p w14:paraId="4E57D59F">
            <w:pPr>
              <w:pStyle w:val="30"/>
              <w:bidi w:val="0"/>
              <w:rPr>
                <w:rFonts w:hint="default"/>
                <w:color w:val="auto"/>
                <w:lang w:val="en-US" w:eastAsia="en-US"/>
              </w:rPr>
            </w:pPr>
            <w:r>
              <w:rPr>
                <w:rFonts w:hint="default"/>
                <w:color w:val="auto"/>
                <w:lang w:val="en-US" w:eastAsia="en-US"/>
              </w:rPr>
              <w:t>74-87-3</w:t>
            </w:r>
          </w:p>
        </w:tc>
        <w:tc>
          <w:tcPr>
            <w:tcW w:w="3239" w:type="dxa"/>
            <w:tcBorders>
              <w:tl2br w:val="nil"/>
              <w:tr2bl w:val="nil"/>
            </w:tcBorders>
            <w:noWrap w:val="0"/>
            <w:vAlign w:val="center"/>
          </w:tcPr>
          <w:p w14:paraId="04B9053E">
            <w:pPr>
              <w:pStyle w:val="30"/>
              <w:bidi w:val="0"/>
              <w:rPr>
                <w:rFonts w:hint="default"/>
                <w:color w:val="auto"/>
                <w:lang w:val="en-US" w:eastAsia="zh-CN"/>
              </w:rPr>
            </w:pPr>
            <w:r>
              <w:rPr>
                <w:rFonts w:hint="default"/>
                <w:color w:val="auto"/>
                <w:lang w:val="en-US" w:eastAsia="zh-CN"/>
              </w:rPr>
              <w:t>37</w:t>
            </w:r>
          </w:p>
        </w:tc>
      </w:tr>
      <w:tr w14:paraId="3A2CA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CE2ED38">
            <w:pPr>
              <w:pStyle w:val="30"/>
              <w:bidi w:val="0"/>
              <w:rPr>
                <w:rFonts w:hint="default"/>
                <w:color w:val="auto"/>
                <w:lang w:val="en-US" w:eastAsia="en-US"/>
              </w:rPr>
            </w:pPr>
            <w:r>
              <w:rPr>
                <w:rFonts w:hint="default"/>
                <w:color w:val="auto"/>
                <w:lang w:val="en-US" w:eastAsia="en-US"/>
              </w:rPr>
              <w:t>11</w:t>
            </w:r>
          </w:p>
        </w:tc>
        <w:tc>
          <w:tcPr>
            <w:tcW w:w="2424" w:type="dxa"/>
            <w:tcBorders>
              <w:tl2br w:val="nil"/>
              <w:tr2bl w:val="nil"/>
            </w:tcBorders>
            <w:noWrap w:val="0"/>
            <w:vAlign w:val="center"/>
          </w:tcPr>
          <w:p w14:paraId="659E3F4C">
            <w:pPr>
              <w:pStyle w:val="30"/>
              <w:bidi w:val="0"/>
              <w:rPr>
                <w:rFonts w:hint="default"/>
                <w:color w:val="auto"/>
                <w:lang w:val="en-US" w:eastAsia="en-US"/>
              </w:rPr>
            </w:pPr>
            <w:r>
              <w:rPr>
                <w:rFonts w:hint="eastAsia"/>
                <w:color w:val="auto"/>
                <w:lang w:val="en-US" w:eastAsia="zh-CN"/>
              </w:rPr>
              <w:t>1.</w:t>
            </w:r>
            <w:r>
              <w:rPr>
                <w:rFonts w:hint="default"/>
                <w:color w:val="auto"/>
                <w:lang w:val="en-US" w:eastAsia="en-US"/>
              </w:rPr>
              <w:t>1-二氯乙烷</w:t>
            </w:r>
          </w:p>
        </w:tc>
        <w:tc>
          <w:tcPr>
            <w:tcW w:w="2442" w:type="dxa"/>
            <w:tcBorders>
              <w:tl2br w:val="nil"/>
              <w:tr2bl w:val="nil"/>
            </w:tcBorders>
            <w:noWrap w:val="0"/>
            <w:vAlign w:val="center"/>
          </w:tcPr>
          <w:p w14:paraId="5BE6973F">
            <w:pPr>
              <w:pStyle w:val="30"/>
              <w:bidi w:val="0"/>
              <w:rPr>
                <w:rFonts w:hint="default"/>
                <w:color w:val="auto"/>
                <w:lang w:val="en-US" w:eastAsia="en-US"/>
              </w:rPr>
            </w:pPr>
            <w:r>
              <w:rPr>
                <w:rFonts w:hint="default"/>
                <w:color w:val="auto"/>
                <w:lang w:val="en-US" w:eastAsia="en-US"/>
              </w:rPr>
              <w:t>75-34-3</w:t>
            </w:r>
          </w:p>
        </w:tc>
        <w:tc>
          <w:tcPr>
            <w:tcW w:w="3239" w:type="dxa"/>
            <w:tcBorders>
              <w:tl2br w:val="nil"/>
              <w:tr2bl w:val="nil"/>
            </w:tcBorders>
            <w:noWrap w:val="0"/>
            <w:vAlign w:val="center"/>
          </w:tcPr>
          <w:p w14:paraId="010C40AF">
            <w:pPr>
              <w:pStyle w:val="30"/>
              <w:bidi w:val="0"/>
              <w:rPr>
                <w:rFonts w:hint="default"/>
                <w:color w:val="auto"/>
                <w:lang w:val="en-US" w:eastAsia="zh-CN"/>
              </w:rPr>
            </w:pPr>
            <w:r>
              <w:rPr>
                <w:rFonts w:hint="default"/>
                <w:color w:val="auto"/>
                <w:lang w:val="en-US" w:eastAsia="zh-CN"/>
              </w:rPr>
              <w:t>9</w:t>
            </w:r>
          </w:p>
        </w:tc>
      </w:tr>
      <w:tr w14:paraId="7550C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AD4434F">
            <w:pPr>
              <w:pStyle w:val="30"/>
              <w:bidi w:val="0"/>
              <w:rPr>
                <w:rFonts w:hint="default"/>
                <w:color w:val="auto"/>
                <w:lang w:val="en-US" w:eastAsia="en-US"/>
              </w:rPr>
            </w:pPr>
            <w:r>
              <w:rPr>
                <w:rFonts w:hint="default"/>
                <w:color w:val="auto"/>
                <w:lang w:val="en-US" w:eastAsia="en-US"/>
              </w:rPr>
              <w:t>12</w:t>
            </w:r>
          </w:p>
        </w:tc>
        <w:tc>
          <w:tcPr>
            <w:tcW w:w="2424" w:type="dxa"/>
            <w:tcBorders>
              <w:tl2br w:val="nil"/>
              <w:tr2bl w:val="nil"/>
            </w:tcBorders>
            <w:noWrap w:val="0"/>
            <w:vAlign w:val="center"/>
          </w:tcPr>
          <w:p w14:paraId="3A8486EE">
            <w:pPr>
              <w:pStyle w:val="30"/>
              <w:bidi w:val="0"/>
              <w:rPr>
                <w:rFonts w:hint="default"/>
                <w:color w:val="auto"/>
                <w:lang w:val="en-US" w:eastAsia="en-US"/>
              </w:rPr>
            </w:pPr>
            <w:r>
              <w:rPr>
                <w:rFonts w:hint="eastAsia"/>
                <w:color w:val="auto"/>
                <w:lang w:val="en-US" w:eastAsia="zh-CN"/>
              </w:rPr>
              <w:t>1.</w:t>
            </w:r>
            <w:r>
              <w:rPr>
                <w:rFonts w:hint="default"/>
                <w:color w:val="auto"/>
                <w:lang w:val="en-US" w:eastAsia="en-US"/>
              </w:rPr>
              <w:t>2-二氯乙烷</w:t>
            </w:r>
          </w:p>
        </w:tc>
        <w:tc>
          <w:tcPr>
            <w:tcW w:w="2442" w:type="dxa"/>
            <w:tcBorders>
              <w:tl2br w:val="nil"/>
              <w:tr2bl w:val="nil"/>
            </w:tcBorders>
            <w:noWrap w:val="0"/>
            <w:vAlign w:val="center"/>
          </w:tcPr>
          <w:p w14:paraId="18ABC683">
            <w:pPr>
              <w:pStyle w:val="30"/>
              <w:bidi w:val="0"/>
              <w:rPr>
                <w:rFonts w:hint="default"/>
                <w:color w:val="auto"/>
                <w:lang w:val="en-US" w:eastAsia="en-US"/>
              </w:rPr>
            </w:pPr>
            <w:r>
              <w:rPr>
                <w:rFonts w:hint="default"/>
                <w:color w:val="auto"/>
                <w:lang w:val="en-US" w:eastAsia="en-US"/>
              </w:rPr>
              <w:t>107-06-2</w:t>
            </w:r>
          </w:p>
        </w:tc>
        <w:tc>
          <w:tcPr>
            <w:tcW w:w="3239" w:type="dxa"/>
            <w:tcBorders>
              <w:tl2br w:val="nil"/>
              <w:tr2bl w:val="nil"/>
            </w:tcBorders>
            <w:noWrap w:val="0"/>
            <w:vAlign w:val="center"/>
          </w:tcPr>
          <w:p w14:paraId="45972A0F">
            <w:pPr>
              <w:pStyle w:val="30"/>
              <w:bidi w:val="0"/>
              <w:rPr>
                <w:rFonts w:hint="default"/>
                <w:color w:val="auto"/>
                <w:lang w:val="en-US" w:eastAsia="zh-CN"/>
              </w:rPr>
            </w:pPr>
            <w:r>
              <w:rPr>
                <w:rFonts w:hint="default"/>
                <w:color w:val="auto"/>
                <w:lang w:val="en-US" w:eastAsia="zh-CN"/>
              </w:rPr>
              <w:t>5</w:t>
            </w:r>
          </w:p>
        </w:tc>
      </w:tr>
      <w:tr w14:paraId="45512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0D338A5">
            <w:pPr>
              <w:pStyle w:val="30"/>
              <w:bidi w:val="0"/>
              <w:rPr>
                <w:rFonts w:hint="default"/>
                <w:color w:val="auto"/>
                <w:lang w:val="en-US" w:eastAsia="en-US"/>
              </w:rPr>
            </w:pPr>
            <w:r>
              <w:rPr>
                <w:rFonts w:hint="default"/>
                <w:color w:val="auto"/>
                <w:lang w:val="en-US" w:eastAsia="en-US"/>
              </w:rPr>
              <w:t>13</w:t>
            </w:r>
          </w:p>
        </w:tc>
        <w:tc>
          <w:tcPr>
            <w:tcW w:w="2424" w:type="dxa"/>
            <w:tcBorders>
              <w:tl2br w:val="nil"/>
              <w:tr2bl w:val="nil"/>
            </w:tcBorders>
            <w:noWrap w:val="0"/>
            <w:vAlign w:val="center"/>
          </w:tcPr>
          <w:p w14:paraId="321654FA">
            <w:pPr>
              <w:pStyle w:val="30"/>
              <w:bidi w:val="0"/>
              <w:rPr>
                <w:rFonts w:hint="default"/>
                <w:color w:val="auto"/>
                <w:lang w:val="en-US" w:eastAsia="en-US"/>
              </w:rPr>
            </w:pPr>
            <w:r>
              <w:rPr>
                <w:rFonts w:hint="eastAsia"/>
                <w:color w:val="auto"/>
                <w:lang w:val="en-US" w:eastAsia="zh-CN"/>
              </w:rPr>
              <w:t>1.</w:t>
            </w:r>
            <w:r>
              <w:rPr>
                <w:rFonts w:hint="default"/>
                <w:color w:val="auto"/>
                <w:lang w:val="en-US" w:eastAsia="en-US"/>
              </w:rPr>
              <w:t>1-二氯乙烯</w:t>
            </w:r>
          </w:p>
        </w:tc>
        <w:tc>
          <w:tcPr>
            <w:tcW w:w="2442" w:type="dxa"/>
            <w:tcBorders>
              <w:tl2br w:val="nil"/>
              <w:tr2bl w:val="nil"/>
            </w:tcBorders>
            <w:noWrap w:val="0"/>
            <w:vAlign w:val="center"/>
          </w:tcPr>
          <w:p w14:paraId="79F45C14">
            <w:pPr>
              <w:pStyle w:val="30"/>
              <w:bidi w:val="0"/>
              <w:rPr>
                <w:rFonts w:hint="default"/>
                <w:color w:val="auto"/>
                <w:lang w:val="en-US" w:eastAsia="en-US"/>
              </w:rPr>
            </w:pPr>
            <w:r>
              <w:rPr>
                <w:rFonts w:hint="default"/>
                <w:color w:val="auto"/>
                <w:lang w:val="en-US" w:eastAsia="en-US"/>
              </w:rPr>
              <w:t>75-35-4</w:t>
            </w:r>
          </w:p>
        </w:tc>
        <w:tc>
          <w:tcPr>
            <w:tcW w:w="3239" w:type="dxa"/>
            <w:tcBorders>
              <w:tl2br w:val="nil"/>
              <w:tr2bl w:val="nil"/>
            </w:tcBorders>
            <w:noWrap w:val="0"/>
            <w:vAlign w:val="center"/>
          </w:tcPr>
          <w:p w14:paraId="730CDDB4">
            <w:pPr>
              <w:pStyle w:val="30"/>
              <w:bidi w:val="0"/>
              <w:rPr>
                <w:rFonts w:hint="default"/>
                <w:color w:val="auto"/>
                <w:lang w:val="en-US" w:eastAsia="zh-CN"/>
              </w:rPr>
            </w:pPr>
            <w:r>
              <w:rPr>
                <w:rFonts w:hint="default"/>
                <w:color w:val="auto"/>
                <w:lang w:val="en-US" w:eastAsia="zh-CN"/>
              </w:rPr>
              <w:t>66</w:t>
            </w:r>
          </w:p>
        </w:tc>
      </w:tr>
      <w:tr w14:paraId="4FB57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31CAA8E6">
            <w:pPr>
              <w:pStyle w:val="30"/>
              <w:bidi w:val="0"/>
              <w:rPr>
                <w:rFonts w:hint="default"/>
                <w:color w:val="auto"/>
                <w:lang w:val="en-US" w:eastAsia="en-US"/>
              </w:rPr>
            </w:pPr>
            <w:r>
              <w:rPr>
                <w:rFonts w:hint="default"/>
                <w:color w:val="auto"/>
                <w:lang w:val="en-US" w:eastAsia="en-US"/>
              </w:rPr>
              <w:t>14</w:t>
            </w:r>
          </w:p>
        </w:tc>
        <w:tc>
          <w:tcPr>
            <w:tcW w:w="2424" w:type="dxa"/>
            <w:tcBorders>
              <w:tl2br w:val="nil"/>
              <w:tr2bl w:val="nil"/>
            </w:tcBorders>
            <w:noWrap w:val="0"/>
            <w:vAlign w:val="center"/>
          </w:tcPr>
          <w:p w14:paraId="43FBB4CC">
            <w:pPr>
              <w:pStyle w:val="30"/>
              <w:bidi w:val="0"/>
              <w:rPr>
                <w:rFonts w:hint="default"/>
                <w:color w:val="auto"/>
                <w:lang w:val="en-US" w:eastAsia="en-US"/>
              </w:rPr>
            </w:pPr>
            <w:r>
              <w:rPr>
                <w:rFonts w:hint="default"/>
                <w:color w:val="auto"/>
                <w:lang w:val="en-US" w:eastAsia="en-US"/>
              </w:rPr>
              <w:t>顺-1</w:t>
            </w:r>
            <w:r>
              <w:rPr>
                <w:rFonts w:hint="default"/>
                <w:color w:val="auto"/>
                <w:lang w:val="en-US" w:eastAsia="zh-CN"/>
              </w:rPr>
              <w:t>，</w:t>
            </w:r>
            <w:r>
              <w:rPr>
                <w:rFonts w:hint="default"/>
                <w:color w:val="auto"/>
                <w:lang w:val="en-US" w:eastAsia="en-US"/>
              </w:rPr>
              <w:t>2-二氯乙烯</w:t>
            </w:r>
          </w:p>
        </w:tc>
        <w:tc>
          <w:tcPr>
            <w:tcW w:w="2442" w:type="dxa"/>
            <w:tcBorders>
              <w:tl2br w:val="nil"/>
              <w:tr2bl w:val="nil"/>
            </w:tcBorders>
            <w:noWrap w:val="0"/>
            <w:vAlign w:val="center"/>
          </w:tcPr>
          <w:p w14:paraId="1908B09A">
            <w:pPr>
              <w:pStyle w:val="30"/>
              <w:bidi w:val="0"/>
              <w:rPr>
                <w:rFonts w:hint="default"/>
                <w:color w:val="auto"/>
                <w:lang w:val="en-US" w:eastAsia="en-US"/>
              </w:rPr>
            </w:pPr>
            <w:r>
              <w:rPr>
                <w:rFonts w:hint="default"/>
                <w:color w:val="auto"/>
                <w:lang w:val="en-US" w:eastAsia="en-US"/>
              </w:rPr>
              <w:t>156-59-2</w:t>
            </w:r>
          </w:p>
        </w:tc>
        <w:tc>
          <w:tcPr>
            <w:tcW w:w="3239" w:type="dxa"/>
            <w:tcBorders>
              <w:tl2br w:val="nil"/>
              <w:tr2bl w:val="nil"/>
            </w:tcBorders>
            <w:noWrap w:val="0"/>
            <w:vAlign w:val="center"/>
          </w:tcPr>
          <w:p w14:paraId="50885955">
            <w:pPr>
              <w:pStyle w:val="30"/>
              <w:bidi w:val="0"/>
              <w:rPr>
                <w:rFonts w:hint="default"/>
                <w:color w:val="auto"/>
                <w:lang w:val="en-US" w:eastAsia="zh-CN"/>
              </w:rPr>
            </w:pPr>
            <w:r>
              <w:rPr>
                <w:rFonts w:hint="default"/>
                <w:color w:val="auto"/>
                <w:lang w:val="en-US" w:eastAsia="zh-CN"/>
              </w:rPr>
              <w:t>596</w:t>
            </w:r>
          </w:p>
        </w:tc>
      </w:tr>
      <w:tr w14:paraId="6C500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6F915F0">
            <w:pPr>
              <w:pStyle w:val="30"/>
              <w:bidi w:val="0"/>
              <w:rPr>
                <w:rFonts w:hint="default"/>
                <w:color w:val="auto"/>
                <w:lang w:val="en-US" w:eastAsia="en-US"/>
              </w:rPr>
            </w:pPr>
            <w:r>
              <w:rPr>
                <w:rFonts w:hint="default"/>
                <w:color w:val="auto"/>
                <w:lang w:val="en-US" w:eastAsia="en-US"/>
              </w:rPr>
              <w:t>15</w:t>
            </w:r>
          </w:p>
        </w:tc>
        <w:tc>
          <w:tcPr>
            <w:tcW w:w="2424" w:type="dxa"/>
            <w:tcBorders>
              <w:tl2br w:val="nil"/>
              <w:tr2bl w:val="nil"/>
            </w:tcBorders>
            <w:noWrap w:val="0"/>
            <w:vAlign w:val="center"/>
          </w:tcPr>
          <w:p w14:paraId="26882932">
            <w:pPr>
              <w:pStyle w:val="30"/>
              <w:bidi w:val="0"/>
              <w:rPr>
                <w:rFonts w:hint="default"/>
                <w:color w:val="auto"/>
                <w:lang w:val="en-US" w:eastAsia="en-US"/>
              </w:rPr>
            </w:pPr>
            <w:r>
              <w:rPr>
                <w:rFonts w:hint="default"/>
                <w:color w:val="auto"/>
                <w:lang w:val="en-US" w:eastAsia="en-US"/>
              </w:rPr>
              <w:t>反-1</w:t>
            </w:r>
            <w:r>
              <w:rPr>
                <w:rFonts w:hint="default"/>
                <w:color w:val="auto"/>
                <w:lang w:val="en-US" w:eastAsia="zh-CN"/>
              </w:rPr>
              <w:t>，</w:t>
            </w:r>
            <w:r>
              <w:rPr>
                <w:rFonts w:hint="default"/>
                <w:color w:val="auto"/>
                <w:lang w:val="en-US" w:eastAsia="en-US"/>
              </w:rPr>
              <w:t>2-二氯乙烯</w:t>
            </w:r>
          </w:p>
        </w:tc>
        <w:tc>
          <w:tcPr>
            <w:tcW w:w="2442" w:type="dxa"/>
            <w:tcBorders>
              <w:tl2br w:val="nil"/>
              <w:tr2bl w:val="nil"/>
            </w:tcBorders>
            <w:noWrap w:val="0"/>
            <w:vAlign w:val="center"/>
          </w:tcPr>
          <w:p w14:paraId="37375140">
            <w:pPr>
              <w:pStyle w:val="30"/>
              <w:bidi w:val="0"/>
              <w:rPr>
                <w:rFonts w:hint="default"/>
                <w:color w:val="auto"/>
                <w:lang w:val="en-US" w:eastAsia="en-US"/>
              </w:rPr>
            </w:pPr>
            <w:r>
              <w:rPr>
                <w:rFonts w:hint="default"/>
                <w:color w:val="auto"/>
                <w:lang w:val="en-US" w:eastAsia="en-US"/>
              </w:rPr>
              <w:t>156-60-5</w:t>
            </w:r>
          </w:p>
        </w:tc>
        <w:tc>
          <w:tcPr>
            <w:tcW w:w="3239" w:type="dxa"/>
            <w:tcBorders>
              <w:tl2br w:val="nil"/>
              <w:tr2bl w:val="nil"/>
            </w:tcBorders>
            <w:noWrap w:val="0"/>
            <w:vAlign w:val="center"/>
          </w:tcPr>
          <w:p w14:paraId="6AEF44DD">
            <w:pPr>
              <w:pStyle w:val="30"/>
              <w:bidi w:val="0"/>
              <w:rPr>
                <w:rFonts w:hint="default"/>
                <w:color w:val="auto"/>
                <w:lang w:val="en-US" w:eastAsia="zh-CN"/>
              </w:rPr>
            </w:pPr>
            <w:r>
              <w:rPr>
                <w:rFonts w:hint="default"/>
                <w:color w:val="auto"/>
                <w:lang w:val="en-US" w:eastAsia="zh-CN"/>
              </w:rPr>
              <w:t>54</w:t>
            </w:r>
          </w:p>
        </w:tc>
      </w:tr>
      <w:tr w14:paraId="755D3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34166659">
            <w:pPr>
              <w:pStyle w:val="30"/>
              <w:bidi w:val="0"/>
              <w:rPr>
                <w:rFonts w:hint="default"/>
                <w:color w:val="auto"/>
                <w:lang w:val="en-US" w:eastAsia="en-US"/>
              </w:rPr>
            </w:pPr>
            <w:r>
              <w:rPr>
                <w:rFonts w:hint="default"/>
                <w:color w:val="auto"/>
                <w:lang w:val="en-US" w:eastAsia="en-US"/>
              </w:rPr>
              <w:t>16</w:t>
            </w:r>
          </w:p>
        </w:tc>
        <w:tc>
          <w:tcPr>
            <w:tcW w:w="2424" w:type="dxa"/>
            <w:tcBorders>
              <w:tl2br w:val="nil"/>
              <w:tr2bl w:val="nil"/>
            </w:tcBorders>
            <w:noWrap w:val="0"/>
            <w:vAlign w:val="center"/>
          </w:tcPr>
          <w:p w14:paraId="3F44AD84">
            <w:pPr>
              <w:pStyle w:val="30"/>
              <w:bidi w:val="0"/>
              <w:rPr>
                <w:rFonts w:hint="default"/>
                <w:color w:val="auto"/>
                <w:lang w:val="en-US" w:eastAsia="en-US"/>
              </w:rPr>
            </w:pPr>
            <w:r>
              <w:rPr>
                <w:rFonts w:hint="default"/>
                <w:color w:val="auto"/>
                <w:lang w:val="en-US" w:eastAsia="en-US"/>
              </w:rPr>
              <w:t>二氯甲烷</w:t>
            </w:r>
          </w:p>
        </w:tc>
        <w:tc>
          <w:tcPr>
            <w:tcW w:w="2442" w:type="dxa"/>
            <w:tcBorders>
              <w:tl2br w:val="nil"/>
              <w:tr2bl w:val="nil"/>
            </w:tcBorders>
            <w:noWrap w:val="0"/>
            <w:vAlign w:val="center"/>
          </w:tcPr>
          <w:p w14:paraId="19BAA3A7">
            <w:pPr>
              <w:pStyle w:val="30"/>
              <w:bidi w:val="0"/>
              <w:rPr>
                <w:rFonts w:hint="default"/>
                <w:color w:val="auto"/>
                <w:lang w:val="en-US" w:eastAsia="en-US"/>
              </w:rPr>
            </w:pPr>
            <w:r>
              <w:rPr>
                <w:rFonts w:hint="default"/>
                <w:color w:val="auto"/>
                <w:lang w:val="en-US" w:eastAsia="en-US"/>
              </w:rPr>
              <w:t>75-09-2</w:t>
            </w:r>
          </w:p>
        </w:tc>
        <w:tc>
          <w:tcPr>
            <w:tcW w:w="3239" w:type="dxa"/>
            <w:tcBorders>
              <w:tl2br w:val="nil"/>
              <w:tr2bl w:val="nil"/>
            </w:tcBorders>
            <w:noWrap w:val="0"/>
            <w:vAlign w:val="center"/>
          </w:tcPr>
          <w:p w14:paraId="71CFF0BB">
            <w:pPr>
              <w:pStyle w:val="30"/>
              <w:bidi w:val="0"/>
              <w:rPr>
                <w:rFonts w:hint="default"/>
                <w:color w:val="auto"/>
                <w:lang w:val="en-US" w:eastAsia="zh-CN"/>
              </w:rPr>
            </w:pPr>
            <w:r>
              <w:rPr>
                <w:rFonts w:hint="default"/>
                <w:color w:val="auto"/>
                <w:lang w:val="en-US" w:eastAsia="zh-CN"/>
              </w:rPr>
              <w:t>616</w:t>
            </w:r>
          </w:p>
        </w:tc>
      </w:tr>
      <w:tr w14:paraId="60623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FF86DA3">
            <w:pPr>
              <w:pStyle w:val="30"/>
              <w:bidi w:val="0"/>
              <w:rPr>
                <w:rFonts w:hint="default"/>
                <w:color w:val="auto"/>
                <w:lang w:val="en-US" w:eastAsia="en-US"/>
              </w:rPr>
            </w:pPr>
            <w:r>
              <w:rPr>
                <w:rFonts w:hint="default"/>
                <w:color w:val="auto"/>
                <w:lang w:val="en-US" w:eastAsia="en-US"/>
              </w:rPr>
              <w:t>17</w:t>
            </w:r>
          </w:p>
        </w:tc>
        <w:tc>
          <w:tcPr>
            <w:tcW w:w="2424" w:type="dxa"/>
            <w:tcBorders>
              <w:tl2br w:val="nil"/>
              <w:tr2bl w:val="nil"/>
            </w:tcBorders>
            <w:noWrap w:val="0"/>
            <w:vAlign w:val="center"/>
          </w:tcPr>
          <w:p w14:paraId="6DAE9007">
            <w:pPr>
              <w:pStyle w:val="30"/>
              <w:bidi w:val="0"/>
              <w:rPr>
                <w:rFonts w:hint="default"/>
                <w:color w:val="auto"/>
                <w:lang w:val="en-US" w:eastAsia="en-US"/>
              </w:rPr>
            </w:pPr>
            <w:r>
              <w:rPr>
                <w:rFonts w:hint="eastAsia"/>
                <w:color w:val="auto"/>
                <w:lang w:val="en-US" w:eastAsia="zh-CN"/>
              </w:rPr>
              <w:t>1.</w:t>
            </w:r>
            <w:r>
              <w:rPr>
                <w:rFonts w:hint="default"/>
                <w:color w:val="auto"/>
                <w:lang w:val="en-US" w:eastAsia="en-US"/>
              </w:rPr>
              <w:t>2-二氯丙烷</w:t>
            </w:r>
          </w:p>
        </w:tc>
        <w:tc>
          <w:tcPr>
            <w:tcW w:w="2442" w:type="dxa"/>
            <w:tcBorders>
              <w:tl2br w:val="nil"/>
              <w:tr2bl w:val="nil"/>
            </w:tcBorders>
            <w:noWrap w:val="0"/>
            <w:vAlign w:val="center"/>
          </w:tcPr>
          <w:p w14:paraId="546C0041">
            <w:pPr>
              <w:pStyle w:val="30"/>
              <w:bidi w:val="0"/>
              <w:rPr>
                <w:rFonts w:hint="default"/>
                <w:color w:val="auto"/>
                <w:lang w:val="en-US" w:eastAsia="en-US"/>
              </w:rPr>
            </w:pPr>
            <w:r>
              <w:rPr>
                <w:rFonts w:hint="default"/>
                <w:color w:val="auto"/>
                <w:lang w:val="en-US" w:eastAsia="en-US"/>
              </w:rPr>
              <w:t>78-87-5</w:t>
            </w:r>
          </w:p>
        </w:tc>
        <w:tc>
          <w:tcPr>
            <w:tcW w:w="3239" w:type="dxa"/>
            <w:tcBorders>
              <w:tl2br w:val="nil"/>
              <w:tr2bl w:val="nil"/>
            </w:tcBorders>
            <w:noWrap w:val="0"/>
            <w:vAlign w:val="center"/>
          </w:tcPr>
          <w:p w14:paraId="739DB535">
            <w:pPr>
              <w:pStyle w:val="30"/>
              <w:bidi w:val="0"/>
              <w:rPr>
                <w:rFonts w:hint="default"/>
                <w:color w:val="auto"/>
                <w:lang w:val="en-US" w:eastAsia="zh-CN"/>
              </w:rPr>
            </w:pPr>
            <w:r>
              <w:rPr>
                <w:rFonts w:hint="default"/>
                <w:color w:val="auto"/>
                <w:lang w:val="en-US" w:eastAsia="zh-CN"/>
              </w:rPr>
              <w:t>5</w:t>
            </w:r>
          </w:p>
        </w:tc>
      </w:tr>
      <w:tr w14:paraId="49E4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98C65B5">
            <w:pPr>
              <w:pStyle w:val="30"/>
              <w:bidi w:val="0"/>
              <w:rPr>
                <w:rFonts w:hint="default"/>
                <w:color w:val="auto"/>
                <w:lang w:val="en-US" w:eastAsia="en-US"/>
              </w:rPr>
            </w:pPr>
            <w:r>
              <w:rPr>
                <w:rFonts w:hint="default"/>
                <w:color w:val="auto"/>
                <w:lang w:val="en-US" w:eastAsia="en-US"/>
              </w:rPr>
              <w:t>18</w:t>
            </w:r>
          </w:p>
        </w:tc>
        <w:tc>
          <w:tcPr>
            <w:tcW w:w="2424" w:type="dxa"/>
            <w:tcBorders>
              <w:tl2br w:val="nil"/>
              <w:tr2bl w:val="nil"/>
            </w:tcBorders>
            <w:noWrap w:val="0"/>
            <w:vAlign w:val="center"/>
          </w:tcPr>
          <w:p w14:paraId="3BF3FA62">
            <w:pPr>
              <w:pStyle w:val="30"/>
              <w:bidi w:val="0"/>
              <w:rPr>
                <w:rFonts w:hint="default"/>
                <w:color w:val="auto"/>
                <w:lang w:val="en-US" w:eastAsia="en-US"/>
              </w:rPr>
            </w:pPr>
            <w:r>
              <w:rPr>
                <w:rFonts w:hint="eastAsia"/>
                <w:color w:val="auto"/>
                <w:lang w:val="en-US" w:eastAsia="zh-CN"/>
              </w:rPr>
              <w:t>1.</w:t>
            </w:r>
            <w:r>
              <w:rPr>
                <w:rFonts w:hint="default"/>
                <w:color w:val="auto"/>
                <w:lang w:val="en-US" w:eastAsia="en-US"/>
              </w:rPr>
              <w:t>1</w:t>
            </w:r>
            <w:r>
              <w:rPr>
                <w:rFonts w:hint="default"/>
                <w:color w:val="auto"/>
                <w:lang w:val="en-US" w:eastAsia="zh-CN"/>
              </w:rPr>
              <w:t>，</w:t>
            </w:r>
            <w:r>
              <w:rPr>
                <w:rFonts w:hint="default"/>
                <w:color w:val="auto"/>
                <w:lang w:val="en-US" w:eastAsia="en-US"/>
              </w:rPr>
              <w:t>1</w:t>
            </w:r>
            <w:r>
              <w:rPr>
                <w:rFonts w:hint="default"/>
                <w:color w:val="auto"/>
                <w:lang w:val="en-US" w:eastAsia="zh-CN"/>
              </w:rPr>
              <w:t>，</w:t>
            </w:r>
            <w:r>
              <w:rPr>
                <w:rFonts w:hint="default"/>
                <w:color w:val="auto"/>
                <w:lang w:val="en-US" w:eastAsia="en-US"/>
              </w:rPr>
              <w:t>2-四氯乙烷</w:t>
            </w:r>
          </w:p>
        </w:tc>
        <w:tc>
          <w:tcPr>
            <w:tcW w:w="2442" w:type="dxa"/>
            <w:tcBorders>
              <w:tl2br w:val="nil"/>
              <w:tr2bl w:val="nil"/>
            </w:tcBorders>
            <w:noWrap w:val="0"/>
            <w:vAlign w:val="center"/>
          </w:tcPr>
          <w:p w14:paraId="1E0EB203">
            <w:pPr>
              <w:pStyle w:val="30"/>
              <w:bidi w:val="0"/>
              <w:rPr>
                <w:rFonts w:hint="default"/>
                <w:color w:val="auto"/>
                <w:lang w:val="en-US" w:eastAsia="en-US"/>
              </w:rPr>
            </w:pPr>
            <w:r>
              <w:rPr>
                <w:rFonts w:hint="default"/>
                <w:color w:val="auto"/>
                <w:lang w:val="en-US" w:eastAsia="en-US"/>
              </w:rPr>
              <w:t>630-20-6</w:t>
            </w:r>
          </w:p>
        </w:tc>
        <w:tc>
          <w:tcPr>
            <w:tcW w:w="3239" w:type="dxa"/>
            <w:tcBorders>
              <w:tl2br w:val="nil"/>
              <w:tr2bl w:val="nil"/>
            </w:tcBorders>
            <w:noWrap w:val="0"/>
            <w:vAlign w:val="center"/>
          </w:tcPr>
          <w:p w14:paraId="393515F6">
            <w:pPr>
              <w:pStyle w:val="30"/>
              <w:bidi w:val="0"/>
              <w:rPr>
                <w:rFonts w:hint="default"/>
                <w:color w:val="auto"/>
                <w:lang w:val="en-US" w:eastAsia="zh-CN"/>
              </w:rPr>
            </w:pPr>
            <w:r>
              <w:rPr>
                <w:rFonts w:hint="default"/>
                <w:color w:val="auto"/>
                <w:lang w:val="en-US" w:eastAsia="zh-CN"/>
              </w:rPr>
              <w:t>10</w:t>
            </w:r>
          </w:p>
        </w:tc>
      </w:tr>
      <w:tr w14:paraId="3F57A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698ED10">
            <w:pPr>
              <w:pStyle w:val="30"/>
              <w:bidi w:val="0"/>
              <w:rPr>
                <w:rFonts w:hint="default"/>
                <w:color w:val="auto"/>
                <w:lang w:val="en-US" w:eastAsia="en-US"/>
              </w:rPr>
            </w:pPr>
            <w:r>
              <w:rPr>
                <w:rFonts w:hint="default"/>
                <w:color w:val="auto"/>
                <w:lang w:val="en-US" w:eastAsia="en-US"/>
              </w:rPr>
              <w:t>19</w:t>
            </w:r>
          </w:p>
        </w:tc>
        <w:tc>
          <w:tcPr>
            <w:tcW w:w="2424" w:type="dxa"/>
            <w:tcBorders>
              <w:tl2br w:val="nil"/>
              <w:tr2bl w:val="nil"/>
            </w:tcBorders>
            <w:noWrap w:val="0"/>
            <w:vAlign w:val="center"/>
          </w:tcPr>
          <w:p w14:paraId="58B31388">
            <w:pPr>
              <w:pStyle w:val="30"/>
              <w:bidi w:val="0"/>
              <w:rPr>
                <w:rFonts w:hint="default"/>
                <w:color w:val="auto"/>
                <w:lang w:val="en-US" w:eastAsia="en-US"/>
              </w:rPr>
            </w:pPr>
            <w:r>
              <w:rPr>
                <w:rFonts w:hint="eastAsia"/>
                <w:color w:val="auto"/>
                <w:lang w:val="en-US" w:eastAsia="zh-CN"/>
              </w:rPr>
              <w:t>1.</w:t>
            </w:r>
            <w:r>
              <w:rPr>
                <w:rFonts w:hint="default"/>
                <w:color w:val="auto"/>
                <w:lang w:val="en-US" w:eastAsia="en-US"/>
              </w:rPr>
              <w:t>1</w:t>
            </w:r>
            <w:r>
              <w:rPr>
                <w:rFonts w:hint="default"/>
                <w:color w:val="auto"/>
                <w:lang w:val="en-US" w:eastAsia="zh-CN"/>
              </w:rPr>
              <w:t>，</w:t>
            </w:r>
            <w:r>
              <w:rPr>
                <w:rFonts w:hint="default"/>
                <w:color w:val="auto"/>
                <w:lang w:val="en-US" w:eastAsia="en-US"/>
              </w:rPr>
              <w:t>2</w:t>
            </w:r>
            <w:r>
              <w:rPr>
                <w:rFonts w:hint="default"/>
                <w:color w:val="auto"/>
                <w:lang w:val="en-US" w:eastAsia="zh-CN"/>
              </w:rPr>
              <w:t>，</w:t>
            </w:r>
            <w:r>
              <w:rPr>
                <w:rFonts w:hint="default"/>
                <w:color w:val="auto"/>
                <w:lang w:val="en-US" w:eastAsia="en-US"/>
              </w:rPr>
              <w:t>2-四氯乙烷</w:t>
            </w:r>
          </w:p>
        </w:tc>
        <w:tc>
          <w:tcPr>
            <w:tcW w:w="2442" w:type="dxa"/>
            <w:tcBorders>
              <w:tl2br w:val="nil"/>
              <w:tr2bl w:val="nil"/>
            </w:tcBorders>
            <w:noWrap w:val="0"/>
            <w:vAlign w:val="center"/>
          </w:tcPr>
          <w:p w14:paraId="19F77EF5">
            <w:pPr>
              <w:pStyle w:val="30"/>
              <w:bidi w:val="0"/>
              <w:rPr>
                <w:rFonts w:hint="default"/>
                <w:color w:val="auto"/>
                <w:lang w:val="en-US" w:eastAsia="en-US"/>
              </w:rPr>
            </w:pPr>
            <w:r>
              <w:rPr>
                <w:rFonts w:hint="default"/>
                <w:color w:val="auto"/>
                <w:lang w:val="en-US" w:eastAsia="en-US"/>
              </w:rPr>
              <w:t>79-34-5</w:t>
            </w:r>
          </w:p>
        </w:tc>
        <w:tc>
          <w:tcPr>
            <w:tcW w:w="3239" w:type="dxa"/>
            <w:tcBorders>
              <w:tl2br w:val="nil"/>
              <w:tr2bl w:val="nil"/>
            </w:tcBorders>
            <w:noWrap w:val="0"/>
            <w:vAlign w:val="center"/>
          </w:tcPr>
          <w:p w14:paraId="4145678B">
            <w:pPr>
              <w:pStyle w:val="30"/>
              <w:bidi w:val="0"/>
              <w:rPr>
                <w:rFonts w:hint="default"/>
                <w:color w:val="auto"/>
                <w:lang w:val="en-US" w:eastAsia="zh-CN"/>
              </w:rPr>
            </w:pPr>
            <w:r>
              <w:rPr>
                <w:rFonts w:hint="default"/>
                <w:color w:val="auto"/>
                <w:lang w:val="en-US" w:eastAsia="zh-CN"/>
              </w:rPr>
              <w:t>6.8</w:t>
            </w:r>
          </w:p>
        </w:tc>
      </w:tr>
      <w:tr w14:paraId="5D385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F3DBF95">
            <w:pPr>
              <w:pStyle w:val="30"/>
              <w:bidi w:val="0"/>
              <w:rPr>
                <w:rFonts w:hint="default"/>
                <w:color w:val="auto"/>
                <w:lang w:val="en-US" w:eastAsia="en-US"/>
              </w:rPr>
            </w:pPr>
            <w:r>
              <w:rPr>
                <w:rFonts w:hint="default"/>
                <w:color w:val="auto"/>
                <w:lang w:val="en-US" w:eastAsia="en-US"/>
              </w:rPr>
              <w:t>20</w:t>
            </w:r>
          </w:p>
        </w:tc>
        <w:tc>
          <w:tcPr>
            <w:tcW w:w="2424" w:type="dxa"/>
            <w:tcBorders>
              <w:tl2br w:val="nil"/>
              <w:tr2bl w:val="nil"/>
            </w:tcBorders>
            <w:noWrap w:val="0"/>
            <w:vAlign w:val="center"/>
          </w:tcPr>
          <w:p w14:paraId="4514E374">
            <w:pPr>
              <w:pStyle w:val="30"/>
              <w:bidi w:val="0"/>
              <w:rPr>
                <w:rFonts w:hint="default"/>
                <w:color w:val="auto"/>
                <w:lang w:val="en-US" w:eastAsia="en-US"/>
              </w:rPr>
            </w:pPr>
            <w:r>
              <w:rPr>
                <w:rFonts w:hint="default"/>
                <w:color w:val="auto"/>
                <w:lang w:val="en-US" w:eastAsia="en-US"/>
              </w:rPr>
              <w:t>四氯乙烯</w:t>
            </w:r>
          </w:p>
        </w:tc>
        <w:tc>
          <w:tcPr>
            <w:tcW w:w="2442" w:type="dxa"/>
            <w:tcBorders>
              <w:tl2br w:val="nil"/>
              <w:tr2bl w:val="nil"/>
            </w:tcBorders>
            <w:noWrap w:val="0"/>
            <w:vAlign w:val="center"/>
          </w:tcPr>
          <w:p w14:paraId="3C090118">
            <w:pPr>
              <w:pStyle w:val="30"/>
              <w:bidi w:val="0"/>
              <w:rPr>
                <w:rFonts w:hint="default"/>
                <w:color w:val="auto"/>
                <w:lang w:val="en-US" w:eastAsia="en-US"/>
              </w:rPr>
            </w:pPr>
            <w:r>
              <w:rPr>
                <w:rFonts w:hint="default"/>
                <w:color w:val="auto"/>
                <w:lang w:val="en-US" w:eastAsia="en-US"/>
              </w:rPr>
              <w:t>127-18-4</w:t>
            </w:r>
          </w:p>
        </w:tc>
        <w:tc>
          <w:tcPr>
            <w:tcW w:w="3239" w:type="dxa"/>
            <w:tcBorders>
              <w:tl2br w:val="nil"/>
              <w:tr2bl w:val="nil"/>
            </w:tcBorders>
            <w:noWrap w:val="0"/>
            <w:vAlign w:val="center"/>
          </w:tcPr>
          <w:p w14:paraId="4930C895">
            <w:pPr>
              <w:pStyle w:val="30"/>
              <w:bidi w:val="0"/>
              <w:rPr>
                <w:rFonts w:hint="default"/>
                <w:color w:val="auto"/>
                <w:lang w:val="en-US" w:eastAsia="zh-CN"/>
              </w:rPr>
            </w:pPr>
            <w:r>
              <w:rPr>
                <w:rFonts w:hint="default"/>
                <w:color w:val="auto"/>
                <w:lang w:val="en-US" w:eastAsia="zh-CN"/>
              </w:rPr>
              <w:t>53</w:t>
            </w:r>
          </w:p>
        </w:tc>
      </w:tr>
      <w:tr w14:paraId="132F8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372613C">
            <w:pPr>
              <w:pStyle w:val="30"/>
              <w:bidi w:val="0"/>
              <w:rPr>
                <w:rFonts w:hint="default"/>
                <w:color w:val="auto"/>
                <w:lang w:val="en-US" w:eastAsia="en-US"/>
              </w:rPr>
            </w:pPr>
            <w:r>
              <w:rPr>
                <w:rFonts w:hint="default"/>
                <w:color w:val="auto"/>
                <w:lang w:val="en-US" w:eastAsia="en-US"/>
              </w:rPr>
              <w:t>21</w:t>
            </w:r>
          </w:p>
        </w:tc>
        <w:tc>
          <w:tcPr>
            <w:tcW w:w="2424" w:type="dxa"/>
            <w:tcBorders>
              <w:tl2br w:val="nil"/>
              <w:tr2bl w:val="nil"/>
            </w:tcBorders>
            <w:noWrap w:val="0"/>
            <w:vAlign w:val="center"/>
          </w:tcPr>
          <w:p w14:paraId="66C76073">
            <w:pPr>
              <w:pStyle w:val="30"/>
              <w:bidi w:val="0"/>
              <w:rPr>
                <w:rFonts w:hint="default"/>
                <w:color w:val="auto"/>
                <w:lang w:val="en-US" w:eastAsia="en-US"/>
              </w:rPr>
            </w:pPr>
            <w:r>
              <w:rPr>
                <w:rFonts w:hint="eastAsia"/>
                <w:color w:val="auto"/>
                <w:lang w:val="en-US" w:eastAsia="zh-CN"/>
              </w:rPr>
              <w:t>1.</w:t>
            </w:r>
            <w:r>
              <w:rPr>
                <w:rFonts w:hint="default"/>
                <w:color w:val="auto"/>
                <w:lang w:val="en-US" w:eastAsia="en-US"/>
              </w:rPr>
              <w:t>1</w:t>
            </w:r>
            <w:r>
              <w:rPr>
                <w:rFonts w:hint="default"/>
                <w:color w:val="auto"/>
                <w:lang w:val="en-US" w:eastAsia="zh-CN"/>
              </w:rPr>
              <w:t>，</w:t>
            </w:r>
            <w:r>
              <w:rPr>
                <w:rFonts w:hint="default"/>
                <w:color w:val="auto"/>
                <w:lang w:val="en-US" w:eastAsia="en-US"/>
              </w:rPr>
              <w:t>1-三氯乙烷</w:t>
            </w:r>
          </w:p>
        </w:tc>
        <w:tc>
          <w:tcPr>
            <w:tcW w:w="2442" w:type="dxa"/>
            <w:tcBorders>
              <w:tl2br w:val="nil"/>
              <w:tr2bl w:val="nil"/>
            </w:tcBorders>
            <w:noWrap w:val="0"/>
            <w:vAlign w:val="center"/>
          </w:tcPr>
          <w:p w14:paraId="113F6E4C">
            <w:pPr>
              <w:pStyle w:val="30"/>
              <w:bidi w:val="0"/>
              <w:rPr>
                <w:rFonts w:hint="default"/>
                <w:color w:val="auto"/>
                <w:lang w:val="en-US" w:eastAsia="en-US"/>
              </w:rPr>
            </w:pPr>
            <w:r>
              <w:rPr>
                <w:rFonts w:hint="default"/>
                <w:color w:val="auto"/>
                <w:lang w:val="en-US" w:eastAsia="en-US"/>
              </w:rPr>
              <w:t>71-55-6</w:t>
            </w:r>
          </w:p>
        </w:tc>
        <w:tc>
          <w:tcPr>
            <w:tcW w:w="3239" w:type="dxa"/>
            <w:tcBorders>
              <w:tl2br w:val="nil"/>
              <w:tr2bl w:val="nil"/>
            </w:tcBorders>
            <w:noWrap w:val="0"/>
            <w:vAlign w:val="center"/>
          </w:tcPr>
          <w:p w14:paraId="718EF51F">
            <w:pPr>
              <w:pStyle w:val="30"/>
              <w:bidi w:val="0"/>
              <w:rPr>
                <w:rFonts w:hint="default"/>
                <w:color w:val="auto"/>
                <w:lang w:val="en-US" w:eastAsia="zh-CN"/>
              </w:rPr>
            </w:pPr>
            <w:r>
              <w:rPr>
                <w:rFonts w:hint="default"/>
                <w:color w:val="auto"/>
                <w:lang w:val="en-US" w:eastAsia="zh-CN"/>
              </w:rPr>
              <w:t>840</w:t>
            </w:r>
          </w:p>
        </w:tc>
      </w:tr>
      <w:tr w14:paraId="4E434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5F9721A">
            <w:pPr>
              <w:pStyle w:val="30"/>
              <w:bidi w:val="0"/>
              <w:rPr>
                <w:rFonts w:hint="default"/>
                <w:color w:val="auto"/>
                <w:lang w:val="en-US" w:eastAsia="en-US"/>
              </w:rPr>
            </w:pPr>
            <w:r>
              <w:rPr>
                <w:rFonts w:hint="default"/>
                <w:color w:val="auto"/>
                <w:lang w:val="en-US" w:eastAsia="en-US"/>
              </w:rPr>
              <w:t>22</w:t>
            </w:r>
          </w:p>
        </w:tc>
        <w:tc>
          <w:tcPr>
            <w:tcW w:w="2424" w:type="dxa"/>
            <w:tcBorders>
              <w:tl2br w:val="nil"/>
              <w:tr2bl w:val="nil"/>
            </w:tcBorders>
            <w:noWrap w:val="0"/>
            <w:vAlign w:val="center"/>
          </w:tcPr>
          <w:p w14:paraId="45EA0489">
            <w:pPr>
              <w:pStyle w:val="30"/>
              <w:bidi w:val="0"/>
              <w:rPr>
                <w:rFonts w:hint="default"/>
                <w:color w:val="auto"/>
                <w:lang w:val="en-US" w:eastAsia="en-US"/>
              </w:rPr>
            </w:pPr>
            <w:r>
              <w:rPr>
                <w:rFonts w:hint="eastAsia"/>
                <w:color w:val="auto"/>
                <w:lang w:val="en-US" w:eastAsia="zh-CN"/>
              </w:rPr>
              <w:t>1.</w:t>
            </w:r>
            <w:r>
              <w:rPr>
                <w:rFonts w:hint="default"/>
                <w:color w:val="auto"/>
                <w:lang w:val="en-US" w:eastAsia="en-US"/>
              </w:rPr>
              <w:t>1</w:t>
            </w:r>
            <w:r>
              <w:rPr>
                <w:rFonts w:hint="default"/>
                <w:color w:val="auto"/>
                <w:lang w:val="en-US" w:eastAsia="zh-CN"/>
              </w:rPr>
              <w:t>，</w:t>
            </w:r>
            <w:r>
              <w:rPr>
                <w:rFonts w:hint="default"/>
                <w:color w:val="auto"/>
                <w:lang w:val="en-US" w:eastAsia="en-US"/>
              </w:rPr>
              <w:t>2-三氯乙烷</w:t>
            </w:r>
          </w:p>
        </w:tc>
        <w:tc>
          <w:tcPr>
            <w:tcW w:w="2442" w:type="dxa"/>
            <w:tcBorders>
              <w:tl2br w:val="nil"/>
              <w:tr2bl w:val="nil"/>
            </w:tcBorders>
            <w:noWrap w:val="0"/>
            <w:vAlign w:val="center"/>
          </w:tcPr>
          <w:p w14:paraId="7113848F">
            <w:pPr>
              <w:pStyle w:val="30"/>
              <w:bidi w:val="0"/>
              <w:rPr>
                <w:rFonts w:hint="default"/>
                <w:color w:val="auto"/>
                <w:lang w:val="en-US" w:eastAsia="en-US"/>
              </w:rPr>
            </w:pPr>
            <w:r>
              <w:rPr>
                <w:rFonts w:hint="default"/>
                <w:color w:val="auto"/>
                <w:lang w:val="en-US" w:eastAsia="en-US"/>
              </w:rPr>
              <w:t>79-00-5</w:t>
            </w:r>
          </w:p>
        </w:tc>
        <w:tc>
          <w:tcPr>
            <w:tcW w:w="3239" w:type="dxa"/>
            <w:tcBorders>
              <w:tl2br w:val="nil"/>
              <w:tr2bl w:val="nil"/>
            </w:tcBorders>
            <w:noWrap w:val="0"/>
            <w:vAlign w:val="center"/>
          </w:tcPr>
          <w:p w14:paraId="5436405E">
            <w:pPr>
              <w:pStyle w:val="30"/>
              <w:bidi w:val="0"/>
              <w:rPr>
                <w:rFonts w:hint="default"/>
                <w:color w:val="auto"/>
                <w:lang w:val="en-US" w:eastAsia="zh-CN"/>
              </w:rPr>
            </w:pPr>
            <w:r>
              <w:rPr>
                <w:rFonts w:hint="default"/>
                <w:color w:val="auto"/>
                <w:lang w:val="en-US" w:eastAsia="zh-CN"/>
              </w:rPr>
              <w:t>2.8</w:t>
            </w:r>
          </w:p>
        </w:tc>
      </w:tr>
      <w:tr w14:paraId="7C1EE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FA2E109">
            <w:pPr>
              <w:pStyle w:val="30"/>
              <w:bidi w:val="0"/>
              <w:rPr>
                <w:rFonts w:hint="default"/>
                <w:color w:val="auto"/>
                <w:lang w:val="en-US" w:eastAsia="en-US"/>
              </w:rPr>
            </w:pPr>
            <w:r>
              <w:rPr>
                <w:rFonts w:hint="default"/>
                <w:color w:val="auto"/>
                <w:lang w:val="en-US" w:eastAsia="en-US"/>
              </w:rPr>
              <w:t>23</w:t>
            </w:r>
          </w:p>
        </w:tc>
        <w:tc>
          <w:tcPr>
            <w:tcW w:w="2424" w:type="dxa"/>
            <w:tcBorders>
              <w:tl2br w:val="nil"/>
              <w:tr2bl w:val="nil"/>
            </w:tcBorders>
            <w:noWrap w:val="0"/>
            <w:vAlign w:val="center"/>
          </w:tcPr>
          <w:p w14:paraId="0972396D">
            <w:pPr>
              <w:pStyle w:val="30"/>
              <w:bidi w:val="0"/>
              <w:rPr>
                <w:rFonts w:hint="default"/>
                <w:color w:val="auto"/>
                <w:lang w:val="en-US" w:eastAsia="en-US"/>
              </w:rPr>
            </w:pPr>
            <w:r>
              <w:rPr>
                <w:rFonts w:hint="default"/>
                <w:color w:val="auto"/>
                <w:lang w:val="en-US" w:eastAsia="en-US"/>
              </w:rPr>
              <w:t>三氯乙烯</w:t>
            </w:r>
          </w:p>
        </w:tc>
        <w:tc>
          <w:tcPr>
            <w:tcW w:w="2442" w:type="dxa"/>
            <w:tcBorders>
              <w:tl2br w:val="nil"/>
              <w:tr2bl w:val="nil"/>
            </w:tcBorders>
            <w:noWrap w:val="0"/>
            <w:vAlign w:val="center"/>
          </w:tcPr>
          <w:p w14:paraId="00FDA4F0">
            <w:pPr>
              <w:pStyle w:val="30"/>
              <w:bidi w:val="0"/>
              <w:rPr>
                <w:rFonts w:hint="default"/>
                <w:color w:val="auto"/>
                <w:lang w:val="en-US" w:eastAsia="en-US"/>
              </w:rPr>
            </w:pPr>
            <w:r>
              <w:rPr>
                <w:rFonts w:hint="default"/>
                <w:color w:val="auto"/>
                <w:lang w:val="en-US" w:eastAsia="en-US"/>
              </w:rPr>
              <w:t>79-01-6</w:t>
            </w:r>
          </w:p>
        </w:tc>
        <w:tc>
          <w:tcPr>
            <w:tcW w:w="3239" w:type="dxa"/>
            <w:tcBorders>
              <w:tl2br w:val="nil"/>
              <w:tr2bl w:val="nil"/>
            </w:tcBorders>
            <w:noWrap w:val="0"/>
            <w:vAlign w:val="center"/>
          </w:tcPr>
          <w:p w14:paraId="42364A26">
            <w:pPr>
              <w:pStyle w:val="30"/>
              <w:bidi w:val="0"/>
              <w:rPr>
                <w:rFonts w:hint="default"/>
                <w:color w:val="auto"/>
                <w:lang w:val="en-US" w:eastAsia="zh-CN"/>
              </w:rPr>
            </w:pPr>
            <w:r>
              <w:rPr>
                <w:rFonts w:hint="default"/>
                <w:color w:val="auto"/>
                <w:lang w:val="en-US" w:eastAsia="zh-CN"/>
              </w:rPr>
              <w:t>2.8</w:t>
            </w:r>
          </w:p>
        </w:tc>
      </w:tr>
      <w:tr w14:paraId="1E03B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A433FAB">
            <w:pPr>
              <w:pStyle w:val="30"/>
              <w:bidi w:val="0"/>
              <w:rPr>
                <w:rFonts w:hint="default"/>
                <w:color w:val="auto"/>
                <w:lang w:val="en-US" w:eastAsia="en-US"/>
              </w:rPr>
            </w:pPr>
            <w:r>
              <w:rPr>
                <w:rFonts w:hint="default"/>
                <w:color w:val="auto"/>
                <w:lang w:val="en-US" w:eastAsia="en-US"/>
              </w:rPr>
              <w:t>24</w:t>
            </w:r>
          </w:p>
        </w:tc>
        <w:tc>
          <w:tcPr>
            <w:tcW w:w="2424" w:type="dxa"/>
            <w:tcBorders>
              <w:tl2br w:val="nil"/>
              <w:tr2bl w:val="nil"/>
            </w:tcBorders>
            <w:noWrap w:val="0"/>
            <w:vAlign w:val="center"/>
          </w:tcPr>
          <w:p w14:paraId="32A2EC64">
            <w:pPr>
              <w:pStyle w:val="30"/>
              <w:bidi w:val="0"/>
              <w:rPr>
                <w:rFonts w:hint="default"/>
                <w:color w:val="auto"/>
                <w:lang w:val="en-US" w:eastAsia="en-US"/>
              </w:rPr>
            </w:pPr>
            <w:r>
              <w:rPr>
                <w:rFonts w:hint="eastAsia"/>
                <w:color w:val="auto"/>
                <w:lang w:val="en-US" w:eastAsia="zh-CN"/>
              </w:rPr>
              <w:t>1.</w:t>
            </w:r>
            <w:r>
              <w:rPr>
                <w:rFonts w:hint="default"/>
                <w:color w:val="auto"/>
                <w:lang w:val="en-US" w:eastAsia="en-US"/>
              </w:rPr>
              <w:t>2</w:t>
            </w:r>
            <w:r>
              <w:rPr>
                <w:rFonts w:hint="default"/>
                <w:color w:val="auto"/>
                <w:lang w:val="en-US" w:eastAsia="zh-CN"/>
              </w:rPr>
              <w:t>，</w:t>
            </w:r>
            <w:r>
              <w:rPr>
                <w:rFonts w:hint="default"/>
                <w:color w:val="auto"/>
                <w:lang w:val="en-US" w:eastAsia="en-US"/>
              </w:rPr>
              <w:t>3-三氯丙烷</w:t>
            </w:r>
          </w:p>
        </w:tc>
        <w:tc>
          <w:tcPr>
            <w:tcW w:w="2442" w:type="dxa"/>
            <w:tcBorders>
              <w:tl2br w:val="nil"/>
              <w:tr2bl w:val="nil"/>
            </w:tcBorders>
            <w:noWrap w:val="0"/>
            <w:vAlign w:val="center"/>
          </w:tcPr>
          <w:p w14:paraId="36F2FA51">
            <w:pPr>
              <w:pStyle w:val="30"/>
              <w:bidi w:val="0"/>
              <w:rPr>
                <w:rFonts w:hint="default"/>
                <w:color w:val="auto"/>
                <w:lang w:val="en-US" w:eastAsia="en-US"/>
              </w:rPr>
            </w:pPr>
            <w:r>
              <w:rPr>
                <w:rFonts w:hint="default"/>
                <w:color w:val="auto"/>
                <w:lang w:val="en-US" w:eastAsia="en-US"/>
              </w:rPr>
              <w:t>96-18-4</w:t>
            </w:r>
          </w:p>
        </w:tc>
        <w:tc>
          <w:tcPr>
            <w:tcW w:w="3239" w:type="dxa"/>
            <w:tcBorders>
              <w:tl2br w:val="nil"/>
              <w:tr2bl w:val="nil"/>
            </w:tcBorders>
            <w:noWrap w:val="0"/>
            <w:vAlign w:val="center"/>
          </w:tcPr>
          <w:p w14:paraId="288AE590">
            <w:pPr>
              <w:pStyle w:val="30"/>
              <w:bidi w:val="0"/>
              <w:rPr>
                <w:rFonts w:hint="default"/>
                <w:color w:val="auto"/>
                <w:lang w:val="en-US" w:eastAsia="zh-CN"/>
              </w:rPr>
            </w:pPr>
            <w:r>
              <w:rPr>
                <w:rFonts w:hint="default"/>
                <w:color w:val="auto"/>
                <w:lang w:val="en-US" w:eastAsia="zh-CN"/>
              </w:rPr>
              <w:t>0.5</w:t>
            </w:r>
          </w:p>
        </w:tc>
      </w:tr>
      <w:tr w14:paraId="2077B2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2E2B97F">
            <w:pPr>
              <w:pStyle w:val="30"/>
              <w:bidi w:val="0"/>
              <w:rPr>
                <w:rFonts w:hint="default"/>
                <w:color w:val="auto"/>
                <w:lang w:val="en-US" w:eastAsia="en-US"/>
              </w:rPr>
            </w:pPr>
            <w:r>
              <w:rPr>
                <w:rFonts w:hint="default"/>
                <w:color w:val="auto"/>
                <w:lang w:val="en-US" w:eastAsia="en-US"/>
              </w:rPr>
              <w:t>25</w:t>
            </w:r>
          </w:p>
        </w:tc>
        <w:tc>
          <w:tcPr>
            <w:tcW w:w="2424" w:type="dxa"/>
            <w:tcBorders>
              <w:tl2br w:val="nil"/>
              <w:tr2bl w:val="nil"/>
            </w:tcBorders>
            <w:noWrap w:val="0"/>
            <w:vAlign w:val="center"/>
          </w:tcPr>
          <w:p w14:paraId="4C96B60E">
            <w:pPr>
              <w:pStyle w:val="30"/>
              <w:bidi w:val="0"/>
              <w:rPr>
                <w:rFonts w:hint="default"/>
                <w:color w:val="auto"/>
                <w:lang w:val="en-US" w:eastAsia="en-US"/>
              </w:rPr>
            </w:pPr>
            <w:r>
              <w:rPr>
                <w:rFonts w:hint="default"/>
                <w:color w:val="auto"/>
                <w:lang w:val="en-US" w:eastAsia="en-US"/>
              </w:rPr>
              <w:t>氯乙烯</w:t>
            </w:r>
          </w:p>
        </w:tc>
        <w:tc>
          <w:tcPr>
            <w:tcW w:w="2442" w:type="dxa"/>
            <w:tcBorders>
              <w:tl2br w:val="nil"/>
              <w:tr2bl w:val="nil"/>
            </w:tcBorders>
            <w:noWrap w:val="0"/>
            <w:vAlign w:val="center"/>
          </w:tcPr>
          <w:p w14:paraId="4A2CA1F3">
            <w:pPr>
              <w:pStyle w:val="30"/>
              <w:bidi w:val="0"/>
              <w:rPr>
                <w:rFonts w:hint="default"/>
                <w:color w:val="auto"/>
                <w:lang w:val="en-US" w:eastAsia="en-US"/>
              </w:rPr>
            </w:pPr>
            <w:r>
              <w:rPr>
                <w:rFonts w:hint="default"/>
                <w:color w:val="auto"/>
                <w:lang w:val="en-US" w:eastAsia="en-US"/>
              </w:rPr>
              <w:t>75-01-4</w:t>
            </w:r>
          </w:p>
        </w:tc>
        <w:tc>
          <w:tcPr>
            <w:tcW w:w="3239" w:type="dxa"/>
            <w:tcBorders>
              <w:tl2br w:val="nil"/>
              <w:tr2bl w:val="nil"/>
            </w:tcBorders>
            <w:noWrap w:val="0"/>
            <w:vAlign w:val="center"/>
          </w:tcPr>
          <w:p w14:paraId="663DA890">
            <w:pPr>
              <w:pStyle w:val="30"/>
              <w:bidi w:val="0"/>
              <w:rPr>
                <w:rFonts w:hint="default"/>
                <w:color w:val="auto"/>
                <w:lang w:val="en-US" w:eastAsia="zh-CN"/>
              </w:rPr>
            </w:pPr>
            <w:r>
              <w:rPr>
                <w:rFonts w:hint="default"/>
                <w:color w:val="auto"/>
                <w:lang w:val="en-US" w:eastAsia="zh-CN"/>
              </w:rPr>
              <w:t>0.43</w:t>
            </w:r>
          </w:p>
        </w:tc>
      </w:tr>
      <w:tr w14:paraId="2320A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68D6B66">
            <w:pPr>
              <w:pStyle w:val="30"/>
              <w:bidi w:val="0"/>
              <w:rPr>
                <w:rFonts w:hint="default"/>
                <w:color w:val="auto"/>
                <w:lang w:val="en-US" w:eastAsia="en-US"/>
              </w:rPr>
            </w:pPr>
            <w:r>
              <w:rPr>
                <w:rFonts w:hint="default"/>
                <w:color w:val="auto"/>
                <w:lang w:val="en-US" w:eastAsia="en-US"/>
              </w:rPr>
              <w:t>26</w:t>
            </w:r>
          </w:p>
        </w:tc>
        <w:tc>
          <w:tcPr>
            <w:tcW w:w="2424" w:type="dxa"/>
            <w:tcBorders>
              <w:tl2br w:val="nil"/>
              <w:tr2bl w:val="nil"/>
            </w:tcBorders>
            <w:noWrap w:val="0"/>
            <w:vAlign w:val="center"/>
          </w:tcPr>
          <w:p w14:paraId="671F1CCC">
            <w:pPr>
              <w:pStyle w:val="30"/>
              <w:bidi w:val="0"/>
              <w:rPr>
                <w:rFonts w:hint="default"/>
                <w:color w:val="auto"/>
                <w:lang w:val="en-US" w:eastAsia="en-US"/>
              </w:rPr>
            </w:pPr>
            <w:r>
              <w:rPr>
                <w:rFonts w:hint="default"/>
                <w:color w:val="auto"/>
                <w:lang w:val="en-US" w:eastAsia="en-US"/>
              </w:rPr>
              <w:t>苯</w:t>
            </w:r>
          </w:p>
        </w:tc>
        <w:tc>
          <w:tcPr>
            <w:tcW w:w="2442" w:type="dxa"/>
            <w:tcBorders>
              <w:tl2br w:val="nil"/>
              <w:tr2bl w:val="nil"/>
            </w:tcBorders>
            <w:noWrap w:val="0"/>
            <w:vAlign w:val="center"/>
          </w:tcPr>
          <w:p w14:paraId="46AF31F1">
            <w:pPr>
              <w:pStyle w:val="30"/>
              <w:bidi w:val="0"/>
              <w:rPr>
                <w:rFonts w:hint="default"/>
                <w:color w:val="auto"/>
                <w:lang w:val="en-US" w:eastAsia="en-US"/>
              </w:rPr>
            </w:pPr>
            <w:r>
              <w:rPr>
                <w:rFonts w:hint="default"/>
                <w:color w:val="auto"/>
                <w:lang w:val="en-US" w:eastAsia="en-US"/>
              </w:rPr>
              <w:t>71-43-2</w:t>
            </w:r>
          </w:p>
        </w:tc>
        <w:tc>
          <w:tcPr>
            <w:tcW w:w="3239" w:type="dxa"/>
            <w:tcBorders>
              <w:tl2br w:val="nil"/>
              <w:tr2bl w:val="nil"/>
            </w:tcBorders>
            <w:noWrap w:val="0"/>
            <w:vAlign w:val="center"/>
          </w:tcPr>
          <w:p w14:paraId="730ADC0B">
            <w:pPr>
              <w:pStyle w:val="30"/>
              <w:bidi w:val="0"/>
              <w:rPr>
                <w:rFonts w:hint="default"/>
                <w:color w:val="auto"/>
                <w:lang w:val="en-US" w:eastAsia="zh-CN"/>
              </w:rPr>
            </w:pPr>
            <w:r>
              <w:rPr>
                <w:rFonts w:hint="default"/>
                <w:color w:val="auto"/>
                <w:lang w:val="en-US" w:eastAsia="zh-CN"/>
              </w:rPr>
              <w:t>4</w:t>
            </w:r>
          </w:p>
        </w:tc>
      </w:tr>
      <w:tr w14:paraId="37D86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3F317767">
            <w:pPr>
              <w:pStyle w:val="30"/>
              <w:bidi w:val="0"/>
              <w:rPr>
                <w:rFonts w:hint="default"/>
                <w:color w:val="auto"/>
                <w:lang w:val="en-US" w:eastAsia="en-US"/>
              </w:rPr>
            </w:pPr>
            <w:r>
              <w:rPr>
                <w:rFonts w:hint="default"/>
                <w:color w:val="auto"/>
                <w:lang w:val="en-US" w:eastAsia="en-US"/>
              </w:rPr>
              <w:t>27</w:t>
            </w:r>
          </w:p>
        </w:tc>
        <w:tc>
          <w:tcPr>
            <w:tcW w:w="2424" w:type="dxa"/>
            <w:tcBorders>
              <w:tl2br w:val="nil"/>
              <w:tr2bl w:val="nil"/>
            </w:tcBorders>
            <w:noWrap w:val="0"/>
            <w:vAlign w:val="center"/>
          </w:tcPr>
          <w:p w14:paraId="4526E73C">
            <w:pPr>
              <w:pStyle w:val="30"/>
              <w:bidi w:val="0"/>
              <w:rPr>
                <w:rFonts w:hint="default"/>
                <w:color w:val="auto"/>
                <w:lang w:val="en-US" w:eastAsia="en-US"/>
              </w:rPr>
            </w:pPr>
            <w:r>
              <w:rPr>
                <w:rFonts w:hint="default"/>
                <w:color w:val="auto"/>
                <w:lang w:val="en-US" w:eastAsia="en-US"/>
              </w:rPr>
              <w:t>氯苯</w:t>
            </w:r>
          </w:p>
        </w:tc>
        <w:tc>
          <w:tcPr>
            <w:tcW w:w="2442" w:type="dxa"/>
            <w:tcBorders>
              <w:tl2br w:val="nil"/>
              <w:tr2bl w:val="nil"/>
            </w:tcBorders>
            <w:noWrap w:val="0"/>
            <w:vAlign w:val="center"/>
          </w:tcPr>
          <w:p w14:paraId="11FCC40C">
            <w:pPr>
              <w:pStyle w:val="30"/>
              <w:bidi w:val="0"/>
              <w:rPr>
                <w:rFonts w:hint="default"/>
                <w:color w:val="auto"/>
                <w:lang w:val="en-US" w:eastAsia="en-US"/>
              </w:rPr>
            </w:pPr>
            <w:r>
              <w:rPr>
                <w:rFonts w:hint="default"/>
                <w:color w:val="auto"/>
                <w:lang w:val="en-US" w:eastAsia="en-US"/>
              </w:rPr>
              <w:t>108-90-7</w:t>
            </w:r>
          </w:p>
        </w:tc>
        <w:tc>
          <w:tcPr>
            <w:tcW w:w="3239" w:type="dxa"/>
            <w:tcBorders>
              <w:tl2br w:val="nil"/>
              <w:tr2bl w:val="nil"/>
            </w:tcBorders>
            <w:noWrap w:val="0"/>
            <w:vAlign w:val="center"/>
          </w:tcPr>
          <w:p w14:paraId="051F6BF0">
            <w:pPr>
              <w:pStyle w:val="30"/>
              <w:bidi w:val="0"/>
              <w:rPr>
                <w:rFonts w:hint="default"/>
                <w:color w:val="auto"/>
                <w:lang w:val="en-US" w:eastAsia="zh-CN"/>
              </w:rPr>
            </w:pPr>
            <w:r>
              <w:rPr>
                <w:rFonts w:hint="default"/>
                <w:color w:val="auto"/>
                <w:lang w:val="en-US" w:eastAsia="zh-CN"/>
              </w:rPr>
              <w:t>270</w:t>
            </w:r>
          </w:p>
        </w:tc>
      </w:tr>
      <w:tr w14:paraId="68B74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81095F7">
            <w:pPr>
              <w:pStyle w:val="30"/>
              <w:bidi w:val="0"/>
              <w:rPr>
                <w:rFonts w:hint="default"/>
                <w:color w:val="auto"/>
                <w:lang w:val="en-US" w:eastAsia="en-US"/>
              </w:rPr>
            </w:pPr>
            <w:r>
              <w:rPr>
                <w:rFonts w:hint="default"/>
                <w:color w:val="auto"/>
                <w:lang w:val="en-US" w:eastAsia="en-US"/>
              </w:rPr>
              <w:t>28</w:t>
            </w:r>
          </w:p>
        </w:tc>
        <w:tc>
          <w:tcPr>
            <w:tcW w:w="2424" w:type="dxa"/>
            <w:tcBorders>
              <w:tl2br w:val="nil"/>
              <w:tr2bl w:val="nil"/>
            </w:tcBorders>
            <w:noWrap w:val="0"/>
            <w:vAlign w:val="center"/>
          </w:tcPr>
          <w:p w14:paraId="415F76A8">
            <w:pPr>
              <w:pStyle w:val="30"/>
              <w:bidi w:val="0"/>
              <w:rPr>
                <w:rFonts w:hint="default"/>
                <w:color w:val="auto"/>
                <w:lang w:val="en-US" w:eastAsia="en-US"/>
              </w:rPr>
            </w:pPr>
            <w:r>
              <w:rPr>
                <w:rFonts w:hint="eastAsia"/>
                <w:color w:val="auto"/>
                <w:lang w:val="en-US" w:eastAsia="zh-CN"/>
              </w:rPr>
              <w:t>1.</w:t>
            </w:r>
            <w:r>
              <w:rPr>
                <w:rFonts w:hint="default"/>
                <w:color w:val="auto"/>
                <w:lang w:val="en-US" w:eastAsia="en-US"/>
              </w:rPr>
              <w:t>2-二氯苯</w:t>
            </w:r>
          </w:p>
        </w:tc>
        <w:tc>
          <w:tcPr>
            <w:tcW w:w="2442" w:type="dxa"/>
            <w:tcBorders>
              <w:tl2br w:val="nil"/>
              <w:tr2bl w:val="nil"/>
            </w:tcBorders>
            <w:noWrap w:val="0"/>
            <w:vAlign w:val="center"/>
          </w:tcPr>
          <w:p w14:paraId="288C08DD">
            <w:pPr>
              <w:pStyle w:val="30"/>
              <w:bidi w:val="0"/>
              <w:rPr>
                <w:rFonts w:hint="default"/>
                <w:color w:val="auto"/>
                <w:lang w:val="en-US" w:eastAsia="en-US"/>
              </w:rPr>
            </w:pPr>
            <w:r>
              <w:rPr>
                <w:rFonts w:hint="default"/>
                <w:color w:val="auto"/>
                <w:lang w:val="en-US" w:eastAsia="en-US"/>
              </w:rPr>
              <w:t>95-50-1</w:t>
            </w:r>
          </w:p>
        </w:tc>
        <w:tc>
          <w:tcPr>
            <w:tcW w:w="3239" w:type="dxa"/>
            <w:tcBorders>
              <w:tl2br w:val="nil"/>
              <w:tr2bl w:val="nil"/>
            </w:tcBorders>
            <w:noWrap w:val="0"/>
            <w:vAlign w:val="center"/>
          </w:tcPr>
          <w:p w14:paraId="5CB81D22">
            <w:pPr>
              <w:pStyle w:val="30"/>
              <w:bidi w:val="0"/>
              <w:rPr>
                <w:rFonts w:hint="default"/>
                <w:color w:val="auto"/>
                <w:lang w:val="en-US" w:eastAsia="zh-CN"/>
              </w:rPr>
            </w:pPr>
            <w:r>
              <w:rPr>
                <w:rFonts w:hint="default"/>
                <w:color w:val="auto"/>
                <w:lang w:val="en-US" w:eastAsia="zh-CN"/>
              </w:rPr>
              <w:t>560</w:t>
            </w:r>
          </w:p>
        </w:tc>
      </w:tr>
      <w:tr w14:paraId="04378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F387BB0">
            <w:pPr>
              <w:pStyle w:val="30"/>
              <w:bidi w:val="0"/>
              <w:rPr>
                <w:rFonts w:hint="default"/>
                <w:color w:val="auto"/>
                <w:lang w:val="en-US" w:eastAsia="en-US"/>
              </w:rPr>
            </w:pPr>
            <w:r>
              <w:rPr>
                <w:rFonts w:hint="default"/>
                <w:color w:val="auto"/>
                <w:lang w:val="en-US" w:eastAsia="en-US"/>
              </w:rPr>
              <w:t>29</w:t>
            </w:r>
          </w:p>
        </w:tc>
        <w:tc>
          <w:tcPr>
            <w:tcW w:w="2424" w:type="dxa"/>
            <w:tcBorders>
              <w:tl2br w:val="nil"/>
              <w:tr2bl w:val="nil"/>
            </w:tcBorders>
            <w:noWrap w:val="0"/>
            <w:vAlign w:val="center"/>
          </w:tcPr>
          <w:p w14:paraId="2840E677">
            <w:pPr>
              <w:pStyle w:val="30"/>
              <w:bidi w:val="0"/>
              <w:rPr>
                <w:rFonts w:hint="default"/>
                <w:color w:val="auto"/>
                <w:lang w:val="en-US" w:eastAsia="en-US"/>
              </w:rPr>
            </w:pPr>
            <w:r>
              <w:rPr>
                <w:rFonts w:hint="eastAsia"/>
                <w:color w:val="auto"/>
                <w:lang w:val="en-US" w:eastAsia="zh-CN"/>
              </w:rPr>
              <w:t>1.</w:t>
            </w:r>
            <w:r>
              <w:rPr>
                <w:rFonts w:hint="default"/>
                <w:color w:val="auto"/>
                <w:lang w:val="en-US" w:eastAsia="en-US"/>
              </w:rPr>
              <w:t>4-二氯苯</w:t>
            </w:r>
          </w:p>
        </w:tc>
        <w:tc>
          <w:tcPr>
            <w:tcW w:w="2442" w:type="dxa"/>
            <w:tcBorders>
              <w:tl2br w:val="nil"/>
              <w:tr2bl w:val="nil"/>
            </w:tcBorders>
            <w:noWrap w:val="0"/>
            <w:vAlign w:val="center"/>
          </w:tcPr>
          <w:p w14:paraId="6F3FD4BA">
            <w:pPr>
              <w:pStyle w:val="30"/>
              <w:bidi w:val="0"/>
              <w:rPr>
                <w:rFonts w:hint="default"/>
                <w:color w:val="auto"/>
                <w:lang w:val="en-US" w:eastAsia="en-US"/>
              </w:rPr>
            </w:pPr>
            <w:r>
              <w:rPr>
                <w:rFonts w:hint="default"/>
                <w:color w:val="auto"/>
                <w:lang w:val="en-US" w:eastAsia="en-US"/>
              </w:rPr>
              <w:t>106-46-7</w:t>
            </w:r>
          </w:p>
        </w:tc>
        <w:tc>
          <w:tcPr>
            <w:tcW w:w="3239" w:type="dxa"/>
            <w:tcBorders>
              <w:tl2br w:val="nil"/>
              <w:tr2bl w:val="nil"/>
            </w:tcBorders>
            <w:noWrap w:val="0"/>
            <w:vAlign w:val="center"/>
          </w:tcPr>
          <w:p w14:paraId="6BC8C277">
            <w:pPr>
              <w:pStyle w:val="30"/>
              <w:bidi w:val="0"/>
              <w:rPr>
                <w:rFonts w:hint="default"/>
                <w:color w:val="auto"/>
                <w:lang w:val="en-US" w:eastAsia="zh-CN"/>
              </w:rPr>
            </w:pPr>
            <w:r>
              <w:rPr>
                <w:rFonts w:hint="default"/>
                <w:color w:val="auto"/>
                <w:lang w:val="en-US" w:eastAsia="zh-CN"/>
              </w:rPr>
              <w:t>20</w:t>
            </w:r>
          </w:p>
        </w:tc>
      </w:tr>
      <w:tr w14:paraId="20941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F96F76D">
            <w:pPr>
              <w:pStyle w:val="30"/>
              <w:bidi w:val="0"/>
              <w:rPr>
                <w:rFonts w:hint="default"/>
                <w:color w:val="auto"/>
                <w:lang w:val="en-US" w:eastAsia="en-US"/>
              </w:rPr>
            </w:pPr>
            <w:r>
              <w:rPr>
                <w:rFonts w:hint="default"/>
                <w:color w:val="auto"/>
                <w:lang w:val="en-US" w:eastAsia="en-US"/>
              </w:rPr>
              <w:t>30</w:t>
            </w:r>
          </w:p>
        </w:tc>
        <w:tc>
          <w:tcPr>
            <w:tcW w:w="2424" w:type="dxa"/>
            <w:tcBorders>
              <w:tl2br w:val="nil"/>
              <w:tr2bl w:val="nil"/>
            </w:tcBorders>
            <w:noWrap w:val="0"/>
            <w:vAlign w:val="center"/>
          </w:tcPr>
          <w:p w14:paraId="6D003EA6">
            <w:pPr>
              <w:pStyle w:val="30"/>
              <w:bidi w:val="0"/>
              <w:rPr>
                <w:rFonts w:hint="default"/>
                <w:color w:val="auto"/>
                <w:lang w:val="en-US" w:eastAsia="en-US"/>
              </w:rPr>
            </w:pPr>
            <w:r>
              <w:rPr>
                <w:rFonts w:hint="default"/>
                <w:color w:val="auto"/>
                <w:lang w:val="en-US" w:eastAsia="en-US"/>
              </w:rPr>
              <w:t>乙苯</w:t>
            </w:r>
          </w:p>
        </w:tc>
        <w:tc>
          <w:tcPr>
            <w:tcW w:w="2442" w:type="dxa"/>
            <w:tcBorders>
              <w:tl2br w:val="nil"/>
              <w:tr2bl w:val="nil"/>
            </w:tcBorders>
            <w:noWrap w:val="0"/>
            <w:vAlign w:val="center"/>
          </w:tcPr>
          <w:p w14:paraId="116EE6C0">
            <w:pPr>
              <w:pStyle w:val="30"/>
              <w:bidi w:val="0"/>
              <w:rPr>
                <w:rFonts w:hint="default"/>
                <w:color w:val="auto"/>
                <w:lang w:val="en-US" w:eastAsia="en-US"/>
              </w:rPr>
            </w:pPr>
            <w:r>
              <w:rPr>
                <w:rFonts w:hint="default"/>
                <w:color w:val="auto"/>
                <w:lang w:val="en-US" w:eastAsia="en-US"/>
              </w:rPr>
              <w:t>100-41-4</w:t>
            </w:r>
          </w:p>
        </w:tc>
        <w:tc>
          <w:tcPr>
            <w:tcW w:w="3239" w:type="dxa"/>
            <w:tcBorders>
              <w:tl2br w:val="nil"/>
              <w:tr2bl w:val="nil"/>
            </w:tcBorders>
            <w:noWrap w:val="0"/>
            <w:vAlign w:val="center"/>
          </w:tcPr>
          <w:p w14:paraId="0A4E11BB">
            <w:pPr>
              <w:pStyle w:val="30"/>
              <w:bidi w:val="0"/>
              <w:rPr>
                <w:rFonts w:hint="default"/>
                <w:color w:val="auto"/>
                <w:lang w:val="en-US" w:eastAsia="zh-CN"/>
              </w:rPr>
            </w:pPr>
            <w:r>
              <w:rPr>
                <w:rFonts w:hint="default"/>
                <w:color w:val="auto"/>
                <w:lang w:val="en-US" w:eastAsia="zh-CN"/>
              </w:rPr>
              <w:t>28</w:t>
            </w:r>
          </w:p>
        </w:tc>
      </w:tr>
      <w:tr w14:paraId="4E512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7ED8054">
            <w:pPr>
              <w:pStyle w:val="30"/>
              <w:bidi w:val="0"/>
              <w:rPr>
                <w:rFonts w:hint="default"/>
                <w:color w:val="auto"/>
                <w:lang w:val="en-US" w:eastAsia="en-US"/>
              </w:rPr>
            </w:pPr>
            <w:r>
              <w:rPr>
                <w:rFonts w:hint="default"/>
                <w:color w:val="auto"/>
                <w:lang w:val="en-US" w:eastAsia="en-US"/>
              </w:rPr>
              <w:t>31</w:t>
            </w:r>
          </w:p>
        </w:tc>
        <w:tc>
          <w:tcPr>
            <w:tcW w:w="2424" w:type="dxa"/>
            <w:tcBorders>
              <w:tl2br w:val="nil"/>
              <w:tr2bl w:val="nil"/>
            </w:tcBorders>
            <w:noWrap w:val="0"/>
            <w:vAlign w:val="center"/>
          </w:tcPr>
          <w:p w14:paraId="22B06A1C">
            <w:pPr>
              <w:pStyle w:val="30"/>
              <w:bidi w:val="0"/>
              <w:rPr>
                <w:rFonts w:hint="default"/>
                <w:color w:val="auto"/>
                <w:lang w:val="en-US" w:eastAsia="en-US"/>
              </w:rPr>
            </w:pPr>
            <w:r>
              <w:rPr>
                <w:rFonts w:hint="default"/>
                <w:color w:val="auto"/>
                <w:lang w:val="en-US" w:eastAsia="en-US"/>
              </w:rPr>
              <w:t>苯乙烯</w:t>
            </w:r>
          </w:p>
        </w:tc>
        <w:tc>
          <w:tcPr>
            <w:tcW w:w="2442" w:type="dxa"/>
            <w:tcBorders>
              <w:tl2br w:val="nil"/>
              <w:tr2bl w:val="nil"/>
            </w:tcBorders>
            <w:noWrap w:val="0"/>
            <w:vAlign w:val="center"/>
          </w:tcPr>
          <w:p w14:paraId="11F2EEC5">
            <w:pPr>
              <w:pStyle w:val="30"/>
              <w:bidi w:val="0"/>
              <w:rPr>
                <w:rFonts w:hint="default"/>
                <w:color w:val="auto"/>
                <w:lang w:val="en-US" w:eastAsia="en-US"/>
              </w:rPr>
            </w:pPr>
            <w:r>
              <w:rPr>
                <w:rFonts w:hint="default"/>
                <w:color w:val="auto"/>
                <w:lang w:val="en-US" w:eastAsia="en-US"/>
              </w:rPr>
              <w:t>100-42-5</w:t>
            </w:r>
          </w:p>
        </w:tc>
        <w:tc>
          <w:tcPr>
            <w:tcW w:w="3239" w:type="dxa"/>
            <w:tcBorders>
              <w:tl2br w:val="nil"/>
              <w:tr2bl w:val="nil"/>
            </w:tcBorders>
            <w:noWrap w:val="0"/>
            <w:vAlign w:val="center"/>
          </w:tcPr>
          <w:p w14:paraId="0D715D3A">
            <w:pPr>
              <w:pStyle w:val="30"/>
              <w:bidi w:val="0"/>
              <w:rPr>
                <w:rFonts w:hint="default"/>
                <w:color w:val="auto"/>
                <w:lang w:val="en-US" w:eastAsia="zh-CN"/>
              </w:rPr>
            </w:pPr>
            <w:r>
              <w:rPr>
                <w:rFonts w:hint="default"/>
                <w:color w:val="auto"/>
                <w:lang w:val="en-US" w:eastAsia="zh-CN"/>
              </w:rPr>
              <w:t>1290</w:t>
            </w:r>
          </w:p>
        </w:tc>
      </w:tr>
      <w:tr w14:paraId="30306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41DA5E5">
            <w:pPr>
              <w:pStyle w:val="30"/>
              <w:bidi w:val="0"/>
              <w:rPr>
                <w:rFonts w:hint="default"/>
                <w:color w:val="auto"/>
                <w:lang w:val="en-US" w:eastAsia="en-US"/>
              </w:rPr>
            </w:pPr>
            <w:r>
              <w:rPr>
                <w:rFonts w:hint="default"/>
                <w:color w:val="auto"/>
                <w:lang w:val="en-US" w:eastAsia="en-US"/>
              </w:rPr>
              <w:t>32</w:t>
            </w:r>
          </w:p>
        </w:tc>
        <w:tc>
          <w:tcPr>
            <w:tcW w:w="2424" w:type="dxa"/>
            <w:tcBorders>
              <w:tl2br w:val="nil"/>
              <w:tr2bl w:val="nil"/>
            </w:tcBorders>
            <w:noWrap w:val="0"/>
            <w:vAlign w:val="center"/>
          </w:tcPr>
          <w:p w14:paraId="18732936">
            <w:pPr>
              <w:pStyle w:val="30"/>
              <w:bidi w:val="0"/>
              <w:rPr>
                <w:rFonts w:hint="default"/>
                <w:color w:val="auto"/>
                <w:lang w:val="en-US" w:eastAsia="en-US"/>
              </w:rPr>
            </w:pPr>
            <w:r>
              <w:rPr>
                <w:rFonts w:hint="default"/>
                <w:color w:val="auto"/>
                <w:lang w:val="en-US" w:eastAsia="en-US"/>
              </w:rPr>
              <w:t>甲苯</w:t>
            </w:r>
          </w:p>
        </w:tc>
        <w:tc>
          <w:tcPr>
            <w:tcW w:w="2442" w:type="dxa"/>
            <w:tcBorders>
              <w:tl2br w:val="nil"/>
              <w:tr2bl w:val="nil"/>
            </w:tcBorders>
            <w:noWrap w:val="0"/>
            <w:vAlign w:val="center"/>
          </w:tcPr>
          <w:p w14:paraId="2C6DA4E1">
            <w:pPr>
              <w:pStyle w:val="30"/>
              <w:bidi w:val="0"/>
              <w:rPr>
                <w:rFonts w:hint="default"/>
                <w:color w:val="auto"/>
                <w:lang w:val="en-US" w:eastAsia="en-US"/>
              </w:rPr>
            </w:pPr>
            <w:r>
              <w:rPr>
                <w:rFonts w:hint="default"/>
                <w:color w:val="auto"/>
                <w:lang w:val="en-US" w:eastAsia="en-US"/>
              </w:rPr>
              <w:t>108-88-3</w:t>
            </w:r>
          </w:p>
        </w:tc>
        <w:tc>
          <w:tcPr>
            <w:tcW w:w="3239" w:type="dxa"/>
            <w:tcBorders>
              <w:tl2br w:val="nil"/>
              <w:tr2bl w:val="nil"/>
            </w:tcBorders>
            <w:noWrap w:val="0"/>
            <w:vAlign w:val="center"/>
          </w:tcPr>
          <w:p w14:paraId="6B84B2E2">
            <w:pPr>
              <w:pStyle w:val="30"/>
              <w:bidi w:val="0"/>
              <w:rPr>
                <w:rFonts w:hint="default"/>
                <w:color w:val="auto"/>
                <w:lang w:val="en-US" w:eastAsia="zh-CN"/>
              </w:rPr>
            </w:pPr>
            <w:r>
              <w:rPr>
                <w:rFonts w:hint="default"/>
                <w:color w:val="auto"/>
                <w:lang w:val="en-US" w:eastAsia="zh-CN"/>
              </w:rPr>
              <w:t>1200</w:t>
            </w:r>
          </w:p>
        </w:tc>
      </w:tr>
      <w:tr w14:paraId="79FD4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2751CE42">
            <w:pPr>
              <w:pStyle w:val="30"/>
              <w:bidi w:val="0"/>
              <w:rPr>
                <w:rFonts w:hint="default"/>
                <w:color w:val="auto"/>
                <w:lang w:val="en-US" w:eastAsia="en-US"/>
              </w:rPr>
            </w:pPr>
            <w:r>
              <w:rPr>
                <w:rFonts w:hint="default"/>
                <w:color w:val="auto"/>
                <w:lang w:val="en-US" w:eastAsia="en-US"/>
              </w:rPr>
              <w:t>33</w:t>
            </w:r>
          </w:p>
        </w:tc>
        <w:tc>
          <w:tcPr>
            <w:tcW w:w="2424" w:type="dxa"/>
            <w:tcBorders>
              <w:tl2br w:val="nil"/>
              <w:tr2bl w:val="nil"/>
            </w:tcBorders>
            <w:noWrap w:val="0"/>
            <w:vAlign w:val="center"/>
          </w:tcPr>
          <w:p w14:paraId="3F51DC68">
            <w:pPr>
              <w:pStyle w:val="30"/>
              <w:bidi w:val="0"/>
              <w:rPr>
                <w:rFonts w:hint="default"/>
                <w:color w:val="auto"/>
                <w:lang w:val="en-US" w:eastAsia="en-US"/>
              </w:rPr>
            </w:pPr>
            <w:r>
              <w:rPr>
                <w:rFonts w:hint="default"/>
                <w:color w:val="auto"/>
                <w:lang w:val="en-US" w:eastAsia="en-US"/>
              </w:rPr>
              <w:t>间二甲苯+对二甲苯</w:t>
            </w:r>
          </w:p>
        </w:tc>
        <w:tc>
          <w:tcPr>
            <w:tcW w:w="2442" w:type="dxa"/>
            <w:tcBorders>
              <w:tl2br w:val="nil"/>
              <w:tr2bl w:val="nil"/>
            </w:tcBorders>
            <w:noWrap w:val="0"/>
            <w:vAlign w:val="center"/>
          </w:tcPr>
          <w:p w14:paraId="1B6BA35D">
            <w:pPr>
              <w:pStyle w:val="30"/>
              <w:bidi w:val="0"/>
              <w:rPr>
                <w:rFonts w:hint="default"/>
                <w:color w:val="auto"/>
                <w:lang w:val="en-US" w:eastAsia="zh-CN"/>
              </w:rPr>
            </w:pPr>
            <w:r>
              <w:rPr>
                <w:rFonts w:hint="default"/>
                <w:color w:val="auto"/>
                <w:lang w:val="en-US" w:eastAsia="en-US"/>
              </w:rPr>
              <w:t>108-38-3</w:t>
            </w:r>
            <w:r>
              <w:rPr>
                <w:rFonts w:hint="eastAsia"/>
                <w:color w:val="auto"/>
                <w:lang w:val="en-US" w:eastAsia="zh-CN"/>
              </w:rPr>
              <w:t>,</w:t>
            </w:r>
          </w:p>
          <w:p w14:paraId="3E17EAF2">
            <w:pPr>
              <w:pStyle w:val="30"/>
              <w:bidi w:val="0"/>
              <w:rPr>
                <w:rFonts w:hint="default"/>
                <w:color w:val="auto"/>
                <w:lang w:val="en-US" w:eastAsia="en-US"/>
              </w:rPr>
            </w:pPr>
            <w:r>
              <w:rPr>
                <w:rFonts w:hint="default"/>
                <w:color w:val="auto"/>
                <w:lang w:val="en-US" w:eastAsia="en-US"/>
              </w:rPr>
              <w:t>106-42-3</w:t>
            </w:r>
          </w:p>
        </w:tc>
        <w:tc>
          <w:tcPr>
            <w:tcW w:w="3239" w:type="dxa"/>
            <w:tcBorders>
              <w:tl2br w:val="nil"/>
              <w:tr2bl w:val="nil"/>
            </w:tcBorders>
            <w:noWrap w:val="0"/>
            <w:vAlign w:val="center"/>
          </w:tcPr>
          <w:p w14:paraId="146268D7">
            <w:pPr>
              <w:pStyle w:val="30"/>
              <w:bidi w:val="0"/>
              <w:rPr>
                <w:rFonts w:hint="default"/>
                <w:color w:val="auto"/>
                <w:lang w:val="en-US" w:eastAsia="zh-CN"/>
              </w:rPr>
            </w:pPr>
            <w:r>
              <w:rPr>
                <w:rFonts w:hint="default"/>
                <w:color w:val="auto"/>
                <w:lang w:val="en-US" w:eastAsia="zh-CN"/>
              </w:rPr>
              <w:t>570</w:t>
            </w:r>
          </w:p>
        </w:tc>
      </w:tr>
      <w:tr w14:paraId="37B1A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398692AE">
            <w:pPr>
              <w:pStyle w:val="30"/>
              <w:bidi w:val="0"/>
              <w:rPr>
                <w:rFonts w:hint="default"/>
                <w:color w:val="auto"/>
                <w:lang w:val="en-US" w:eastAsia="en-US"/>
              </w:rPr>
            </w:pPr>
            <w:r>
              <w:rPr>
                <w:rFonts w:hint="default"/>
                <w:color w:val="auto"/>
                <w:lang w:val="en-US" w:eastAsia="en-US"/>
              </w:rPr>
              <w:t>34</w:t>
            </w:r>
          </w:p>
        </w:tc>
        <w:tc>
          <w:tcPr>
            <w:tcW w:w="2424" w:type="dxa"/>
            <w:tcBorders>
              <w:tl2br w:val="nil"/>
              <w:tr2bl w:val="nil"/>
            </w:tcBorders>
            <w:noWrap w:val="0"/>
            <w:vAlign w:val="center"/>
          </w:tcPr>
          <w:p w14:paraId="16E7EEFA">
            <w:pPr>
              <w:pStyle w:val="30"/>
              <w:bidi w:val="0"/>
              <w:rPr>
                <w:rFonts w:hint="default"/>
                <w:color w:val="auto"/>
                <w:lang w:val="en-US" w:eastAsia="en-US"/>
              </w:rPr>
            </w:pPr>
            <w:r>
              <w:rPr>
                <w:rFonts w:hint="default"/>
                <w:color w:val="auto"/>
                <w:lang w:val="en-US" w:eastAsia="en-US"/>
              </w:rPr>
              <w:t>邻二甲苯</w:t>
            </w:r>
          </w:p>
        </w:tc>
        <w:tc>
          <w:tcPr>
            <w:tcW w:w="2442" w:type="dxa"/>
            <w:tcBorders>
              <w:tl2br w:val="nil"/>
              <w:tr2bl w:val="nil"/>
            </w:tcBorders>
            <w:noWrap w:val="0"/>
            <w:vAlign w:val="center"/>
          </w:tcPr>
          <w:p w14:paraId="6046B910">
            <w:pPr>
              <w:pStyle w:val="30"/>
              <w:bidi w:val="0"/>
              <w:rPr>
                <w:rFonts w:hint="default"/>
                <w:color w:val="auto"/>
                <w:lang w:val="en-US" w:eastAsia="en-US"/>
              </w:rPr>
            </w:pPr>
            <w:r>
              <w:rPr>
                <w:rFonts w:hint="default"/>
                <w:color w:val="auto"/>
                <w:lang w:val="en-US" w:eastAsia="en-US"/>
              </w:rPr>
              <w:t>95-47-6</w:t>
            </w:r>
          </w:p>
        </w:tc>
        <w:tc>
          <w:tcPr>
            <w:tcW w:w="3239" w:type="dxa"/>
            <w:tcBorders>
              <w:tl2br w:val="nil"/>
              <w:tr2bl w:val="nil"/>
            </w:tcBorders>
            <w:noWrap w:val="0"/>
            <w:vAlign w:val="center"/>
          </w:tcPr>
          <w:p w14:paraId="14BFB7D1">
            <w:pPr>
              <w:pStyle w:val="30"/>
              <w:bidi w:val="0"/>
              <w:rPr>
                <w:rFonts w:hint="default"/>
                <w:color w:val="auto"/>
                <w:lang w:val="en-US" w:eastAsia="zh-CN"/>
              </w:rPr>
            </w:pPr>
            <w:r>
              <w:rPr>
                <w:rFonts w:hint="default"/>
                <w:color w:val="auto"/>
                <w:lang w:val="en-US" w:eastAsia="zh-CN"/>
              </w:rPr>
              <w:t>640</w:t>
            </w:r>
          </w:p>
        </w:tc>
      </w:tr>
      <w:tr w14:paraId="26749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855" w:type="dxa"/>
            <w:gridSpan w:val="4"/>
            <w:tcBorders>
              <w:tl2br w:val="nil"/>
              <w:tr2bl w:val="nil"/>
            </w:tcBorders>
            <w:noWrap w:val="0"/>
            <w:vAlign w:val="center"/>
          </w:tcPr>
          <w:p w14:paraId="3C408918">
            <w:pPr>
              <w:pStyle w:val="30"/>
              <w:bidi w:val="0"/>
              <w:rPr>
                <w:rFonts w:hint="default"/>
                <w:color w:val="auto"/>
                <w:lang w:val="en-US" w:eastAsia="en-US"/>
              </w:rPr>
            </w:pPr>
            <w:r>
              <w:rPr>
                <w:rFonts w:hint="default"/>
                <w:color w:val="auto"/>
                <w:lang w:val="en-US" w:eastAsia="en-US"/>
              </w:rPr>
              <w:t>半挥发性有机物</w:t>
            </w:r>
          </w:p>
        </w:tc>
      </w:tr>
      <w:tr w14:paraId="53EBB1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EC5B1BF">
            <w:pPr>
              <w:pStyle w:val="30"/>
              <w:bidi w:val="0"/>
              <w:rPr>
                <w:rFonts w:hint="default"/>
                <w:color w:val="auto"/>
                <w:lang w:val="en-US" w:eastAsia="en-US"/>
              </w:rPr>
            </w:pPr>
            <w:r>
              <w:rPr>
                <w:rFonts w:hint="default"/>
                <w:color w:val="auto"/>
                <w:lang w:val="en-US" w:eastAsia="en-US"/>
              </w:rPr>
              <w:t>35</w:t>
            </w:r>
          </w:p>
        </w:tc>
        <w:tc>
          <w:tcPr>
            <w:tcW w:w="2424" w:type="dxa"/>
            <w:tcBorders>
              <w:tl2br w:val="nil"/>
              <w:tr2bl w:val="nil"/>
            </w:tcBorders>
            <w:noWrap w:val="0"/>
            <w:vAlign w:val="center"/>
          </w:tcPr>
          <w:p w14:paraId="3F74E007">
            <w:pPr>
              <w:pStyle w:val="30"/>
              <w:bidi w:val="0"/>
              <w:rPr>
                <w:rFonts w:hint="default"/>
                <w:color w:val="auto"/>
                <w:lang w:val="en-US" w:eastAsia="en-US"/>
              </w:rPr>
            </w:pPr>
            <w:r>
              <w:rPr>
                <w:rFonts w:hint="default"/>
                <w:color w:val="auto"/>
                <w:lang w:val="en-US" w:eastAsia="en-US"/>
              </w:rPr>
              <w:t>硝基苯</w:t>
            </w:r>
          </w:p>
        </w:tc>
        <w:tc>
          <w:tcPr>
            <w:tcW w:w="2442" w:type="dxa"/>
            <w:tcBorders>
              <w:tl2br w:val="nil"/>
              <w:tr2bl w:val="nil"/>
            </w:tcBorders>
            <w:noWrap w:val="0"/>
            <w:vAlign w:val="center"/>
          </w:tcPr>
          <w:p w14:paraId="72537C30">
            <w:pPr>
              <w:pStyle w:val="30"/>
              <w:bidi w:val="0"/>
              <w:rPr>
                <w:rFonts w:hint="default"/>
                <w:color w:val="auto"/>
                <w:lang w:val="en-US" w:eastAsia="en-US"/>
              </w:rPr>
            </w:pPr>
            <w:r>
              <w:rPr>
                <w:rFonts w:hint="default"/>
                <w:color w:val="auto"/>
                <w:lang w:val="en-US" w:eastAsia="en-US"/>
              </w:rPr>
              <w:t>98-95-3</w:t>
            </w:r>
          </w:p>
        </w:tc>
        <w:tc>
          <w:tcPr>
            <w:tcW w:w="3239" w:type="dxa"/>
            <w:tcBorders>
              <w:tl2br w:val="nil"/>
              <w:tr2bl w:val="nil"/>
            </w:tcBorders>
            <w:noWrap w:val="0"/>
            <w:vAlign w:val="center"/>
          </w:tcPr>
          <w:p w14:paraId="20AAE8E3">
            <w:pPr>
              <w:pStyle w:val="30"/>
              <w:bidi w:val="0"/>
              <w:rPr>
                <w:rFonts w:hint="default"/>
                <w:color w:val="auto"/>
                <w:lang w:val="en-US" w:eastAsia="zh-CN"/>
              </w:rPr>
            </w:pPr>
            <w:r>
              <w:rPr>
                <w:rFonts w:hint="default"/>
                <w:color w:val="auto"/>
                <w:lang w:val="en-US" w:eastAsia="zh-CN"/>
              </w:rPr>
              <w:t>76</w:t>
            </w:r>
          </w:p>
        </w:tc>
      </w:tr>
      <w:tr w14:paraId="1AAAD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07616583">
            <w:pPr>
              <w:pStyle w:val="30"/>
              <w:bidi w:val="0"/>
              <w:rPr>
                <w:rFonts w:hint="default"/>
                <w:color w:val="auto"/>
                <w:lang w:val="en-US" w:eastAsia="en-US"/>
              </w:rPr>
            </w:pPr>
            <w:r>
              <w:rPr>
                <w:rFonts w:hint="default"/>
                <w:color w:val="auto"/>
                <w:lang w:val="en-US" w:eastAsia="en-US"/>
              </w:rPr>
              <w:t>36</w:t>
            </w:r>
          </w:p>
        </w:tc>
        <w:tc>
          <w:tcPr>
            <w:tcW w:w="2424" w:type="dxa"/>
            <w:tcBorders>
              <w:tl2br w:val="nil"/>
              <w:tr2bl w:val="nil"/>
            </w:tcBorders>
            <w:noWrap w:val="0"/>
            <w:vAlign w:val="center"/>
          </w:tcPr>
          <w:p w14:paraId="57755987">
            <w:pPr>
              <w:pStyle w:val="30"/>
              <w:bidi w:val="0"/>
              <w:rPr>
                <w:rFonts w:hint="default"/>
                <w:color w:val="auto"/>
                <w:lang w:val="en-US" w:eastAsia="en-US"/>
              </w:rPr>
            </w:pPr>
            <w:r>
              <w:rPr>
                <w:rFonts w:hint="default"/>
                <w:color w:val="auto"/>
                <w:lang w:val="en-US" w:eastAsia="en-US"/>
              </w:rPr>
              <w:t>苯胺</w:t>
            </w:r>
          </w:p>
        </w:tc>
        <w:tc>
          <w:tcPr>
            <w:tcW w:w="2442" w:type="dxa"/>
            <w:tcBorders>
              <w:tl2br w:val="nil"/>
              <w:tr2bl w:val="nil"/>
            </w:tcBorders>
            <w:noWrap w:val="0"/>
            <w:vAlign w:val="center"/>
          </w:tcPr>
          <w:p w14:paraId="59B3A4F0">
            <w:pPr>
              <w:pStyle w:val="30"/>
              <w:bidi w:val="0"/>
              <w:rPr>
                <w:rFonts w:hint="default"/>
                <w:color w:val="auto"/>
                <w:lang w:val="en-US" w:eastAsia="en-US"/>
              </w:rPr>
            </w:pPr>
            <w:r>
              <w:rPr>
                <w:rFonts w:hint="default"/>
                <w:color w:val="auto"/>
                <w:lang w:val="en-US" w:eastAsia="en-US"/>
              </w:rPr>
              <w:t>62-53-3</w:t>
            </w:r>
          </w:p>
        </w:tc>
        <w:tc>
          <w:tcPr>
            <w:tcW w:w="3239" w:type="dxa"/>
            <w:tcBorders>
              <w:tl2br w:val="nil"/>
              <w:tr2bl w:val="nil"/>
            </w:tcBorders>
            <w:noWrap w:val="0"/>
            <w:vAlign w:val="center"/>
          </w:tcPr>
          <w:p w14:paraId="71919ADE">
            <w:pPr>
              <w:pStyle w:val="30"/>
              <w:bidi w:val="0"/>
              <w:rPr>
                <w:rFonts w:hint="default"/>
                <w:color w:val="auto"/>
                <w:lang w:val="en-US" w:eastAsia="zh-CN"/>
              </w:rPr>
            </w:pPr>
            <w:r>
              <w:rPr>
                <w:rFonts w:hint="default"/>
                <w:color w:val="auto"/>
                <w:lang w:val="en-US" w:eastAsia="zh-CN"/>
              </w:rPr>
              <w:t>260</w:t>
            </w:r>
          </w:p>
        </w:tc>
      </w:tr>
      <w:tr w14:paraId="291E6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3D41DE31">
            <w:pPr>
              <w:pStyle w:val="30"/>
              <w:bidi w:val="0"/>
              <w:rPr>
                <w:rFonts w:hint="default"/>
                <w:color w:val="auto"/>
                <w:lang w:val="en-US" w:eastAsia="en-US"/>
              </w:rPr>
            </w:pPr>
            <w:r>
              <w:rPr>
                <w:rFonts w:hint="default"/>
                <w:color w:val="auto"/>
                <w:lang w:val="en-US" w:eastAsia="en-US"/>
              </w:rPr>
              <w:t>37</w:t>
            </w:r>
          </w:p>
        </w:tc>
        <w:tc>
          <w:tcPr>
            <w:tcW w:w="2424" w:type="dxa"/>
            <w:tcBorders>
              <w:tl2br w:val="nil"/>
              <w:tr2bl w:val="nil"/>
            </w:tcBorders>
            <w:noWrap w:val="0"/>
            <w:vAlign w:val="center"/>
          </w:tcPr>
          <w:p w14:paraId="5D14CECA">
            <w:pPr>
              <w:pStyle w:val="30"/>
              <w:bidi w:val="0"/>
              <w:rPr>
                <w:rFonts w:hint="default"/>
                <w:color w:val="auto"/>
                <w:lang w:val="en-US" w:eastAsia="en-US"/>
              </w:rPr>
            </w:pPr>
            <w:r>
              <w:rPr>
                <w:rFonts w:hint="default"/>
                <w:color w:val="auto"/>
                <w:lang w:val="en-US" w:eastAsia="en-US"/>
              </w:rPr>
              <w:t>2-氯酚</w:t>
            </w:r>
          </w:p>
        </w:tc>
        <w:tc>
          <w:tcPr>
            <w:tcW w:w="2442" w:type="dxa"/>
            <w:tcBorders>
              <w:tl2br w:val="nil"/>
              <w:tr2bl w:val="nil"/>
            </w:tcBorders>
            <w:noWrap w:val="0"/>
            <w:vAlign w:val="center"/>
          </w:tcPr>
          <w:p w14:paraId="2FC4C285">
            <w:pPr>
              <w:pStyle w:val="30"/>
              <w:bidi w:val="0"/>
              <w:rPr>
                <w:rFonts w:hint="default"/>
                <w:color w:val="auto"/>
                <w:lang w:val="en-US" w:eastAsia="en-US"/>
              </w:rPr>
            </w:pPr>
            <w:r>
              <w:rPr>
                <w:rFonts w:hint="default"/>
                <w:color w:val="auto"/>
                <w:lang w:val="en-US" w:eastAsia="en-US"/>
              </w:rPr>
              <w:t>95-57-8</w:t>
            </w:r>
          </w:p>
        </w:tc>
        <w:tc>
          <w:tcPr>
            <w:tcW w:w="3239" w:type="dxa"/>
            <w:tcBorders>
              <w:tl2br w:val="nil"/>
              <w:tr2bl w:val="nil"/>
            </w:tcBorders>
            <w:noWrap w:val="0"/>
            <w:vAlign w:val="center"/>
          </w:tcPr>
          <w:p w14:paraId="7DC1B219">
            <w:pPr>
              <w:pStyle w:val="30"/>
              <w:bidi w:val="0"/>
              <w:rPr>
                <w:rFonts w:hint="default"/>
                <w:color w:val="auto"/>
                <w:lang w:val="en-US" w:eastAsia="zh-CN"/>
              </w:rPr>
            </w:pPr>
            <w:r>
              <w:rPr>
                <w:rFonts w:hint="default"/>
                <w:color w:val="auto"/>
                <w:lang w:val="en-US" w:eastAsia="zh-CN"/>
              </w:rPr>
              <w:t>2256</w:t>
            </w:r>
          </w:p>
        </w:tc>
      </w:tr>
      <w:tr w14:paraId="0DABB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24B23B56">
            <w:pPr>
              <w:pStyle w:val="30"/>
              <w:bidi w:val="0"/>
              <w:rPr>
                <w:rFonts w:hint="default"/>
                <w:color w:val="auto"/>
                <w:lang w:val="en-US" w:eastAsia="en-US"/>
              </w:rPr>
            </w:pPr>
            <w:r>
              <w:rPr>
                <w:rFonts w:hint="default"/>
                <w:color w:val="auto"/>
                <w:lang w:val="en-US" w:eastAsia="en-US"/>
              </w:rPr>
              <w:t>38</w:t>
            </w:r>
          </w:p>
        </w:tc>
        <w:tc>
          <w:tcPr>
            <w:tcW w:w="2424" w:type="dxa"/>
            <w:tcBorders>
              <w:tl2br w:val="nil"/>
              <w:tr2bl w:val="nil"/>
            </w:tcBorders>
            <w:noWrap w:val="0"/>
            <w:vAlign w:val="center"/>
          </w:tcPr>
          <w:p w14:paraId="5E8C5B9D">
            <w:pPr>
              <w:pStyle w:val="30"/>
              <w:bidi w:val="0"/>
              <w:rPr>
                <w:rFonts w:hint="default"/>
                <w:color w:val="auto"/>
                <w:lang w:val="en-US" w:eastAsia="en-US"/>
              </w:rPr>
            </w:pPr>
            <w:r>
              <w:rPr>
                <w:rFonts w:hint="default"/>
                <w:color w:val="auto"/>
                <w:lang w:val="en-US" w:eastAsia="en-US"/>
              </w:rPr>
              <w:t>苯并[a]蒽</w:t>
            </w:r>
          </w:p>
        </w:tc>
        <w:tc>
          <w:tcPr>
            <w:tcW w:w="2442" w:type="dxa"/>
            <w:tcBorders>
              <w:tl2br w:val="nil"/>
              <w:tr2bl w:val="nil"/>
            </w:tcBorders>
            <w:noWrap w:val="0"/>
            <w:vAlign w:val="center"/>
          </w:tcPr>
          <w:p w14:paraId="0C509374">
            <w:pPr>
              <w:pStyle w:val="30"/>
              <w:bidi w:val="0"/>
              <w:rPr>
                <w:rFonts w:hint="default"/>
                <w:color w:val="auto"/>
                <w:lang w:val="en-US" w:eastAsia="en-US"/>
              </w:rPr>
            </w:pPr>
            <w:r>
              <w:rPr>
                <w:rFonts w:hint="default"/>
                <w:color w:val="auto"/>
                <w:lang w:val="en-US" w:eastAsia="en-US"/>
              </w:rPr>
              <w:t>56-55-3</w:t>
            </w:r>
          </w:p>
        </w:tc>
        <w:tc>
          <w:tcPr>
            <w:tcW w:w="3239" w:type="dxa"/>
            <w:tcBorders>
              <w:tl2br w:val="nil"/>
              <w:tr2bl w:val="nil"/>
            </w:tcBorders>
            <w:noWrap w:val="0"/>
            <w:vAlign w:val="center"/>
          </w:tcPr>
          <w:p w14:paraId="35B09FC9">
            <w:pPr>
              <w:pStyle w:val="30"/>
              <w:bidi w:val="0"/>
              <w:rPr>
                <w:rFonts w:hint="default"/>
                <w:color w:val="auto"/>
                <w:lang w:val="en-US" w:eastAsia="zh-CN"/>
              </w:rPr>
            </w:pPr>
            <w:r>
              <w:rPr>
                <w:rFonts w:hint="default"/>
                <w:color w:val="auto"/>
                <w:lang w:val="en-US" w:eastAsia="zh-CN"/>
              </w:rPr>
              <w:t>15</w:t>
            </w:r>
          </w:p>
        </w:tc>
      </w:tr>
      <w:tr w14:paraId="41A7C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2E467ED">
            <w:pPr>
              <w:pStyle w:val="30"/>
              <w:bidi w:val="0"/>
              <w:rPr>
                <w:rFonts w:hint="default"/>
                <w:color w:val="auto"/>
                <w:lang w:val="en-US" w:eastAsia="en-US"/>
              </w:rPr>
            </w:pPr>
            <w:r>
              <w:rPr>
                <w:rFonts w:hint="default"/>
                <w:color w:val="auto"/>
                <w:lang w:val="en-US" w:eastAsia="en-US"/>
              </w:rPr>
              <w:t>39</w:t>
            </w:r>
          </w:p>
        </w:tc>
        <w:tc>
          <w:tcPr>
            <w:tcW w:w="2424" w:type="dxa"/>
            <w:tcBorders>
              <w:tl2br w:val="nil"/>
              <w:tr2bl w:val="nil"/>
            </w:tcBorders>
            <w:noWrap w:val="0"/>
            <w:vAlign w:val="center"/>
          </w:tcPr>
          <w:p w14:paraId="40BBED49">
            <w:pPr>
              <w:pStyle w:val="30"/>
              <w:bidi w:val="0"/>
              <w:rPr>
                <w:rFonts w:hint="default"/>
                <w:color w:val="auto"/>
                <w:lang w:val="en-US" w:eastAsia="en-US"/>
              </w:rPr>
            </w:pPr>
            <w:r>
              <w:rPr>
                <w:rFonts w:hint="default"/>
                <w:color w:val="auto"/>
                <w:lang w:val="en-US" w:eastAsia="en-US"/>
              </w:rPr>
              <w:t>苯并[a]芘</w:t>
            </w:r>
          </w:p>
        </w:tc>
        <w:tc>
          <w:tcPr>
            <w:tcW w:w="2442" w:type="dxa"/>
            <w:tcBorders>
              <w:tl2br w:val="nil"/>
              <w:tr2bl w:val="nil"/>
            </w:tcBorders>
            <w:noWrap w:val="0"/>
            <w:vAlign w:val="center"/>
          </w:tcPr>
          <w:p w14:paraId="24B74ED6">
            <w:pPr>
              <w:pStyle w:val="30"/>
              <w:bidi w:val="0"/>
              <w:rPr>
                <w:rFonts w:hint="default"/>
                <w:color w:val="auto"/>
                <w:lang w:val="en-US" w:eastAsia="en-US"/>
              </w:rPr>
            </w:pPr>
            <w:r>
              <w:rPr>
                <w:rFonts w:hint="default"/>
                <w:color w:val="auto"/>
                <w:lang w:val="en-US" w:eastAsia="en-US"/>
              </w:rPr>
              <w:t>50-32-8</w:t>
            </w:r>
          </w:p>
        </w:tc>
        <w:tc>
          <w:tcPr>
            <w:tcW w:w="3239" w:type="dxa"/>
            <w:tcBorders>
              <w:tl2br w:val="nil"/>
              <w:tr2bl w:val="nil"/>
            </w:tcBorders>
            <w:noWrap w:val="0"/>
            <w:vAlign w:val="center"/>
          </w:tcPr>
          <w:p w14:paraId="6402ABA2">
            <w:pPr>
              <w:pStyle w:val="30"/>
              <w:bidi w:val="0"/>
              <w:rPr>
                <w:rFonts w:hint="default"/>
                <w:color w:val="auto"/>
                <w:lang w:val="en-US" w:eastAsia="zh-CN"/>
              </w:rPr>
            </w:pPr>
            <w:r>
              <w:rPr>
                <w:rFonts w:hint="default"/>
                <w:color w:val="auto"/>
                <w:lang w:val="en-US" w:eastAsia="zh-CN"/>
              </w:rPr>
              <w:t>1.5</w:t>
            </w:r>
          </w:p>
        </w:tc>
      </w:tr>
      <w:tr w14:paraId="62EF3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2635011C">
            <w:pPr>
              <w:pStyle w:val="30"/>
              <w:bidi w:val="0"/>
              <w:rPr>
                <w:rFonts w:hint="default"/>
                <w:color w:val="auto"/>
                <w:lang w:val="en-US" w:eastAsia="en-US"/>
              </w:rPr>
            </w:pPr>
            <w:r>
              <w:rPr>
                <w:rFonts w:hint="default"/>
                <w:color w:val="auto"/>
                <w:lang w:val="en-US" w:eastAsia="en-US"/>
              </w:rPr>
              <w:t>40</w:t>
            </w:r>
          </w:p>
        </w:tc>
        <w:tc>
          <w:tcPr>
            <w:tcW w:w="2424" w:type="dxa"/>
            <w:tcBorders>
              <w:tl2br w:val="nil"/>
              <w:tr2bl w:val="nil"/>
            </w:tcBorders>
            <w:noWrap w:val="0"/>
            <w:vAlign w:val="center"/>
          </w:tcPr>
          <w:p w14:paraId="0194B4D5">
            <w:pPr>
              <w:pStyle w:val="30"/>
              <w:bidi w:val="0"/>
              <w:rPr>
                <w:rFonts w:hint="default"/>
                <w:color w:val="auto"/>
                <w:lang w:val="en-US" w:eastAsia="en-US"/>
              </w:rPr>
            </w:pPr>
            <w:r>
              <w:rPr>
                <w:rFonts w:hint="default"/>
                <w:color w:val="auto"/>
                <w:lang w:val="en-US" w:eastAsia="en-US"/>
              </w:rPr>
              <w:t>苯并[b]荧蒽</w:t>
            </w:r>
          </w:p>
        </w:tc>
        <w:tc>
          <w:tcPr>
            <w:tcW w:w="2442" w:type="dxa"/>
            <w:tcBorders>
              <w:tl2br w:val="nil"/>
              <w:tr2bl w:val="nil"/>
            </w:tcBorders>
            <w:noWrap w:val="0"/>
            <w:vAlign w:val="center"/>
          </w:tcPr>
          <w:p w14:paraId="6FAF2C99">
            <w:pPr>
              <w:pStyle w:val="30"/>
              <w:bidi w:val="0"/>
              <w:rPr>
                <w:rFonts w:hint="default"/>
                <w:color w:val="auto"/>
                <w:lang w:val="en-US" w:eastAsia="en-US"/>
              </w:rPr>
            </w:pPr>
            <w:r>
              <w:rPr>
                <w:rFonts w:hint="default"/>
                <w:color w:val="auto"/>
                <w:lang w:val="en-US" w:eastAsia="en-US"/>
              </w:rPr>
              <w:t>205-99-2</w:t>
            </w:r>
          </w:p>
        </w:tc>
        <w:tc>
          <w:tcPr>
            <w:tcW w:w="3239" w:type="dxa"/>
            <w:tcBorders>
              <w:tl2br w:val="nil"/>
              <w:tr2bl w:val="nil"/>
            </w:tcBorders>
            <w:noWrap w:val="0"/>
            <w:vAlign w:val="center"/>
          </w:tcPr>
          <w:p w14:paraId="4BC78F9F">
            <w:pPr>
              <w:pStyle w:val="30"/>
              <w:bidi w:val="0"/>
              <w:rPr>
                <w:rFonts w:hint="default"/>
                <w:color w:val="auto"/>
                <w:lang w:val="en-US" w:eastAsia="zh-CN"/>
              </w:rPr>
            </w:pPr>
            <w:r>
              <w:rPr>
                <w:rFonts w:hint="default"/>
                <w:color w:val="auto"/>
                <w:lang w:val="en-US" w:eastAsia="zh-CN"/>
              </w:rPr>
              <w:t>15</w:t>
            </w:r>
          </w:p>
        </w:tc>
      </w:tr>
      <w:tr w14:paraId="0EB83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2941415B">
            <w:pPr>
              <w:pStyle w:val="30"/>
              <w:bidi w:val="0"/>
              <w:rPr>
                <w:rFonts w:hint="default"/>
                <w:color w:val="auto"/>
                <w:lang w:val="en-US" w:eastAsia="en-US"/>
              </w:rPr>
            </w:pPr>
            <w:r>
              <w:rPr>
                <w:rFonts w:hint="default"/>
                <w:color w:val="auto"/>
                <w:lang w:val="en-US" w:eastAsia="en-US"/>
              </w:rPr>
              <w:t>41</w:t>
            </w:r>
          </w:p>
        </w:tc>
        <w:tc>
          <w:tcPr>
            <w:tcW w:w="2424" w:type="dxa"/>
            <w:tcBorders>
              <w:tl2br w:val="nil"/>
              <w:tr2bl w:val="nil"/>
            </w:tcBorders>
            <w:noWrap w:val="0"/>
            <w:vAlign w:val="center"/>
          </w:tcPr>
          <w:p w14:paraId="46709B43">
            <w:pPr>
              <w:pStyle w:val="30"/>
              <w:bidi w:val="0"/>
              <w:rPr>
                <w:rFonts w:hint="default"/>
                <w:color w:val="auto"/>
                <w:lang w:val="en-US" w:eastAsia="en-US"/>
              </w:rPr>
            </w:pPr>
            <w:r>
              <w:rPr>
                <w:rFonts w:hint="default"/>
                <w:color w:val="auto"/>
                <w:lang w:val="en-US" w:eastAsia="en-US"/>
              </w:rPr>
              <w:t>苯并[k]荧蒽</w:t>
            </w:r>
          </w:p>
        </w:tc>
        <w:tc>
          <w:tcPr>
            <w:tcW w:w="2442" w:type="dxa"/>
            <w:tcBorders>
              <w:tl2br w:val="nil"/>
              <w:tr2bl w:val="nil"/>
            </w:tcBorders>
            <w:noWrap w:val="0"/>
            <w:vAlign w:val="center"/>
          </w:tcPr>
          <w:p w14:paraId="06F8B550">
            <w:pPr>
              <w:pStyle w:val="30"/>
              <w:bidi w:val="0"/>
              <w:rPr>
                <w:rFonts w:hint="default"/>
                <w:color w:val="auto"/>
                <w:lang w:val="en-US" w:eastAsia="en-US"/>
              </w:rPr>
            </w:pPr>
            <w:r>
              <w:rPr>
                <w:rFonts w:hint="default"/>
                <w:color w:val="auto"/>
                <w:lang w:val="en-US" w:eastAsia="en-US"/>
              </w:rPr>
              <w:t>207-08-9</w:t>
            </w:r>
          </w:p>
        </w:tc>
        <w:tc>
          <w:tcPr>
            <w:tcW w:w="3239" w:type="dxa"/>
            <w:tcBorders>
              <w:tl2br w:val="nil"/>
              <w:tr2bl w:val="nil"/>
            </w:tcBorders>
            <w:noWrap w:val="0"/>
            <w:vAlign w:val="center"/>
          </w:tcPr>
          <w:p w14:paraId="7F34A468">
            <w:pPr>
              <w:pStyle w:val="30"/>
              <w:bidi w:val="0"/>
              <w:rPr>
                <w:rFonts w:hint="default"/>
                <w:color w:val="auto"/>
                <w:lang w:val="en-US" w:eastAsia="zh-CN"/>
              </w:rPr>
            </w:pPr>
            <w:r>
              <w:rPr>
                <w:rFonts w:hint="default"/>
                <w:color w:val="auto"/>
                <w:lang w:val="en-US" w:eastAsia="zh-CN"/>
              </w:rPr>
              <w:t>151</w:t>
            </w:r>
          </w:p>
        </w:tc>
      </w:tr>
      <w:tr w14:paraId="796D1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1646D097">
            <w:pPr>
              <w:pStyle w:val="30"/>
              <w:bidi w:val="0"/>
              <w:rPr>
                <w:rFonts w:hint="default"/>
                <w:color w:val="auto"/>
                <w:lang w:val="en-US" w:eastAsia="en-US"/>
              </w:rPr>
            </w:pPr>
            <w:r>
              <w:rPr>
                <w:rFonts w:hint="default"/>
                <w:color w:val="auto"/>
                <w:lang w:val="en-US" w:eastAsia="en-US"/>
              </w:rPr>
              <w:t>42</w:t>
            </w:r>
          </w:p>
        </w:tc>
        <w:tc>
          <w:tcPr>
            <w:tcW w:w="2424" w:type="dxa"/>
            <w:tcBorders>
              <w:tl2br w:val="nil"/>
              <w:tr2bl w:val="nil"/>
            </w:tcBorders>
            <w:noWrap w:val="0"/>
            <w:vAlign w:val="center"/>
          </w:tcPr>
          <w:p w14:paraId="6341B38C">
            <w:pPr>
              <w:pStyle w:val="30"/>
              <w:bidi w:val="0"/>
              <w:rPr>
                <w:rFonts w:hint="default"/>
                <w:color w:val="auto"/>
                <w:lang w:val="en-US" w:eastAsia="en-US"/>
              </w:rPr>
            </w:pPr>
            <w:r>
              <w:rPr>
                <w:rFonts w:hint="default"/>
                <w:color w:val="auto"/>
                <w:lang w:val="en-US" w:eastAsia="en-US"/>
              </w:rPr>
              <w:t>䓛</w:t>
            </w:r>
          </w:p>
        </w:tc>
        <w:tc>
          <w:tcPr>
            <w:tcW w:w="2442" w:type="dxa"/>
            <w:tcBorders>
              <w:tl2br w:val="nil"/>
              <w:tr2bl w:val="nil"/>
            </w:tcBorders>
            <w:noWrap w:val="0"/>
            <w:vAlign w:val="center"/>
          </w:tcPr>
          <w:p w14:paraId="3F985215">
            <w:pPr>
              <w:pStyle w:val="30"/>
              <w:bidi w:val="0"/>
              <w:rPr>
                <w:rFonts w:hint="default"/>
                <w:color w:val="auto"/>
                <w:lang w:val="en-US" w:eastAsia="en-US"/>
              </w:rPr>
            </w:pPr>
            <w:r>
              <w:rPr>
                <w:rFonts w:hint="default"/>
                <w:color w:val="auto"/>
                <w:lang w:val="en-US" w:eastAsia="en-US"/>
              </w:rPr>
              <w:t>218-01-9</w:t>
            </w:r>
          </w:p>
        </w:tc>
        <w:tc>
          <w:tcPr>
            <w:tcW w:w="3239" w:type="dxa"/>
            <w:tcBorders>
              <w:tl2br w:val="nil"/>
              <w:tr2bl w:val="nil"/>
            </w:tcBorders>
            <w:noWrap w:val="0"/>
            <w:vAlign w:val="center"/>
          </w:tcPr>
          <w:p w14:paraId="37508292">
            <w:pPr>
              <w:pStyle w:val="30"/>
              <w:bidi w:val="0"/>
              <w:rPr>
                <w:rFonts w:hint="default"/>
                <w:color w:val="auto"/>
                <w:lang w:val="en-US" w:eastAsia="zh-CN"/>
              </w:rPr>
            </w:pPr>
            <w:r>
              <w:rPr>
                <w:rFonts w:hint="default"/>
                <w:color w:val="auto"/>
                <w:lang w:val="en-US" w:eastAsia="zh-CN"/>
              </w:rPr>
              <w:t>1293</w:t>
            </w:r>
          </w:p>
        </w:tc>
      </w:tr>
      <w:tr w14:paraId="56E69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63DEA7DF">
            <w:pPr>
              <w:pStyle w:val="30"/>
              <w:bidi w:val="0"/>
              <w:rPr>
                <w:rFonts w:hint="default"/>
                <w:color w:val="auto"/>
                <w:lang w:val="en-US" w:eastAsia="en-US"/>
              </w:rPr>
            </w:pPr>
            <w:r>
              <w:rPr>
                <w:rFonts w:hint="default"/>
                <w:color w:val="auto"/>
                <w:lang w:val="en-US" w:eastAsia="en-US"/>
              </w:rPr>
              <w:t>43</w:t>
            </w:r>
          </w:p>
        </w:tc>
        <w:tc>
          <w:tcPr>
            <w:tcW w:w="2424" w:type="dxa"/>
            <w:tcBorders>
              <w:tl2br w:val="nil"/>
              <w:tr2bl w:val="nil"/>
            </w:tcBorders>
            <w:noWrap w:val="0"/>
            <w:vAlign w:val="center"/>
          </w:tcPr>
          <w:p w14:paraId="33460C28">
            <w:pPr>
              <w:pStyle w:val="30"/>
              <w:bidi w:val="0"/>
              <w:rPr>
                <w:rFonts w:hint="default"/>
                <w:color w:val="auto"/>
                <w:lang w:val="en-US" w:eastAsia="en-US"/>
              </w:rPr>
            </w:pPr>
            <w:r>
              <w:rPr>
                <w:rFonts w:hint="default"/>
                <w:color w:val="auto"/>
                <w:lang w:val="en-US" w:eastAsia="en-US"/>
              </w:rPr>
              <w:t>二苯并[a</w:t>
            </w:r>
            <w:r>
              <w:rPr>
                <w:rFonts w:hint="default"/>
                <w:color w:val="auto"/>
                <w:lang w:val="en-US" w:eastAsia="zh-CN"/>
              </w:rPr>
              <w:t>，</w:t>
            </w:r>
            <w:r>
              <w:rPr>
                <w:rFonts w:hint="default"/>
                <w:color w:val="auto"/>
                <w:lang w:val="en-US" w:eastAsia="en-US"/>
              </w:rPr>
              <w:t>h]蒽</w:t>
            </w:r>
          </w:p>
        </w:tc>
        <w:tc>
          <w:tcPr>
            <w:tcW w:w="2442" w:type="dxa"/>
            <w:tcBorders>
              <w:tl2br w:val="nil"/>
              <w:tr2bl w:val="nil"/>
            </w:tcBorders>
            <w:noWrap w:val="0"/>
            <w:vAlign w:val="center"/>
          </w:tcPr>
          <w:p w14:paraId="319131C7">
            <w:pPr>
              <w:pStyle w:val="30"/>
              <w:bidi w:val="0"/>
              <w:rPr>
                <w:rFonts w:hint="default"/>
                <w:color w:val="auto"/>
                <w:lang w:val="en-US" w:eastAsia="en-US"/>
              </w:rPr>
            </w:pPr>
            <w:r>
              <w:rPr>
                <w:rFonts w:hint="default"/>
                <w:color w:val="auto"/>
                <w:lang w:val="en-US" w:eastAsia="en-US"/>
              </w:rPr>
              <w:t>53-70-3</w:t>
            </w:r>
          </w:p>
        </w:tc>
        <w:tc>
          <w:tcPr>
            <w:tcW w:w="3239" w:type="dxa"/>
            <w:tcBorders>
              <w:tl2br w:val="nil"/>
              <w:tr2bl w:val="nil"/>
            </w:tcBorders>
            <w:noWrap w:val="0"/>
            <w:vAlign w:val="center"/>
          </w:tcPr>
          <w:p w14:paraId="0B9D3C83">
            <w:pPr>
              <w:pStyle w:val="30"/>
              <w:bidi w:val="0"/>
              <w:rPr>
                <w:rFonts w:hint="default"/>
                <w:color w:val="auto"/>
                <w:lang w:val="en-US" w:eastAsia="zh-CN"/>
              </w:rPr>
            </w:pPr>
            <w:r>
              <w:rPr>
                <w:rFonts w:hint="default"/>
                <w:color w:val="auto"/>
                <w:lang w:val="en-US" w:eastAsia="zh-CN"/>
              </w:rPr>
              <w:t>1.5</w:t>
            </w:r>
          </w:p>
        </w:tc>
      </w:tr>
      <w:tr w14:paraId="4AC55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74414C83">
            <w:pPr>
              <w:pStyle w:val="30"/>
              <w:bidi w:val="0"/>
              <w:rPr>
                <w:rFonts w:hint="default"/>
                <w:color w:val="auto"/>
                <w:lang w:val="en-US" w:eastAsia="en-US"/>
              </w:rPr>
            </w:pPr>
            <w:r>
              <w:rPr>
                <w:rFonts w:hint="default"/>
                <w:color w:val="auto"/>
                <w:lang w:val="en-US" w:eastAsia="en-US"/>
              </w:rPr>
              <w:t>44</w:t>
            </w:r>
          </w:p>
        </w:tc>
        <w:tc>
          <w:tcPr>
            <w:tcW w:w="2424" w:type="dxa"/>
            <w:tcBorders>
              <w:tl2br w:val="nil"/>
              <w:tr2bl w:val="nil"/>
            </w:tcBorders>
            <w:noWrap w:val="0"/>
            <w:vAlign w:val="center"/>
          </w:tcPr>
          <w:p w14:paraId="74C2F8B1">
            <w:pPr>
              <w:pStyle w:val="30"/>
              <w:bidi w:val="0"/>
              <w:rPr>
                <w:rFonts w:hint="default"/>
                <w:color w:val="auto"/>
                <w:lang w:val="en-US" w:eastAsia="en-US"/>
              </w:rPr>
            </w:pPr>
            <w:r>
              <w:rPr>
                <w:rFonts w:hint="default"/>
                <w:color w:val="auto"/>
                <w:lang w:val="en-US" w:eastAsia="en-US"/>
              </w:rPr>
              <w:t>茚并[1</w:t>
            </w:r>
            <w:r>
              <w:rPr>
                <w:rFonts w:hint="default"/>
                <w:color w:val="auto"/>
                <w:lang w:val="en-US" w:eastAsia="zh-CN"/>
              </w:rPr>
              <w:t>，</w:t>
            </w:r>
            <w:r>
              <w:rPr>
                <w:rFonts w:hint="default"/>
                <w:color w:val="auto"/>
                <w:lang w:val="en-US" w:eastAsia="en-US"/>
              </w:rPr>
              <w:t>2</w:t>
            </w:r>
            <w:r>
              <w:rPr>
                <w:rFonts w:hint="default"/>
                <w:color w:val="auto"/>
                <w:lang w:val="en-US" w:eastAsia="zh-CN"/>
              </w:rPr>
              <w:t>，</w:t>
            </w:r>
            <w:r>
              <w:rPr>
                <w:rFonts w:hint="default"/>
                <w:color w:val="auto"/>
                <w:lang w:val="en-US" w:eastAsia="en-US"/>
              </w:rPr>
              <w:t>3-cd]芘</w:t>
            </w:r>
          </w:p>
        </w:tc>
        <w:tc>
          <w:tcPr>
            <w:tcW w:w="2442" w:type="dxa"/>
            <w:tcBorders>
              <w:tl2br w:val="nil"/>
              <w:tr2bl w:val="nil"/>
            </w:tcBorders>
            <w:noWrap w:val="0"/>
            <w:vAlign w:val="center"/>
          </w:tcPr>
          <w:p w14:paraId="339D5880">
            <w:pPr>
              <w:pStyle w:val="30"/>
              <w:bidi w:val="0"/>
              <w:rPr>
                <w:rFonts w:hint="default"/>
                <w:color w:val="auto"/>
                <w:lang w:val="en-US" w:eastAsia="en-US"/>
              </w:rPr>
            </w:pPr>
            <w:r>
              <w:rPr>
                <w:rFonts w:hint="default"/>
                <w:color w:val="auto"/>
                <w:lang w:val="en-US" w:eastAsia="en-US"/>
              </w:rPr>
              <w:t>193-39-5</w:t>
            </w:r>
          </w:p>
        </w:tc>
        <w:tc>
          <w:tcPr>
            <w:tcW w:w="3239" w:type="dxa"/>
            <w:tcBorders>
              <w:tl2br w:val="nil"/>
              <w:tr2bl w:val="nil"/>
            </w:tcBorders>
            <w:noWrap w:val="0"/>
            <w:vAlign w:val="center"/>
          </w:tcPr>
          <w:p w14:paraId="26C4D9E4">
            <w:pPr>
              <w:pStyle w:val="30"/>
              <w:bidi w:val="0"/>
              <w:rPr>
                <w:rFonts w:hint="default"/>
                <w:color w:val="auto"/>
                <w:lang w:val="en-US" w:eastAsia="zh-CN"/>
              </w:rPr>
            </w:pPr>
            <w:r>
              <w:rPr>
                <w:rFonts w:hint="default"/>
                <w:color w:val="auto"/>
                <w:lang w:val="en-US" w:eastAsia="zh-CN"/>
              </w:rPr>
              <w:t>15</w:t>
            </w:r>
          </w:p>
        </w:tc>
      </w:tr>
      <w:tr w14:paraId="5140A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50" w:type="dxa"/>
            <w:tcBorders>
              <w:tl2br w:val="nil"/>
              <w:tr2bl w:val="nil"/>
            </w:tcBorders>
            <w:noWrap w:val="0"/>
            <w:vAlign w:val="center"/>
          </w:tcPr>
          <w:p w14:paraId="53392575">
            <w:pPr>
              <w:pStyle w:val="30"/>
              <w:bidi w:val="0"/>
              <w:rPr>
                <w:rFonts w:hint="default"/>
                <w:color w:val="auto"/>
                <w:lang w:val="en-US" w:eastAsia="en-US"/>
              </w:rPr>
            </w:pPr>
            <w:r>
              <w:rPr>
                <w:rFonts w:hint="default"/>
                <w:color w:val="auto"/>
                <w:lang w:val="en-US" w:eastAsia="en-US"/>
              </w:rPr>
              <w:t>45</w:t>
            </w:r>
          </w:p>
        </w:tc>
        <w:tc>
          <w:tcPr>
            <w:tcW w:w="2424" w:type="dxa"/>
            <w:tcBorders>
              <w:tl2br w:val="nil"/>
              <w:tr2bl w:val="nil"/>
            </w:tcBorders>
            <w:noWrap w:val="0"/>
            <w:vAlign w:val="center"/>
          </w:tcPr>
          <w:p w14:paraId="1624217E">
            <w:pPr>
              <w:pStyle w:val="30"/>
              <w:bidi w:val="0"/>
              <w:rPr>
                <w:rFonts w:hint="default"/>
                <w:color w:val="auto"/>
                <w:lang w:val="en-US" w:eastAsia="en-US"/>
              </w:rPr>
            </w:pPr>
            <w:r>
              <w:rPr>
                <w:rFonts w:hint="default"/>
                <w:color w:val="auto"/>
                <w:lang w:val="en-US" w:eastAsia="en-US"/>
              </w:rPr>
              <w:t>萘</w:t>
            </w:r>
          </w:p>
        </w:tc>
        <w:tc>
          <w:tcPr>
            <w:tcW w:w="2442" w:type="dxa"/>
            <w:tcBorders>
              <w:tl2br w:val="nil"/>
              <w:tr2bl w:val="nil"/>
            </w:tcBorders>
            <w:noWrap w:val="0"/>
            <w:vAlign w:val="center"/>
          </w:tcPr>
          <w:p w14:paraId="33F340A0">
            <w:pPr>
              <w:pStyle w:val="30"/>
              <w:bidi w:val="0"/>
              <w:rPr>
                <w:rFonts w:hint="default"/>
                <w:color w:val="auto"/>
                <w:lang w:val="en-US" w:eastAsia="en-US"/>
              </w:rPr>
            </w:pPr>
            <w:r>
              <w:rPr>
                <w:rFonts w:hint="default"/>
                <w:color w:val="auto"/>
                <w:lang w:val="en-US" w:eastAsia="en-US"/>
              </w:rPr>
              <w:t>91-20-3</w:t>
            </w:r>
          </w:p>
        </w:tc>
        <w:tc>
          <w:tcPr>
            <w:tcW w:w="3239" w:type="dxa"/>
            <w:tcBorders>
              <w:tl2br w:val="nil"/>
              <w:tr2bl w:val="nil"/>
            </w:tcBorders>
            <w:noWrap w:val="0"/>
            <w:vAlign w:val="center"/>
          </w:tcPr>
          <w:p w14:paraId="00C40DC8">
            <w:pPr>
              <w:pStyle w:val="30"/>
              <w:bidi w:val="0"/>
              <w:rPr>
                <w:rFonts w:hint="default"/>
                <w:color w:val="auto"/>
                <w:lang w:val="en-US" w:eastAsia="zh-CN"/>
              </w:rPr>
            </w:pPr>
            <w:r>
              <w:rPr>
                <w:rFonts w:hint="default"/>
                <w:color w:val="auto"/>
                <w:lang w:val="en-US" w:eastAsia="zh-CN"/>
              </w:rPr>
              <w:t>70</w:t>
            </w:r>
          </w:p>
        </w:tc>
      </w:tr>
    </w:tbl>
    <w:p w14:paraId="4889EF91">
      <w:pPr>
        <w:bidi w:val="0"/>
        <w:jc w:val="center"/>
        <w:rPr>
          <w:rFonts w:hint="default"/>
          <w:b/>
          <w:bCs/>
          <w:lang w:val="en-US" w:eastAsia="zh-CN"/>
        </w:rPr>
      </w:pPr>
      <w:r>
        <w:rPr>
          <w:rFonts w:hint="default"/>
          <w:b/>
          <w:bCs/>
          <w:lang w:val="en-US" w:eastAsia="zh-CN"/>
        </w:rPr>
        <w:t>表2.3-</w:t>
      </w:r>
      <w:r>
        <w:rPr>
          <w:rFonts w:hint="eastAsia"/>
          <w:b/>
          <w:bCs/>
          <w:lang w:val="en-US" w:eastAsia="zh-CN"/>
        </w:rPr>
        <w:t xml:space="preserve">6 </w:t>
      </w:r>
      <w:r>
        <w:rPr>
          <w:rFonts w:hint="default"/>
          <w:b/>
          <w:bCs/>
          <w:lang w:val="en-US" w:eastAsia="zh-CN"/>
        </w:rPr>
        <w:t>污染场地土壤筛选值单位：mg/kg</w:t>
      </w:r>
    </w:p>
    <w:tbl>
      <w:tblPr>
        <w:tblStyle w:val="1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87"/>
        <w:gridCol w:w="3188"/>
        <w:gridCol w:w="3190"/>
      </w:tblGrid>
      <w:tr w14:paraId="30D08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66" w:type="pct"/>
            <w:noWrap w:val="0"/>
            <w:vAlign w:val="center"/>
          </w:tcPr>
          <w:p w14:paraId="69E7E318">
            <w:pPr>
              <w:pStyle w:val="30"/>
              <w:widowControl w:val="0"/>
              <w:bidi w:val="0"/>
              <w:rPr>
                <w:rFonts w:hint="default"/>
                <w:b/>
                <w:bCs/>
                <w:color w:val="auto"/>
                <w:lang w:val="en-US" w:eastAsia="zh-CN"/>
              </w:rPr>
            </w:pPr>
            <w:r>
              <w:rPr>
                <w:rFonts w:hint="default"/>
                <w:b/>
                <w:bCs/>
                <w:color w:val="auto"/>
                <w:lang w:val="en-US" w:eastAsia="zh-CN"/>
              </w:rPr>
              <w:t>序号</w:t>
            </w:r>
          </w:p>
        </w:tc>
        <w:tc>
          <w:tcPr>
            <w:tcW w:w="1666" w:type="pct"/>
            <w:noWrap w:val="0"/>
            <w:vAlign w:val="center"/>
          </w:tcPr>
          <w:p w14:paraId="0D7195A1">
            <w:pPr>
              <w:pStyle w:val="30"/>
              <w:widowControl w:val="0"/>
              <w:bidi w:val="0"/>
              <w:rPr>
                <w:rFonts w:hint="default"/>
                <w:b/>
                <w:bCs/>
                <w:color w:val="auto"/>
                <w:lang w:val="en-US" w:eastAsia="zh-CN"/>
              </w:rPr>
            </w:pPr>
            <w:r>
              <w:rPr>
                <w:rFonts w:hint="default"/>
                <w:b/>
                <w:bCs/>
                <w:color w:val="auto"/>
                <w:lang w:val="en-US" w:eastAsia="zh-CN"/>
              </w:rPr>
              <w:t>污染物</w:t>
            </w:r>
          </w:p>
        </w:tc>
        <w:tc>
          <w:tcPr>
            <w:tcW w:w="1667" w:type="pct"/>
            <w:noWrap w:val="0"/>
            <w:vAlign w:val="center"/>
          </w:tcPr>
          <w:p w14:paraId="5D086179">
            <w:pPr>
              <w:pStyle w:val="30"/>
              <w:widowControl w:val="0"/>
              <w:bidi w:val="0"/>
              <w:rPr>
                <w:rFonts w:hint="default"/>
                <w:b/>
                <w:bCs/>
                <w:color w:val="auto"/>
                <w:lang w:val="en-US" w:eastAsia="zh-CN"/>
              </w:rPr>
            </w:pPr>
            <w:r>
              <w:rPr>
                <w:rFonts w:hint="default"/>
                <w:b/>
                <w:bCs/>
                <w:color w:val="auto"/>
                <w:lang w:val="en-US" w:eastAsia="zh-CN"/>
              </w:rPr>
              <w:t>工业/商服用地</w:t>
            </w:r>
          </w:p>
        </w:tc>
      </w:tr>
      <w:tr w14:paraId="23F1A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66" w:type="pct"/>
            <w:noWrap w:val="0"/>
            <w:vAlign w:val="center"/>
          </w:tcPr>
          <w:p w14:paraId="19C66C55">
            <w:pPr>
              <w:pStyle w:val="30"/>
              <w:widowControl w:val="0"/>
              <w:bidi w:val="0"/>
              <w:rPr>
                <w:rFonts w:hint="default"/>
                <w:color w:val="auto"/>
                <w:lang w:val="en-US" w:eastAsia="en-US"/>
              </w:rPr>
            </w:pPr>
            <w:r>
              <w:rPr>
                <w:rFonts w:hint="default"/>
                <w:color w:val="auto"/>
                <w:lang w:val="en-US" w:eastAsia="zh-CN"/>
              </w:rPr>
              <w:t>1</w:t>
            </w:r>
          </w:p>
        </w:tc>
        <w:tc>
          <w:tcPr>
            <w:tcW w:w="1666" w:type="pct"/>
            <w:noWrap w:val="0"/>
            <w:vAlign w:val="center"/>
          </w:tcPr>
          <w:p w14:paraId="788B55DA">
            <w:pPr>
              <w:pStyle w:val="30"/>
              <w:widowControl w:val="0"/>
              <w:bidi w:val="0"/>
              <w:rPr>
                <w:rFonts w:hint="default"/>
                <w:color w:val="auto"/>
                <w:lang w:val="en-US" w:eastAsia="zh-CN"/>
              </w:rPr>
            </w:pPr>
            <w:r>
              <w:rPr>
                <w:rFonts w:hint="default"/>
                <w:color w:val="auto"/>
                <w:lang w:val="en-US" w:eastAsia="zh-CN"/>
              </w:rPr>
              <w:t>氟化物</w:t>
            </w:r>
          </w:p>
        </w:tc>
        <w:tc>
          <w:tcPr>
            <w:tcW w:w="1667" w:type="pct"/>
            <w:noWrap w:val="0"/>
            <w:vAlign w:val="center"/>
          </w:tcPr>
          <w:p w14:paraId="0DF53D93">
            <w:pPr>
              <w:pStyle w:val="30"/>
              <w:widowControl w:val="0"/>
              <w:bidi w:val="0"/>
              <w:rPr>
                <w:rFonts w:hint="default"/>
                <w:color w:val="auto"/>
                <w:lang w:val="en-US" w:eastAsia="zh-CN"/>
              </w:rPr>
            </w:pPr>
            <w:r>
              <w:rPr>
                <w:rFonts w:hint="default"/>
                <w:color w:val="auto"/>
                <w:lang w:val="en-US" w:eastAsia="zh-CN"/>
              </w:rPr>
              <w:t>2000</w:t>
            </w:r>
          </w:p>
        </w:tc>
      </w:tr>
    </w:tbl>
    <w:p w14:paraId="7B82898C">
      <w:pPr>
        <w:bidi w:val="0"/>
        <w:rPr>
          <w:rFonts w:hint="eastAsia"/>
          <w:b/>
          <w:bCs/>
          <w:lang w:val="en-US" w:eastAsia="en-US"/>
        </w:rPr>
      </w:pPr>
      <w:bookmarkStart w:id="64" w:name="_Toc2650"/>
      <w:bookmarkStart w:id="65" w:name="_Toc20018"/>
      <w:bookmarkStart w:id="66" w:name="_Toc11846"/>
      <w:r>
        <w:rPr>
          <w:rFonts w:hint="eastAsia"/>
          <w:b/>
          <w:bCs/>
          <w:lang w:val="en-US" w:eastAsia="en-US"/>
        </w:rPr>
        <w:t>2.3.2</w:t>
      </w:r>
      <w:r>
        <w:rPr>
          <w:rFonts w:hint="eastAsia"/>
          <w:b/>
          <w:bCs/>
          <w:lang w:val="en-US" w:eastAsia="zh-CN"/>
        </w:rPr>
        <w:t xml:space="preserve"> </w:t>
      </w:r>
      <w:r>
        <w:rPr>
          <w:rFonts w:hint="eastAsia"/>
          <w:b/>
          <w:bCs/>
          <w:lang w:val="en-US" w:eastAsia="en-US"/>
        </w:rPr>
        <w:t>污染物排放标准</w:t>
      </w:r>
      <w:bookmarkEnd w:id="64"/>
      <w:bookmarkEnd w:id="65"/>
      <w:bookmarkEnd w:id="66"/>
    </w:p>
    <w:p w14:paraId="42F97840">
      <w:pPr>
        <w:bidi w:val="0"/>
        <w:ind w:firstLine="480" w:firstLineChars="200"/>
        <w:rPr>
          <w:color w:val="auto"/>
        </w:rPr>
      </w:pPr>
      <w:r>
        <w:rPr>
          <w:color w:val="auto"/>
        </w:rPr>
        <w:t>（1）大气污染物</w:t>
      </w:r>
    </w:p>
    <w:p w14:paraId="3A835147">
      <w:pPr>
        <w:bidi w:val="0"/>
        <w:ind w:firstLine="480" w:firstLineChars="200"/>
        <w:rPr>
          <w:rFonts w:hint="default"/>
          <w:color w:val="auto"/>
          <w:lang w:val="en-US" w:eastAsia="zh-CN"/>
        </w:rPr>
      </w:pPr>
      <w:r>
        <w:rPr>
          <w:rFonts w:hint="eastAsia"/>
          <w:color w:val="auto"/>
          <w:lang w:val="en-US" w:eastAsia="zh-CN"/>
        </w:rPr>
        <w:t>本次技改项目涉及的</w:t>
      </w:r>
      <w:r>
        <w:rPr>
          <w:rFonts w:hint="default"/>
          <w:color w:val="auto"/>
        </w:rPr>
        <w:t>电池生产工艺过程中产生的颗粒物、非甲烷总烃排放执行《电池工业污染物排放标准》（GB30484-2013）表5标准中太阳能电池大气污染物的排放标准</w:t>
      </w:r>
      <w:r>
        <w:rPr>
          <w:rFonts w:hint="eastAsia"/>
          <w:color w:val="auto"/>
          <w:lang w:eastAsia="zh-CN"/>
        </w:rPr>
        <w:t>、</w:t>
      </w:r>
      <w:r>
        <w:rPr>
          <w:rFonts w:hint="default"/>
          <w:color w:val="auto"/>
        </w:rPr>
        <w:t>表6企业边界大气污染物浓度限值；厂区内挥发性有机物无组织排放执行《挥发性有机物无组织排放控制标准》（GB37822-2019）特别排放限值要求。</w:t>
      </w:r>
    </w:p>
    <w:p w14:paraId="3E051014">
      <w:pPr>
        <w:bidi w:val="0"/>
        <w:jc w:val="center"/>
        <w:rPr>
          <w:rFonts w:hint="default"/>
          <w:b/>
          <w:bCs/>
        </w:rPr>
      </w:pPr>
      <w:r>
        <w:rPr>
          <w:rFonts w:hint="default"/>
          <w:b/>
          <w:bCs/>
        </w:rPr>
        <w:t>表2.3-</w:t>
      </w:r>
      <w:r>
        <w:rPr>
          <w:rFonts w:hint="eastAsia"/>
          <w:b/>
          <w:bCs/>
          <w:lang w:val="en-US" w:eastAsia="zh-CN"/>
        </w:rPr>
        <w:t xml:space="preserve">7 </w:t>
      </w:r>
      <w:r>
        <w:rPr>
          <w:rFonts w:hint="default"/>
          <w:b/>
          <w:bCs/>
        </w:rPr>
        <w:t>电池生产工艺及储运过程污染物排放标准</w:t>
      </w:r>
      <w:r>
        <w:rPr>
          <w:rFonts w:hint="eastAsia"/>
          <w:b/>
          <w:bCs/>
          <w:lang w:val="en-US" w:eastAsia="zh-CN"/>
        </w:rPr>
        <w:t xml:space="preserve">  </w:t>
      </w:r>
      <w:r>
        <w:rPr>
          <w:rFonts w:hint="default"/>
          <w:b/>
          <w:bCs/>
        </w:rPr>
        <w:t>单位：mg/m</w:t>
      </w:r>
      <w:r>
        <w:rPr>
          <w:rFonts w:hint="default"/>
          <w:b/>
          <w:bCs/>
          <w:vertAlign w:val="superscript"/>
        </w:rPr>
        <w:t>3</w:t>
      </w:r>
    </w:p>
    <w:tbl>
      <w:tblPr>
        <w:tblStyle w:val="17"/>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105"/>
        <w:gridCol w:w="2014"/>
        <w:gridCol w:w="1916"/>
        <w:gridCol w:w="3536"/>
      </w:tblGrid>
      <w:tr w14:paraId="066318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167" w:type="dxa"/>
            <w:tcBorders>
              <w:tl2br w:val="nil"/>
              <w:tr2bl w:val="nil"/>
            </w:tcBorders>
            <w:noWrap w:val="0"/>
            <w:vAlign w:val="center"/>
          </w:tcPr>
          <w:p w14:paraId="7F669AE0">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b/>
                <w:bCs/>
                <w:snapToGrid w:val="0"/>
                <w:color w:val="auto"/>
                <w:spacing w:val="6"/>
                <w:kern w:val="0"/>
                <w:sz w:val="21"/>
                <w:szCs w:val="21"/>
                <w:lang w:val="en-US" w:eastAsia="en-US" w:bidi="ar-SA"/>
              </w:rPr>
            </w:pPr>
            <w:r>
              <w:rPr>
                <w:rFonts w:hint="default" w:ascii="Times New Roman" w:hAnsi="Times New Roman" w:eastAsia="宋体" w:cs="Times New Roman"/>
                <w:b/>
                <w:bCs/>
                <w:snapToGrid w:val="0"/>
                <w:color w:val="auto"/>
                <w:spacing w:val="6"/>
                <w:kern w:val="0"/>
                <w:sz w:val="21"/>
                <w:szCs w:val="21"/>
                <w:lang w:val="en-US" w:eastAsia="en-US" w:bidi="ar-SA"/>
              </w:rPr>
              <w:t>废气</w:t>
            </w:r>
          </w:p>
        </w:tc>
        <w:tc>
          <w:tcPr>
            <w:tcW w:w="2073" w:type="dxa"/>
            <w:tcBorders>
              <w:tl2br w:val="nil"/>
              <w:tr2bl w:val="nil"/>
            </w:tcBorders>
            <w:noWrap w:val="0"/>
            <w:vAlign w:val="center"/>
          </w:tcPr>
          <w:p w14:paraId="43C73026">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b/>
                <w:bCs/>
                <w:snapToGrid w:val="0"/>
                <w:color w:val="auto"/>
                <w:spacing w:val="6"/>
                <w:kern w:val="0"/>
                <w:sz w:val="21"/>
                <w:szCs w:val="21"/>
                <w:lang w:val="en-US" w:eastAsia="en-US" w:bidi="ar-SA"/>
              </w:rPr>
            </w:pPr>
            <w:r>
              <w:rPr>
                <w:rFonts w:hint="default" w:ascii="Times New Roman" w:hAnsi="Times New Roman" w:eastAsia="宋体" w:cs="Times New Roman"/>
                <w:b/>
                <w:bCs/>
                <w:snapToGrid w:val="0"/>
                <w:color w:val="auto"/>
                <w:spacing w:val="6"/>
                <w:kern w:val="0"/>
                <w:sz w:val="21"/>
                <w:szCs w:val="21"/>
                <w:lang w:val="en-US" w:eastAsia="en-US" w:bidi="ar-SA"/>
              </w:rPr>
              <w:t>排放限值</w:t>
            </w:r>
          </w:p>
        </w:tc>
        <w:tc>
          <w:tcPr>
            <w:tcW w:w="1972" w:type="dxa"/>
            <w:tcBorders>
              <w:tl2br w:val="nil"/>
              <w:tr2bl w:val="nil"/>
            </w:tcBorders>
            <w:noWrap w:val="0"/>
            <w:vAlign w:val="center"/>
          </w:tcPr>
          <w:p w14:paraId="03FE648D">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b/>
                <w:bCs/>
                <w:snapToGrid w:val="0"/>
                <w:color w:val="auto"/>
                <w:spacing w:val="6"/>
                <w:kern w:val="0"/>
                <w:sz w:val="21"/>
                <w:szCs w:val="21"/>
                <w:lang w:val="en-US" w:eastAsia="en-US" w:bidi="ar-SA"/>
              </w:rPr>
            </w:pPr>
            <w:r>
              <w:rPr>
                <w:rFonts w:hint="default" w:ascii="Times New Roman" w:hAnsi="Times New Roman" w:eastAsia="宋体" w:cs="Times New Roman"/>
                <w:b/>
                <w:bCs/>
                <w:snapToGrid w:val="0"/>
                <w:color w:val="auto"/>
                <w:spacing w:val="6"/>
                <w:kern w:val="0"/>
                <w:sz w:val="21"/>
                <w:szCs w:val="21"/>
                <w:lang w:val="en-US" w:eastAsia="en-US" w:bidi="ar-SA"/>
              </w:rPr>
              <w:t>边界限值</w:t>
            </w:r>
          </w:p>
        </w:tc>
        <w:tc>
          <w:tcPr>
            <w:tcW w:w="3642" w:type="dxa"/>
            <w:tcBorders>
              <w:tl2br w:val="nil"/>
              <w:tr2bl w:val="nil"/>
            </w:tcBorders>
            <w:noWrap w:val="0"/>
            <w:vAlign w:val="center"/>
          </w:tcPr>
          <w:p w14:paraId="0A7D6D5C">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b/>
                <w:bCs/>
                <w:snapToGrid w:val="0"/>
                <w:color w:val="auto"/>
                <w:spacing w:val="6"/>
                <w:kern w:val="0"/>
                <w:sz w:val="21"/>
                <w:szCs w:val="21"/>
                <w:lang w:val="en-US" w:eastAsia="en-US" w:bidi="ar-SA"/>
              </w:rPr>
            </w:pPr>
            <w:r>
              <w:rPr>
                <w:rFonts w:hint="default" w:ascii="Times New Roman" w:hAnsi="Times New Roman" w:eastAsia="宋体" w:cs="Times New Roman"/>
                <w:b/>
                <w:bCs/>
                <w:snapToGrid w:val="0"/>
                <w:color w:val="auto"/>
                <w:spacing w:val="6"/>
                <w:kern w:val="0"/>
                <w:sz w:val="21"/>
                <w:szCs w:val="21"/>
                <w:lang w:val="en-US" w:eastAsia="en-US" w:bidi="ar-SA"/>
              </w:rPr>
              <w:t>标准依据</w:t>
            </w:r>
          </w:p>
        </w:tc>
      </w:tr>
      <w:tr w14:paraId="1BE756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167" w:type="dxa"/>
            <w:tcBorders>
              <w:tl2br w:val="nil"/>
              <w:tr2bl w:val="nil"/>
            </w:tcBorders>
            <w:noWrap w:val="0"/>
            <w:vAlign w:val="center"/>
          </w:tcPr>
          <w:p w14:paraId="38483EAF">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非甲烷总烃</w:t>
            </w:r>
          </w:p>
        </w:tc>
        <w:tc>
          <w:tcPr>
            <w:tcW w:w="2073" w:type="dxa"/>
            <w:tcBorders>
              <w:tl2br w:val="nil"/>
              <w:tr2bl w:val="nil"/>
            </w:tcBorders>
            <w:noWrap w:val="0"/>
            <w:vAlign w:val="center"/>
          </w:tcPr>
          <w:p w14:paraId="2FBC87A1">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50</w:t>
            </w:r>
          </w:p>
        </w:tc>
        <w:tc>
          <w:tcPr>
            <w:tcW w:w="1972" w:type="dxa"/>
            <w:tcBorders>
              <w:tl2br w:val="nil"/>
              <w:tr2bl w:val="nil"/>
            </w:tcBorders>
            <w:noWrap w:val="0"/>
            <w:vAlign w:val="center"/>
          </w:tcPr>
          <w:p w14:paraId="0B42F68E">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2.0</w:t>
            </w:r>
          </w:p>
        </w:tc>
        <w:tc>
          <w:tcPr>
            <w:tcW w:w="3642" w:type="dxa"/>
            <w:vMerge w:val="restart"/>
            <w:tcBorders>
              <w:tl2br w:val="nil"/>
              <w:tr2bl w:val="nil"/>
            </w:tcBorders>
            <w:noWrap w:val="0"/>
            <w:vAlign w:val="center"/>
          </w:tcPr>
          <w:p w14:paraId="0D9648E7">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《电池工业污染物排放标准》（GB30484-2013）</w:t>
            </w:r>
          </w:p>
        </w:tc>
      </w:tr>
      <w:tr w14:paraId="7CE78E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167" w:type="dxa"/>
            <w:tcBorders>
              <w:tl2br w:val="nil"/>
              <w:tr2bl w:val="nil"/>
            </w:tcBorders>
            <w:noWrap w:val="0"/>
            <w:vAlign w:val="center"/>
          </w:tcPr>
          <w:p w14:paraId="2A822615">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颗粒物</w:t>
            </w:r>
          </w:p>
        </w:tc>
        <w:tc>
          <w:tcPr>
            <w:tcW w:w="2073" w:type="dxa"/>
            <w:tcBorders>
              <w:tl2br w:val="nil"/>
              <w:tr2bl w:val="nil"/>
            </w:tcBorders>
            <w:noWrap w:val="0"/>
            <w:vAlign w:val="center"/>
          </w:tcPr>
          <w:p w14:paraId="23CA1D23">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30</w:t>
            </w:r>
          </w:p>
        </w:tc>
        <w:tc>
          <w:tcPr>
            <w:tcW w:w="1972" w:type="dxa"/>
            <w:tcBorders>
              <w:tl2br w:val="nil"/>
              <w:tr2bl w:val="nil"/>
            </w:tcBorders>
            <w:noWrap w:val="0"/>
            <w:vAlign w:val="center"/>
          </w:tcPr>
          <w:p w14:paraId="7EC68A4C">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en-US" w:bidi="ar-SA"/>
              </w:rPr>
              <w:t>0.3</w:t>
            </w:r>
          </w:p>
        </w:tc>
        <w:tc>
          <w:tcPr>
            <w:tcW w:w="3642" w:type="dxa"/>
            <w:vMerge w:val="continue"/>
            <w:tcBorders>
              <w:tl2br w:val="nil"/>
              <w:tr2bl w:val="nil"/>
            </w:tcBorders>
            <w:noWrap w:val="0"/>
            <w:vAlign w:val="center"/>
          </w:tcPr>
          <w:p w14:paraId="66B25A6B">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p>
        </w:tc>
      </w:tr>
      <w:tr w14:paraId="0965E0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2167" w:type="dxa"/>
            <w:tcBorders>
              <w:tl2br w:val="nil"/>
              <w:tr2bl w:val="nil"/>
            </w:tcBorders>
            <w:noWrap w:val="0"/>
            <w:vAlign w:val="center"/>
          </w:tcPr>
          <w:p w14:paraId="39E6179B">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r>
              <w:rPr>
                <w:rFonts w:hint="default" w:ascii="Times New Roman" w:hAnsi="Times New Roman" w:eastAsia="宋体" w:cs="Times New Roman"/>
                <w:snapToGrid w:val="0"/>
                <w:color w:val="auto"/>
                <w:spacing w:val="6"/>
                <w:kern w:val="0"/>
                <w:sz w:val="21"/>
                <w:szCs w:val="21"/>
                <w:lang w:val="en-US" w:eastAsia="zh-CN" w:bidi="ar-SA"/>
              </w:rPr>
              <w:t>氮氧化物</w:t>
            </w:r>
          </w:p>
        </w:tc>
        <w:tc>
          <w:tcPr>
            <w:tcW w:w="2073" w:type="dxa"/>
            <w:tcBorders>
              <w:tl2br w:val="nil"/>
              <w:tr2bl w:val="nil"/>
            </w:tcBorders>
            <w:noWrap w:val="0"/>
            <w:vAlign w:val="center"/>
          </w:tcPr>
          <w:p w14:paraId="3A23E5B2">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zh-CN" w:bidi="ar-SA"/>
              </w:rPr>
            </w:pPr>
            <w:r>
              <w:rPr>
                <w:rFonts w:hint="default" w:ascii="Times New Roman" w:hAnsi="Times New Roman" w:eastAsia="宋体" w:cs="Times New Roman"/>
                <w:snapToGrid w:val="0"/>
                <w:color w:val="auto"/>
                <w:spacing w:val="6"/>
                <w:kern w:val="0"/>
                <w:sz w:val="21"/>
                <w:szCs w:val="21"/>
                <w:lang w:val="en-US" w:eastAsia="zh-CN" w:bidi="ar-SA"/>
              </w:rPr>
              <w:t>30</w:t>
            </w:r>
          </w:p>
        </w:tc>
        <w:tc>
          <w:tcPr>
            <w:tcW w:w="1972" w:type="dxa"/>
            <w:tcBorders>
              <w:tl2br w:val="nil"/>
              <w:tr2bl w:val="nil"/>
            </w:tcBorders>
            <w:noWrap w:val="0"/>
            <w:vAlign w:val="center"/>
          </w:tcPr>
          <w:p w14:paraId="030B0438">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zh-CN" w:bidi="ar-SA"/>
              </w:rPr>
            </w:pPr>
            <w:r>
              <w:rPr>
                <w:rFonts w:hint="default" w:ascii="Times New Roman" w:hAnsi="Times New Roman" w:eastAsia="宋体" w:cs="Times New Roman"/>
                <w:snapToGrid w:val="0"/>
                <w:color w:val="auto"/>
                <w:spacing w:val="6"/>
                <w:kern w:val="0"/>
                <w:sz w:val="21"/>
                <w:szCs w:val="21"/>
                <w:lang w:val="en-US" w:eastAsia="zh-CN" w:bidi="ar-SA"/>
              </w:rPr>
              <w:t>0.12</w:t>
            </w:r>
          </w:p>
        </w:tc>
        <w:tc>
          <w:tcPr>
            <w:tcW w:w="3642" w:type="dxa"/>
            <w:vMerge w:val="continue"/>
            <w:tcBorders>
              <w:tl2br w:val="nil"/>
              <w:tr2bl w:val="nil"/>
            </w:tcBorders>
            <w:noWrap w:val="0"/>
            <w:vAlign w:val="center"/>
          </w:tcPr>
          <w:p w14:paraId="4C83D004">
            <w:pPr>
              <w:kinsoku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napToGrid w:val="0"/>
                <w:color w:val="auto"/>
                <w:spacing w:val="6"/>
                <w:kern w:val="0"/>
                <w:sz w:val="21"/>
                <w:szCs w:val="21"/>
                <w:lang w:val="en-US" w:eastAsia="en-US" w:bidi="ar-SA"/>
              </w:rPr>
            </w:pPr>
          </w:p>
        </w:tc>
      </w:tr>
      <w:tr w14:paraId="559828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854" w:type="dxa"/>
            <w:gridSpan w:val="4"/>
            <w:tcBorders>
              <w:tl2br w:val="nil"/>
              <w:tr2bl w:val="nil"/>
            </w:tcBorders>
            <w:noWrap w:val="0"/>
            <w:vAlign w:val="center"/>
          </w:tcPr>
          <w:p w14:paraId="0AE8CCD5">
            <w:pPr>
              <w:kinsoku w:val="0"/>
              <w:autoSpaceDE w:val="0"/>
              <w:autoSpaceDN w:val="0"/>
              <w:bidi w:val="0"/>
              <w:adjustRightInd w:val="0"/>
              <w:snapToGrid w:val="0"/>
              <w:spacing w:line="240" w:lineRule="auto"/>
              <w:ind w:left="0"/>
              <w:jc w:val="left"/>
              <w:textAlignment w:val="baseline"/>
              <w:rPr>
                <w:rFonts w:hint="eastAsia" w:ascii="Times New Roman" w:hAnsi="Times New Roman" w:eastAsia="宋体" w:cs="Times New Roman"/>
                <w:snapToGrid w:val="0"/>
                <w:color w:val="auto"/>
                <w:spacing w:val="6"/>
                <w:kern w:val="0"/>
                <w:sz w:val="21"/>
                <w:szCs w:val="21"/>
                <w:lang w:val="en-US" w:eastAsia="zh-CN" w:bidi="ar-SA"/>
              </w:rPr>
            </w:pPr>
            <w:r>
              <w:rPr>
                <w:rFonts w:hint="default" w:ascii="Times New Roman" w:hAnsi="Times New Roman" w:eastAsia="宋体" w:cs="Times New Roman"/>
                <w:snapToGrid w:val="0"/>
                <w:color w:val="auto"/>
                <w:spacing w:val="6"/>
                <w:kern w:val="0"/>
                <w:sz w:val="21"/>
                <w:szCs w:val="21"/>
                <w:lang w:val="en-US" w:eastAsia="en-US" w:bidi="ar-SA"/>
              </w:rPr>
              <w:t>注：</w:t>
            </w:r>
            <w:r>
              <w:rPr>
                <w:rFonts w:hint="eastAsia" w:ascii="Times New Roman" w:hAnsi="Times New Roman" w:eastAsia="宋体" w:cs="Times New Roman"/>
                <w:snapToGrid w:val="0"/>
                <w:color w:val="auto"/>
                <w:spacing w:val="6"/>
                <w:kern w:val="0"/>
                <w:sz w:val="21"/>
                <w:szCs w:val="21"/>
                <w:lang w:val="en-US" w:eastAsia="zh-CN" w:bidi="ar-SA"/>
              </w:rPr>
              <w:t>现有工程</w:t>
            </w:r>
            <w:r>
              <w:rPr>
                <w:rFonts w:hint="default" w:ascii="Times New Roman" w:hAnsi="Times New Roman" w:eastAsia="宋体" w:cs="Times New Roman"/>
                <w:snapToGrid w:val="0"/>
                <w:color w:val="auto"/>
                <w:spacing w:val="6"/>
                <w:kern w:val="0"/>
                <w:sz w:val="21"/>
                <w:szCs w:val="21"/>
                <w:lang w:val="en-US" w:eastAsia="en-US" w:bidi="ar-SA"/>
              </w:rPr>
              <w:t>非甲烷总烃排放限值参照执行《电池工业污染物排放标准》（GB30484-2013）</w:t>
            </w:r>
            <w:r>
              <w:rPr>
                <w:rFonts w:hint="eastAsia" w:ascii="Times New Roman" w:hAnsi="Times New Roman" w:eastAsia="宋体" w:cs="Times New Roman"/>
                <w:snapToGrid w:val="0"/>
                <w:color w:val="auto"/>
                <w:spacing w:val="6"/>
                <w:kern w:val="0"/>
                <w:sz w:val="21"/>
                <w:szCs w:val="21"/>
                <w:lang w:val="en-US" w:eastAsia="zh-CN" w:bidi="ar-SA"/>
              </w:rPr>
              <w:t>中</w:t>
            </w:r>
            <w:r>
              <w:rPr>
                <w:rFonts w:hint="default" w:ascii="Times New Roman" w:hAnsi="Times New Roman" w:eastAsia="宋体" w:cs="Times New Roman"/>
                <w:snapToGrid w:val="0"/>
                <w:color w:val="auto"/>
                <w:spacing w:val="6"/>
                <w:kern w:val="0"/>
                <w:sz w:val="21"/>
                <w:szCs w:val="21"/>
                <w:lang w:val="en-US" w:eastAsia="en-US" w:bidi="ar-SA"/>
              </w:rPr>
              <w:t>锂电池标准</w:t>
            </w:r>
            <w:r>
              <w:rPr>
                <w:rFonts w:hint="eastAsia" w:ascii="Times New Roman" w:hAnsi="Times New Roman" w:eastAsia="宋体" w:cs="Times New Roman"/>
                <w:snapToGrid w:val="0"/>
                <w:color w:val="auto"/>
                <w:spacing w:val="6"/>
                <w:kern w:val="0"/>
                <w:sz w:val="21"/>
                <w:szCs w:val="21"/>
                <w:lang w:val="en-US" w:eastAsia="zh-CN" w:bidi="ar-SA"/>
              </w:rPr>
              <w:t>。</w:t>
            </w:r>
          </w:p>
        </w:tc>
      </w:tr>
    </w:tbl>
    <w:p w14:paraId="1870B5A8">
      <w:pPr>
        <w:bidi w:val="0"/>
        <w:jc w:val="center"/>
        <w:rPr>
          <w:rFonts w:hint="default"/>
          <w:b/>
          <w:bCs/>
        </w:rPr>
      </w:pPr>
      <w:r>
        <w:rPr>
          <w:rFonts w:hint="default"/>
          <w:b/>
          <w:bCs/>
        </w:rPr>
        <w:t>表2.3-</w:t>
      </w:r>
      <w:r>
        <w:rPr>
          <w:rFonts w:hint="eastAsia"/>
          <w:b/>
          <w:bCs/>
          <w:lang w:val="en-US" w:eastAsia="zh-CN"/>
        </w:rPr>
        <w:t xml:space="preserve">8  </w:t>
      </w:r>
      <w:r>
        <w:rPr>
          <w:rFonts w:hint="default"/>
          <w:b/>
          <w:bCs/>
        </w:rPr>
        <w:t>厂区内挥发性有机物无组织排放限值</w:t>
      </w:r>
      <w:r>
        <w:rPr>
          <w:rFonts w:hint="eastAsia"/>
          <w:b/>
          <w:bCs/>
          <w:lang w:val="en-US" w:eastAsia="zh-CN"/>
        </w:rPr>
        <w:t xml:space="preserve"> </w:t>
      </w:r>
      <w:r>
        <w:rPr>
          <w:rFonts w:hint="default"/>
          <w:b/>
          <w:bCs/>
        </w:rPr>
        <w:t>单位：mg/m</w:t>
      </w:r>
      <w:r>
        <w:rPr>
          <w:rFonts w:hint="default"/>
          <w:b/>
          <w:bCs/>
          <w:vertAlign w:val="superscript"/>
        </w:rPr>
        <w:t>3</w:t>
      </w:r>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997"/>
        <w:gridCol w:w="1126"/>
        <w:gridCol w:w="2828"/>
        <w:gridCol w:w="1377"/>
        <w:gridCol w:w="3037"/>
      </w:tblGrid>
      <w:tr w14:paraId="3D8184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532" w:type="pct"/>
            <w:tcBorders>
              <w:bottom w:val="single" w:color="000000" w:sz="4" w:space="0"/>
            </w:tcBorders>
            <w:noWrap w:val="0"/>
            <w:vAlign w:val="center"/>
          </w:tcPr>
          <w:p w14:paraId="7BD78C6B">
            <w:pPr>
              <w:pStyle w:val="30"/>
              <w:widowControl w:val="0"/>
              <w:bidi w:val="0"/>
              <w:rPr>
                <w:rFonts w:hint="default"/>
                <w:b/>
                <w:bCs/>
                <w:color w:val="auto"/>
                <w:lang w:val="en-US" w:eastAsia="en-US"/>
              </w:rPr>
            </w:pPr>
            <w:r>
              <w:rPr>
                <w:rFonts w:hint="default"/>
                <w:b/>
                <w:bCs/>
                <w:color w:val="auto"/>
                <w:lang w:val="en-US" w:eastAsia="en-US"/>
              </w:rPr>
              <w:t>污染物</w:t>
            </w:r>
          </w:p>
          <w:p w14:paraId="1C1412AD">
            <w:pPr>
              <w:pStyle w:val="30"/>
              <w:widowControl w:val="0"/>
              <w:bidi w:val="0"/>
              <w:rPr>
                <w:rFonts w:hint="default"/>
                <w:b/>
                <w:bCs/>
                <w:color w:val="auto"/>
                <w:lang w:val="en-US" w:eastAsia="en-US"/>
              </w:rPr>
            </w:pPr>
            <w:r>
              <w:rPr>
                <w:rFonts w:hint="default"/>
                <w:b/>
                <w:bCs/>
                <w:color w:val="auto"/>
                <w:lang w:val="en-US" w:eastAsia="en-US"/>
              </w:rPr>
              <w:t>项目</w:t>
            </w:r>
          </w:p>
        </w:tc>
        <w:tc>
          <w:tcPr>
            <w:tcW w:w="601" w:type="pct"/>
            <w:tcBorders>
              <w:bottom w:val="single" w:color="000000" w:sz="4" w:space="0"/>
            </w:tcBorders>
            <w:noWrap w:val="0"/>
            <w:vAlign w:val="center"/>
          </w:tcPr>
          <w:p w14:paraId="44C6CBAF">
            <w:pPr>
              <w:pStyle w:val="30"/>
              <w:widowControl w:val="0"/>
              <w:bidi w:val="0"/>
              <w:rPr>
                <w:rFonts w:hint="default"/>
                <w:b/>
                <w:bCs/>
                <w:color w:val="auto"/>
                <w:lang w:val="en-US" w:eastAsia="en-US"/>
              </w:rPr>
            </w:pPr>
            <w:r>
              <w:rPr>
                <w:rFonts w:hint="default"/>
                <w:b/>
                <w:bCs/>
                <w:color w:val="auto"/>
                <w:lang w:val="en-US" w:eastAsia="en-US"/>
              </w:rPr>
              <w:t>特别排放</w:t>
            </w:r>
          </w:p>
          <w:p w14:paraId="6B4443EC">
            <w:pPr>
              <w:pStyle w:val="30"/>
              <w:widowControl w:val="0"/>
              <w:bidi w:val="0"/>
              <w:rPr>
                <w:rFonts w:hint="default"/>
                <w:b/>
                <w:bCs/>
                <w:color w:val="auto"/>
                <w:lang w:val="en-US" w:eastAsia="en-US"/>
              </w:rPr>
            </w:pPr>
            <w:r>
              <w:rPr>
                <w:rFonts w:hint="default"/>
                <w:b/>
                <w:bCs/>
                <w:color w:val="auto"/>
                <w:lang w:val="en-US" w:eastAsia="en-US"/>
              </w:rPr>
              <w:t>限值</w:t>
            </w:r>
          </w:p>
        </w:tc>
        <w:tc>
          <w:tcPr>
            <w:tcW w:w="1509" w:type="pct"/>
            <w:tcBorders>
              <w:bottom w:val="single" w:color="000000" w:sz="4" w:space="0"/>
            </w:tcBorders>
            <w:noWrap w:val="0"/>
            <w:vAlign w:val="center"/>
          </w:tcPr>
          <w:p w14:paraId="4E6B5E60">
            <w:pPr>
              <w:pStyle w:val="30"/>
              <w:widowControl w:val="0"/>
              <w:bidi w:val="0"/>
              <w:rPr>
                <w:rFonts w:hint="default"/>
                <w:b/>
                <w:bCs/>
                <w:color w:val="auto"/>
                <w:lang w:val="en-US" w:eastAsia="en-US"/>
              </w:rPr>
            </w:pPr>
            <w:r>
              <w:rPr>
                <w:rFonts w:hint="default"/>
                <w:b/>
                <w:bCs/>
                <w:color w:val="auto"/>
                <w:lang w:val="en-US" w:eastAsia="en-US"/>
              </w:rPr>
              <w:t>限值含义</w:t>
            </w:r>
          </w:p>
        </w:tc>
        <w:tc>
          <w:tcPr>
            <w:tcW w:w="735" w:type="pct"/>
            <w:tcBorders>
              <w:bottom w:val="single" w:color="000000" w:sz="4" w:space="0"/>
            </w:tcBorders>
            <w:noWrap w:val="0"/>
            <w:vAlign w:val="center"/>
          </w:tcPr>
          <w:p w14:paraId="7DB79392">
            <w:pPr>
              <w:pStyle w:val="30"/>
              <w:widowControl w:val="0"/>
              <w:bidi w:val="0"/>
              <w:rPr>
                <w:rFonts w:hint="default"/>
                <w:b/>
                <w:bCs/>
                <w:color w:val="auto"/>
                <w:lang w:val="en-US" w:eastAsia="en-US"/>
              </w:rPr>
            </w:pPr>
            <w:r>
              <w:rPr>
                <w:rFonts w:hint="default"/>
                <w:b/>
                <w:bCs/>
                <w:color w:val="auto"/>
                <w:lang w:val="en-US" w:eastAsia="en-US"/>
              </w:rPr>
              <w:t>无组织排放监控位置</w:t>
            </w:r>
          </w:p>
        </w:tc>
        <w:tc>
          <w:tcPr>
            <w:tcW w:w="1621" w:type="pct"/>
            <w:tcBorders>
              <w:bottom w:val="single" w:color="000000" w:sz="4" w:space="0"/>
            </w:tcBorders>
            <w:noWrap w:val="0"/>
            <w:vAlign w:val="center"/>
          </w:tcPr>
          <w:p w14:paraId="19C38E0F">
            <w:pPr>
              <w:pStyle w:val="30"/>
              <w:widowControl w:val="0"/>
              <w:bidi w:val="0"/>
              <w:rPr>
                <w:rFonts w:hint="default"/>
                <w:b/>
                <w:bCs/>
                <w:color w:val="auto"/>
                <w:lang w:val="en-US" w:eastAsia="en-US"/>
              </w:rPr>
            </w:pPr>
            <w:r>
              <w:rPr>
                <w:rFonts w:hint="default"/>
                <w:b/>
                <w:bCs/>
                <w:color w:val="auto"/>
                <w:lang w:val="en-US" w:eastAsia="en-US"/>
              </w:rPr>
              <w:t>标准依据</w:t>
            </w:r>
          </w:p>
        </w:tc>
      </w:tr>
      <w:tr w14:paraId="40616A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532" w:type="pct"/>
            <w:vMerge w:val="restart"/>
            <w:tcBorders>
              <w:top w:val="single" w:color="000000" w:sz="4" w:space="0"/>
              <w:bottom w:val="single" w:color="000000" w:sz="4" w:space="0"/>
            </w:tcBorders>
            <w:noWrap w:val="0"/>
            <w:vAlign w:val="center"/>
          </w:tcPr>
          <w:p w14:paraId="2B7DC15B">
            <w:pPr>
              <w:pStyle w:val="30"/>
              <w:widowControl w:val="0"/>
              <w:bidi w:val="0"/>
              <w:rPr>
                <w:rFonts w:hint="default"/>
                <w:color w:val="auto"/>
                <w:lang w:val="en-US" w:eastAsia="en-US"/>
              </w:rPr>
            </w:pPr>
            <w:r>
              <w:rPr>
                <w:rFonts w:hint="default"/>
                <w:color w:val="auto"/>
                <w:lang w:val="en-US" w:eastAsia="en-US"/>
              </w:rPr>
              <w:t>NMHC</w:t>
            </w:r>
          </w:p>
        </w:tc>
        <w:tc>
          <w:tcPr>
            <w:tcW w:w="601" w:type="pct"/>
            <w:tcBorders>
              <w:top w:val="single" w:color="000000" w:sz="4" w:space="0"/>
              <w:bottom w:val="single" w:color="000000" w:sz="4" w:space="0"/>
            </w:tcBorders>
            <w:noWrap w:val="0"/>
            <w:vAlign w:val="center"/>
          </w:tcPr>
          <w:p w14:paraId="6F05EC42">
            <w:pPr>
              <w:pStyle w:val="30"/>
              <w:widowControl w:val="0"/>
              <w:bidi w:val="0"/>
              <w:rPr>
                <w:rFonts w:hint="default"/>
                <w:color w:val="auto"/>
                <w:lang w:val="en-US" w:eastAsia="en-US"/>
              </w:rPr>
            </w:pPr>
            <w:r>
              <w:rPr>
                <w:rFonts w:hint="default"/>
                <w:color w:val="auto"/>
                <w:lang w:val="en-US" w:eastAsia="en-US"/>
              </w:rPr>
              <w:t>6</w:t>
            </w:r>
          </w:p>
        </w:tc>
        <w:tc>
          <w:tcPr>
            <w:tcW w:w="1509" w:type="pct"/>
            <w:tcBorders>
              <w:top w:val="single" w:color="000000" w:sz="4" w:space="0"/>
              <w:bottom w:val="single" w:color="000000" w:sz="4" w:space="0"/>
            </w:tcBorders>
            <w:noWrap w:val="0"/>
            <w:vAlign w:val="center"/>
          </w:tcPr>
          <w:p w14:paraId="7B2837D1">
            <w:pPr>
              <w:pStyle w:val="30"/>
              <w:widowControl w:val="0"/>
              <w:bidi w:val="0"/>
              <w:rPr>
                <w:rFonts w:hint="default"/>
                <w:color w:val="auto"/>
                <w:lang w:val="en-US" w:eastAsia="en-US"/>
              </w:rPr>
            </w:pPr>
            <w:r>
              <w:rPr>
                <w:rFonts w:hint="default"/>
                <w:color w:val="auto"/>
                <w:lang w:val="en-US" w:eastAsia="en-US"/>
              </w:rPr>
              <w:t>监控点处1h平均浓度值</w:t>
            </w:r>
          </w:p>
        </w:tc>
        <w:tc>
          <w:tcPr>
            <w:tcW w:w="735" w:type="pct"/>
            <w:vMerge w:val="restart"/>
            <w:tcBorders>
              <w:top w:val="single" w:color="000000" w:sz="4" w:space="0"/>
              <w:bottom w:val="single" w:color="000000" w:sz="4" w:space="0"/>
            </w:tcBorders>
            <w:noWrap w:val="0"/>
            <w:vAlign w:val="center"/>
          </w:tcPr>
          <w:p w14:paraId="07A9EDEC">
            <w:pPr>
              <w:pStyle w:val="30"/>
              <w:widowControl w:val="0"/>
              <w:bidi w:val="0"/>
              <w:rPr>
                <w:rFonts w:hint="default"/>
                <w:color w:val="auto"/>
                <w:lang w:val="en-US" w:eastAsia="en-US"/>
              </w:rPr>
            </w:pPr>
            <w:r>
              <w:rPr>
                <w:rFonts w:hint="default"/>
                <w:color w:val="auto"/>
                <w:lang w:val="en-US" w:eastAsia="en-US"/>
              </w:rPr>
              <w:t>在厂房外设置监控点</w:t>
            </w:r>
          </w:p>
        </w:tc>
        <w:tc>
          <w:tcPr>
            <w:tcW w:w="1621" w:type="pct"/>
            <w:vMerge w:val="restart"/>
            <w:tcBorders>
              <w:top w:val="single" w:color="000000" w:sz="4" w:space="0"/>
              <w:bottom w:val="single" w:color="000000" w:sz="4" w:space="0"/>
            </w:tcBorders>
            <w:noWrap w:val="0"/>
            <w:vAlign w:val="center"/>
          </w:tcPr>
          <w:p w14:paraId="6E3ADA8F">
            <w:pPr>
              <w:pStyle w:val="30"/>
              <w:widowControl w:val="0"/>
              <w:bidi w:val="0"/>
              <w:rPr>
                <w:rFonts w:hint="default"/>
                <w:color w:val="auto"/>
                <w:lang w:val="en-US" w:eastAsia="en-US"/>
              </w:rPr>
            </w:pPr>
            <w:r>
              <w:rPr>
                <w:rFonts w:hint="default"/>
                <w:color w:val="auto"/>
                <w:lang w:val="en-US" w:eastAsia="en-US"/>
              </w:rPr>
              <w:t>《挥发性有机物无组织排放控制标准》（GB37822-2019）</w:t>
            </w:r>
          </w:p>
        </w:tc>
      </w:tr>
      <w:tr w14:paraId="2F51FD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532" w:type="pct"/>
            <w:vMerge w:val="continue"/>
            <w:tcBorders>
              <w:top w:val="single" w:color="000000" w:sz="4" w:space="0"/>
              <w:bottom w:val="single" w:color="000000" w:sz="4" w:space="0"/>
            </w:tcBorders>
            <w:noWrap w:val="0"/>
            <w:vAlign w:val="center"/>
          </w:tcPr>
          <w:p w14:paraId="195FEC69">
            <w:pPr>
              <w:pStyle w:val="30"/>
              <w:widowControl w:val="0"/>
              <w:bidi w:val="0"/>
              <w:rPr>
                <w:rFonts w:hint="default"/>
                <w:color w:val="auto"/>
                <w:lang w:val="en-US" w:eastAsia="en-US"/>
              </w:rPr>
            </w:pPr>
          </w:p>
        </w:tc>
        <w:tc>
          <w:tcPr>
            <w:tcW w:w="601" w:type="pct"/>
            <w:tcBorders>
              <w:top w:val="single" w:color="000000" w:sz="4" w:space="0"/>
              <w:bottom w:val="single" w:color="000000" w:sz="4" w:space="0"/>
            </w:tcBorders>
            <w:noWrap w:val="0"/>
            <w:vAlign w:val="center"/>
          </w:tcPr>
          <w:p w14:paraId="3747B12D">
            <w:pPr>
              <w:pStyle w:val="30"/>
              <w:widowControl w:val="0"/>
              <w:bidi w:val="0"/>
              <w:rPr>
                <w:rFonts w:hint="default"/>
                <w:color w:val="auto"/>
                <w:lang w:val="en-US" w:eastAsia="en-US"/>
              </w:rPr>
            </w:pPr>
            <w:r>
              <w:rPr>
                <w:rFonts w:hint="default"/>
                <w:color w:val="auto"/>
                <w:lang w:val="en-US" w:eastAsia="en-US"/>
              </w:rPr>
              <w:t>20</w:t>
            </w:r>
          </w:p>
        </w:tc>
        <w:tc>
          <w:tcPr>
            <w:tcW w:w="1509" w:type="pct"/>
            <w:tcBorders>
              <w:top w:val="single" w:color="000000" w:sz="4" w:space="0"/>
              <w:bottom w:val="single" w:color="000000" w:sz="4" w:space="0"/>
            </w:tcBorders>
            <w:noWrap w:val="0"/>
            <w:vAlign w:val="center"/>
          </w:tcPr>
          <w:p w14:paraId="0157948E">
            <w:pPr>
              <w:pStyle w:val="30"/>
              <w:widowControl w:val="0"/>
              <w:bidi w:val="0"/>
              <w:rPr>
                <w:rFonts w:hint="default"/>
                <w:color w:val="auto"/>
                <w:lang w:val="en-US" w:eastAsia="en-US"/>
              </w:rPr>
            </w:pPr>
            <w:r>
              <w:rPr>
                <w:rFonts w:hint="default"/>
                <w:color w:val="auto"/>
                <w:lang w:val="en-US" w:eastAsia="en-US"/>
              </w:rPr>
              <w:t>监控点处任意一次浓度值</w:t>
            </w:r>
          </w:p>
        </w:tc>
        <w:tc>
          <w:tcPr>
            <w:tcW w:w="735" w:type="pct"/>
            <w:vMerge w:val="continue"/>
            <w:tcBorders>
              <w:top w:val="single" w:color="000000" w:sz="4" w:space="0"/>
              <w:bottom w:val="single" w:color="000000" w:sz="4" w:space="0"/>
            </w:tcBorders>
            <w:noWrap w:val="0"/>
            <w:vAlign w:val="center"/>
          </w:tcPr>
          <w:p w14:paraId="7DC902C8">
            <w:pPr>
              <w:pStyle w:val="30"/>
              <w:widowControl w:val="0"/>
              <w:bidi w:val="0"/>
              <w:rPr>
                <w:rFonts w:hint="default"/>
                <w:color w:val="auto"/>
                <w:lang w:val="en-US" w:eastAsia="en-US"/>
              </w:rPr>
            </w:pPr>
          </w:p>
        </w:tc>
        <w:tc>
          <w:tcPr>
            <w:tcW w:w="1621" w:type="pct"/>
            <w:vMerge w:val="continue"/>
            <w:tcBorders>
              <w:top w:val="single" w:color="000000" w:sz="4" w:space="0"/>
              <w:bottom w:val="single" w:color="000000" w:sz="4" w:space="0"/>
            </w:tcBorders>
            <w:noWrap w:val="0"/>
            <w:vAlign w:val="center"/>
          </w:tcPr>
          <w:p w14:paraId="0EC47C97">
            <w:pPr>
              <w:pStyle w:val="30"/>
              <w:widowControl w:val="0"/>
              <w:bidi w:val="0"/>
              <w:rPr>
                <w:rFonts w:hint="default"/>
                <w:color w:val="auto"/>
                <w:lang w:val="en-US" w:eastAsia="en-US"/>
              </w:rPr>
            </w:pPr>
          </w:p>
        </w:tc>
      </w:tr>
    </w:tbl>
    <w:p w14:paraId="4A42FC64">
      <w:pPr>
        <w:bidi w:val="0"/>
        <w:ind w:firstLine="480" w:firstLineChars="200"/>
        <w:rPr>
          <w:color w:val="auto"/>
        </w:rPr>
      </w:pPr>
      <w:r>
        <w:rPr>
          <w:color w:val="auto"/>
        </w:rPr>
        <w:t>（2）废水排放标准</w:t>
      </w:r>
    </w:p>
    <w:p w14:paraId="1BA242DA">
      <w:pPr>
        <w:bidi w:val="0"/>
        <w:ind w:firstLine="480" w:firstLineChars="200"/>
        <w:rPr>
          <w:color w:val="auto"/>
        </w:rPr>
      </w:pPr>
      <w:r>
        <w:rPr>
          <w:rFonts w:hint="eastAsia"/>
          <w:color w:val="auto"/>
          <w:lang w:val="en-US" w:eastAsia="zh-CN"/>
        </w:rPr>
        <w:t>本次技改项目新增的废水主要为铝舟及周托清洗废水、激光划片废水、纯水制备浓水、废气治理设施废水</w:t>
      </w:r>
      <w:r>
        <w:rPr>
          <w:rFonts w:hint="eastAsia"/>
          <w:color w:val="auto"/>
        </w:rPr>
        <w:t>，废水污染物排放执行《电池工业污染物排放标准》（GB30484-2013）表2间接排放限值及合肥循环经济示范园第二污水处理厂接管标准要求。项目废水经处理达标后经市政污水管网排入合肥循环经济示范园第二污水处理厂集中处理，处理达标后排入店埠河。具体标准如下</w:t>
      </w:r>
      <w:r>
        <w:rPr>
          <w:rFonts w:hint="eastAsia"/>
          <w:color w:val="auto"/>
          <w:lang w:eastAsia="zh-CN"/>
        </w:rPr>
        <w:t>：</w:t>
      </w:r>
    </w:p>
    <w:p w14:paraId="6F98392E">
      <w:pPr>
        <w:bidi w:val="0"/>
        <w:jc w:val="center"/>
        <w:rPr>
          <w:b/>
          <w:bCs/>
        </w:rPr>
      </w:pPr>
      <w:r>
        <w:rPr>
          <w:b/>
          <w:bCs/>
        </w:rPr>
        <w:t>表2.3-</w:t>
      </w:r>
      <w:r>
        <w:rPr>
          <w:rFonts w:hint="eastAsia"/>
          <w:b/>
          <w:bCs/>
          <w:lang w:val="en-US" w:eastAsia="zh-CN"/>
        </w:rPr>
        <w:t>9 废水污染物</w:t>
      </w:r>
      <w:r>
        <w:rPr>
          <w:b/>
          <w:bCs/>
        </w:rPr>
        <w:t>排放标准</w:t>
      </w:r>
    </w:p>
    <w:tbl>
      <w:tblPr>
        <w:tblStyle w:val="1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2"/>
        <w:gridCol w:w="2393"/>
        <w:gridCol w:w="2393"/>
        <w:gridCol w:w="2393"/>
      </w:tblGrid>
      <w:tr w14:paraId="1B9E5E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2335" w:type="dxa"/>
            <w:vMerge w:val="restart"/>
            <w:vAlign w:val="center"/>
          </w:tcPr>
          <w:p w14:paraId="61E6B687">
            <w:pPr>
              <w:pStyle w:val="30"/>
              <w:widowControl w:val="0"/>
              <w:bidi w:val="0"/>
              <w:rPr>
                <w:rFonts w:hint="default"/>
                <w:b/>
                <w:bCs/>
                <w:color w:val="auto"/>
                <w:lang w:val="en-US" w:eastAsia="zh-CN"/>
              </w:rPr>
            </w:pPr>
            <w:r>
              <w:rPr>
                <w:rFonts w:hint="eastAsia"/>
                <w:b/>
                <w:bCs/>
                <w:color w:val="auto"/>
                <w:lang w:val="en-US" w:eastAsia="zh-CN"/>
              </w:rPr>
              <w:t>废水类别</w:t>
            </w:r>
          </w:p>
        </w:tc>
        <w:tc>
          <w:tcPr>
            <w:tcW w:w="2336" w:type="dxa"/>
            <w:vMerge w:val="restart"/>
            <w:vAlign w:val="center"/>
          </w:tcPr>
          <w:p w14:paraId="6479B937">
            <w:pPr>
              <w:pStyle w:val="30"/>
              <w:widowControl w:val="0"/>
              <w:bidi w:val="0"/>
              <w:rPr>
                <w:rFonts w:hint="default" w:eastAsia="宋体"/>
                <w:b/>
                <w:bCs/>
                <w:color w:val="auto"/>
                <w:lang w:val="en-US" w:eastAsia="zh-CN"/>
              </w:rPr>
            </w:pPr>
            <w:r>
              <w:rPr>
                <w:rFonts w:hint="eastAsia"/>
                <w:b/>
                <w:bCs/>
                <w:color w:val="auto"/>
                <w:lang w:val="en-US" w:eastAsia="zh-CN"/>
              </w:rPr>
              <w:t>《电池工业污染物排放标准》（GB30484-2013）表2间接排放限值</w:t>
            </w:r>
          </w:p>
        </w:tc>
        <w:tc>
          <w:tcPr>
            <w:tcW w:w="4672" w:type="dxa"/>
            <w:gridSpan w:val="2"/>
            <w:vAlign w:val="center"/>
          </w:tcPr>
          <w:p w14:paraId="397521C8">
            <w:pPr>
              <w:pStyle w:val="30"/>
              <w:widowControl w:val="0"/>
              <w:bidi w:val="0"/>
              <w:rPr>
                <w:rFonts w:hint="default" w:eastAsia="宋体"/>
                <w:b/>
                <w:bCs/>
                <w:color w:val="auto"/>
                <w:lang w:val="en-US" w:eastAsia="zh-CN"/>
              </w:rPr>
            </w:pPr>
            <w:r>
              <w:rPr>
                <w:rFonts w:hint="eastAsia"/>
                <w:b/>
                <w:bCs/>
                <w:color w:val="auto"/>
                <w:lang w:val="en-US" w:eastAsia="zh-CN"/>
              </w:rPr>
              <w:t>合肥循环经济示范园第二污水处理厂</w:t>
            </w:r>
          </w:p>
        </w:tc>
      </w:tr>
      <w:tr w14:paraId="63347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2335" w:type="dxa"/>
            <w:vMerge w:val="continue"/>
            <w:vAlign w:val="center"/>
          </w:tcPr>
          <w:p w14:paraId="2501E128">
            <w:pPr>
              <w:pStyle w:val="30"/>
              <w:widowControl w:val="0"/>
              <w:bidi w:val="0"/>
              <w:rPr>
                <w:b/>
                <w:bCs/>
                <w:color w:val="auto"/>
              </w:rPr>
            </w:pPr>
          </w:p>
        </w:tc>
        <w:tc>
          <w:tcPr>
            <w:tcW w:w="2336" w:type="dxa"/>
            <w:vMerge w:val="continue"/>
            <w:vAlign w:val="center"/>
          </w:tcPr>
          <w:p w14:paraId="1CCE1F4C">
            <w:pPr>
              <w:pStyle w:val="30"/>
              <w:widowControl w:val="0"/>
              <w:bidi w:val="0"/>
              <w:rPr>
                <w:b/>
                <w:bCs/>
                <w:color w:val="auto"/>
              </w:rPr>
            </w:pPr>
          </w:p>
        </w:tc>
        <w:tc>
          <w:tcPr>
            <w:tcW w:w="2336" w:type="dxa"/>
            <w:vAlign w:val="center"/>
          </w:tcPr>
          <w:p w14:paraId="5B0317D3">
            <w:pPr>
              <w:pStyle w:val="30"/>
              <w:widowControl w:val="0"/>
              <w:bidi w:val="0"/>
              <w:rPr>
                <w:rFonts w:hint="default" w:eastAsia="宋体"/>
                <w:b/>
                <w:bCs/>
                <w:color w:val="auto"/>
                <w:lang w:val="en-US" w:eastAsia="zh-CN"/>
              </w:rPr>
            </w:pPr>
            <w:r>
              <w:rPr>
                <w:rFonts w:hint="eastAsia"/>
                <w:b/>
                <w:bCs/>
                <w:color w:val="auto"/>
                <w:lang w:val="en-US" w:eastAsia="zh-CN"/>
              </w:rPr>
              <w:t>接管标准</w:t>
            </w:r>
          </w:p>
        </w:tc>
        <w:tc>
          <w:tcPr>
            <w:tcW w:w="2336" w:type="dxa"/>
            <w:vAlign w:val="center"/>
          </w:tcPr>
          <w:p w14:paraId="37E2569A">
            <w:pPr>
              <w:pStyle w:val="30"/>
              <w:widowControl w:val="0"/>
              <w:bidi w:val="0"/>
              <w:rPr>
                <w:rFonts w:hint="eastAsia" w:eastAsia="宋体"/>
                <w:b/>
                <w:bCs/>
                <w:color w:val="auto"/>
                <w:lang w:val="en-US" w:eastAsia="zh-CN"/>
              </w:rPr>
            </w:pPr>
            <w:r>
              <w:rPr>
                <w:rFonts w:hint="eastAsia"/>
                <w:b/>
                <w:bCs/>
                <w:color w:val="auto"/>
                <w:lang w:val="en-US" w:eastAsia="zh-CN"/>
              </w:rPr>
              <w:t>排放标准</w:t>
            </w:r>
          </w:p>
        </w:tc>
      </w:tr>
      <w:tr w14:paraId="7665A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713D93F2">
            <w:pPr>
              <w:pStyle w:val="30"/>
              <w:widowControl w:val="0"/>
              <w:bidi w:val="0"/>
              <w:rPr>
                <w:rFonts w:hint="default" w:eastAsia="宋体"/>
                <w:color w:val="auto"/>
                <w:lang w:val="en-US" w:eastAsia="zh-CN"/>
              </w:rPr>
            </w:pPr>
            <w:r>
              <w:rPr>
                <w:rFonts w:hint="eastAsia"/>
                <w:color w:val="auto"/>
                <w:lang w:val="en-US" w:eastAsia="zh-CN"/>
              </w:rPr>
              <w:t>pH</w:t>
            </w:r>
          </w:p>
        </w:tc>
        <w:tc>
          <w:tcPr>
            <w:tcW w:w="2336" w:type="dxa"/>
            <w:vAlign w:val="center"/>
          </w:tcPr>
          <w:p w14:paraId="3EAF35E4">
            <w:pPr>
              <w:pStyle w:val="30"/>
              <w:widowControl w:val="0"/>
              <w:bidi w:val="0"/>
              <w:rPr>
                <w:rFonts w:hint="default" w:eastAsia="宋体"/>
                <w:color w:val="auto"/>
                <w:lang w:val="en-US" w:eastAsia="zh-CN"/>
              </w:rPr>
            </w:pPr>
            <w:r>
              <w:rPr>
                <w:rFonts w:hint="eastAsia"/>
                <w:color w:val="auto"/>
                <w:lang w:val="en-US" w:eastAsia="zh-CN"/>
              </w:rPr>
              <w:t>6-9</w:t>
            </w:r>
          </w:p>
        </w:tc>
        <w:tc>
          <w:tcPr>
            <w:tcW w:w="2336" w:type="dxa"/>
            <w:vAlign w:val="center"/>
          </w:tcPr>
          <w:p w14:paraId="3714788F">
            <w:pPr>
              <w:pStyle w:val="30"/>
              <w:widowControl w:val="0"/>
              <w:bidi w:val="0"/>
              <w:rPr>
                <w:color w:val="auto"/>
              </w:rPr>
            </w:pPr>
            <w:r>
              <w:rPr>
                <w:rFonts w:hint="eastAsia"/>
                <w:color w:val="auto"/>
                <w:lang w:val="en-US" w:eastAsia="zh-CN"/>
              </w:rPr>
              <w:t>6-9</w:t>
            </w:r>
          </w:p>
        </w:tc>
        <w:tc>
          <w:tcPr>
            <w:tcW w:w="2336" w:type="dxa"/>
            <w:vAlign w:val="center"/>
          </w:tcPr>
          <w:p w14:paraId="65863768">
            <w:pPr>
              <w:pStyle w:val="30"/>
              <w:widowControl w:val="0"/>
              <w:bidi w:val="0"/>
              <w:rPr>
                <w:color w:val="auto"/>
              </w:rPr>
            </w:pPr>
            <w:r>
              <w:rPr>
                <w:rFonts w:hint="eastAsia"/>
                <w:color w:val="auto"/>
                <w:lang w:val="en-US" w:eastAsia="zh-CN"/>
              </w:rPr>
              <w:t>6-9</w:t>
            </w:r>
          </w:p>
        </w:tc>
      </w:tr>
      <w:tr w14:paraId="71ECE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386A1056">
            <w:pPr>
              <w:pStyle w:val="30"/>
              <w:widowControl w:val="0"/>
              <w:bidi w:val="0"/>
              <w:rPr>
                <w:rFonts w:hint="default" w:eastAsia="宋体"/>
                <w:color w:val="auto"/>
                <w:lang w:val="en-US" w:eastAsia="zh-CN"/>
              </w:rPr>
            </w:pPr>
            <w:r>
              <w:rPr>
                <w:rFonts w:hint="eastAsia"/>
                <w:color w:val="auto"/>
                <w:lang w:val="en-US" w:eastAsia="zh-CN"/>
              </w:rPr>
              <w:t>COD</w:t>
            </w:r>
            <w:r>
              <w:rPr>
                <w:rFonts w:hint="eastAsia"/>
                <w:color w:val="auto"/>
                <w:vertAlign w:val="subscript"/>
                <w:lang w:val="en-US" w:eastAsia="zh-CN"/>
              </w:rPr>
              <w:t>Cr</w:t>
            </w:r>
          </w:p>
        </w:tc>
        <w:tc>
          <w:tcPr>
            <w:tcW w:w="2336" w:type="dxa"/>
            <w:vAlign w:val="center"/>
          </w:tcPr>
          <w:p w14:paraId="054FFF31">
            <w:pPr>
              <w:pStyle w:val="30"/>
              <w:widowControl w:val="0"/>
              <w:bidi w:val="0"/>
              <w:rPr>
                <w:rFonts w:hint="default" w:eastAsia="宋体"/>
                <w:color w:val="auto"/>
                <w:lang w:val="en-US" w:eastAsia="zh-CN"/>
              </w:rPr>
            </w:pPr>
            <w:r>
              <w:rPr>
                <w:rFonts w:hint="eastAsia"/>
                <w:color w:val="auto"/>
                <w:lang w:val="en-US" w:eastAsia="zh-CN"/>
              </w:rPr>
              <w:t>150</w:t>
            </w:r>
          </w:p>
        </w:tc>
        <w:tc>
          <w:tcPr>
            <w:tcW w:w="2336" w:type="dxa"/>
            <w:vAlign w:val="center"/>
          </w:tcPr>
          <w:p w14:paraId="328A6119">
            <w:pPr>
              <w:pStyle w:val="30"/>
              <w:widowControl w:val="0"/>
              <w:bidi w:val="0"/>
              <w:rPr>
                <w:rFonts w:hint="default" w:eastAsia="宋体"/>
                <w:color w:val="auto"/>
                <w:lang w:val="en-US" w:eastAsia="zh-CN"/>
              </w:rPr>
            </w:pPr>
            <w:r>
              <w:rPr>
                <w:rFonts w:hint="eastAsia"/>
                <w:color w:val="auto"/>
                <w:lang w:val="en-US" w:eastAsia="zh-CN"/>
              </w:rPr>
              <w:t>150</w:t>
            </w:r>
          </w:p>
        </w:tc>
        <w:tc>
          <w:tcPr>
            <w:tcW w:w="2336" w:type="dxa"/>
            <w:vAlign w:val="center"/>
          </w:tcPr>
          <w:p w14:paraId="1AD22AFD">
            <w:pPr>
              <w:pStyle w:val="30"/>
              <w:widowControl w:val="0"/>
              <w:bidi w:val="0"/>
              <w:rPr>
                <w:rFonts w:hint="default" w:eastAsia="宋体"/>
                <w:color w:val="auto"/>
                <w:lang w:val="en-US" w:eastAsia="zh-CN"/>
              </w:rPr>
            </w:pPr>
            <w:r>
              <w:rPr>
                <w:rFonts w:hint="eastAsia"/>
                <w:color w:val="auto"/>
                <w:lang w:val="en-US" w:eastAsia="zh-CN"/>
              </w:rPr>
              <w:t>150</w:t>
            </w:r>
          </w:p>
        </w:tc>
      </w:tr>
      <w:tr w14:paraId="0DC71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5B01D34E">
            <w:pPr>
              <w:pStyle w:val="30"/>
              <w:widowControl w:val="0"/>
              <w:bidi w:val="0"/>
              <w:rPr>
                <w:rFonts w:hint="default" w:eastAsia="宋体"/>
                <w:color w:val="auto"/>
                <w:lang w:val="en-US" w:eastAsia="zh-CN"/>
              </w:rPr>
            </w:pPr>
            <w:r>
              <w:rPr>
                <w:rFonts w:hint="eastAsia"/>
                <w:color w:val="auto"/>
                <w:lang w:val="en-US" w:eastAsia="zh-CN"/>
              </w:rPr>
              <w:t>BOD</w:t>
            </w:r>
            <w:r>
              <w:rPr>
                <w:rFonts w:hint="eastAsia"/>
                <w:color w:val="auto"/>
                <w:vertAlign w:val="subscript"/>
                <w:lang w:val="en-US" w:eastAsia="zh-CN"/>
              </w:rPr>
              <w:t>5</w:t>
            </w:r>
          </w:p>
        </w:tc>
        <w:tc>
          <w:tcPr>
            <w:tcW w:w="2336" w:type="dxa"/>
            <w:vAlign w:val="center"/>
          </w:tcPr>
          <w:p w14:paraId="5E644151">
            <w:pPr>
              <w:pStyle w:val="30"/>
              <w:widowControl w:val="0"/>
              <w:bidi w:val="0"/>
              <w:rPr>
                <w:rFonts w:hint="eastAsia" w:eastAsia="宋体"/>
                <w:color w:val="auto"/>
                <w:lang w:val="en-US" w:eastAsia="zh-CN"/>
              </w:rPr>
            </w:pPr>
            <w:r>
              <w:rPr>
                <w:rFonts w:hint="eastAsia"/>
                <w:color w:val="auto"/>
                <w:lang w:val="en-US" w:eastAsia="zh-CN"/>
              </w:rPr>
              <w:t>/</w:t>
            </w:r>
          </w:p>
        </w:tc>
        <w:tc>
          <w:tcPr>
            <w:tcW w:w="2336" w:type="dxa"/>
            <w:vAlign w:val="center"/>
          </w:tcPr>
          <w:p w14:paraId="07F36F00">
            <w:pPr>
              <w:pStyle w:val="30"/>
              <w:widowControl w:val="0"/>
              <w:bidi w:val="0"/>
              <w:rPr>
                <w:rFonts w:hint="eastAsia" w:eastAsia="宋体"/>
                <w:color w:val="auto"/>
                <w:lang w:val="en-US" w:eastAsia="zh-CN"/>
              </w:rPr>
            </w:pPr>
            <w:r>
              <w:rPr>
                <w:rFonts w:hint="eastAsia"/>
                <w:color w:val="auto"/>
                <w:lang w:val="en-US" w:eastAsia="zh-CN"/>
              </w:rPr>
              <w:t>/</w:t>
            </w:r>
          </w:p>
        </w:tc>
        <w:tc>
          <w:tcPr>
            <w:tcW w:w="2336" w:type="dxa"/>
            <w:vAlign w:val="center"/>
          </w:tcPr>
          <w:p w14:paraId="1AD997A7">
            <w:pPr>
              <w:pStyle w:val="30"/>
              <w:widowControl w:val="0"/>
              <w:bidi w:val="0"/>
              <w:rPr>
                <w:rFonts w:hint="default" w:eastAsia="宋体"/>
                <w:color w:val="auto"/>
                <w:lang w:val="en-US" w:eastAsia="zh-CN"/>
              </w:rPr>
            </w:pPr>
            <w:r>
              <w:rPr>
                <w:rFonts w:hint="eastAsia"/>
                <w:color w:val="auto"/>
                <w:lang w:val="en-US" w:eastAsia="zh-CN"/>
              </w:rPr>
              <w:t>10</w:t>
            </w:r>
          </w:p>
        </w:tc>
      </w:tr>
      <w:tr w14:paraId="3496B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67B14E57">
            <w:pPr>
              <w:pStyle w:val="30"/>
              <w:widowControl w:val="0"/>
              <w:bidi w:val="0"/>
              <w:rPr>
                <w:rFonts w:hint="default" w:eastAsia="宋体"/>
                <w:color w:val="auto"/>
                <w:lang w:val="en-US" w:eastAsia="zh-CN"/>
              </w:rPr>
            </w:pPr>
            <w:r>
              <w:rPr>
                <w:rFonts w:hint="eastAsia"/>
                <w:color w:val="auto"/>
                <w:lang w:val="en-US" w:eastAsia="zh-CN"/>
              </w:rPr>
              <w:t>氟化物</w:t>
            </w:r>
          </w:p>
        </w:tc>
        <w:tc>
          <w:tcPr>
            <w:tcW w:w="2336" w:type="dxa"/>
            <w:vAlign w:val="center"/>
          </w:tcPr>
          <w:p w14:paraId="20D724DD">
            <w:pPr>
              <w:pStyle w:val="30"/>
              <w:widowControl w:val="0"/>
              <w:bidi w:val="0"/>
              <w:rPr>
                <w:rFonts w:hint="eastAsia" w:eastAsia="宋体"/>
                <w:color w:val="auto"/>
                <w:lang w:val="en-US" w:eastAsia="zh-CN"/>
              </w:rPr>
            </w:pPr>
            <w:r>
              <w:rPr>
                <w:rFonts w:hint="eastAsia"/>
                <w:color w:val="auto"/>
                <w:lang w:val="en-US" w:eastAsia="zh-CN"/>
              </w:rPr>
              <w:t>8</w:t>
            </w:r>
          </w:p>
        </w:tc>
        <w:tc>
          <w:tcPr>
            <w:tcW w:w="2336" w:type="dxa"/>
            <w:vAlign w:val="center"/>
          </w:tcPr>
          <w:p w14:paraId="67BA6705">
            <w:pPr>
              <w:pStyle w:val="30"/>
              <w:widowControl w:val="0"/>
              <w:bidi w:val="0"/>
              <w:rPr>
                <w:rFonts w:hint="eastAsia" w:eastAsia="宋体"/>
                <w:color w:val="auto"/>
                <w:lang w:val="en-US" w:eastAsia="zh-CN"/>
              </w:rPr>
            </w:pPr>
            <w:r>
              <w:rPr>
                <w:rFonts w:hint="eastAsia"/>
                <w:color w:val="auto"/>
                <w:lang w:val="en-US" w:eastAsia="zh-CN"/>
              </w:rPr>
              <w:t>8</w:t>
            </w:r>
          </w:p>
        </w:tc>
        <w:tc>
          <w:tcPr>
            <w:tcW w:w="2336" w:type="dxa"/>
            <w:vAlign w:val="center"/>
          </w:tcPr>
          <w:p w14:paraId="734F5A83">
            <w:pPr>
              <w:pStyle w:val="30"/>
              <w:widowControl w:val="0"/>
              <w:bidi w:val="0"/>
              <w:rPr>
                <w:rFonts w:hint="eastAsia" w:eastAsia="宋体"/>
                <w:color w:val="auto"/>
                <w:lang w:val="en-US" w:eastAsia="zh-CN"/>
              </w:rPr>
            </w:pPr>
            <w:r>
              <w:rPr>
                <w:rFonts w:hint="eastAsia"/>
                <w:color w:val="auto"/>
                <w:lang w:val="en-US" w:eastAsia="zh-CN"/>
              </w:rPr>
              <w:t>1</w:t>
            </w:r>
          </w:p>
        </w:tc>
      </w:tr>
      <w:tr w14:paraId="64AFF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0E4BC94B">
            <w:pPr>
              <w:pStyle w:val="30"/>
              <w:widowControl w:val="0"/>
              <w:bidi w:val="0"/>
              <w:rPr>
                <w:rFonts w:hint="default" w:eastAsia="宋体"/>
                <w:color w:val="auto"/>
                <w:lang w:val="en-US" w:eastAsia="zh-CN"/>
              </w:rPr>
            </w:pPr>
            <w:r>
              <w:rPr>
                <w:rFonts w:hint="eastAsia"/>
                <w:color w:val="auto"/>
                <w:lang w:val="en-US" w:eastAsia="zh-CN"/>
              </w:rPr>
              <w:t>SS</w:t>
            </w:r>
          </w:p>
        </w:tc>
        <w:tc>
          <w:tcPr>
            <w:tcW w:w="2336" w:type="dxa"/>
            <w:vAlign w:val="center"/>
          </w:tcPr>
          <w:p w14:paraId="25E3918C">
            <w:pPr>
              <w:pStyle w:val="30"/>
              <w:widowControl w:val="0"/>
              <w:bidi w:val="0"/>
              <w:rPr>
                <w:rFonts w:hint="default" w:eastAsia="宋体"/>
                <w:color w:val="auto"/>
                <w:lang w:val="en-US" w:eastAsia="zh-CN"/>
              </w:rPr>
            </w:pPr>
            <w:r>
              <w:rPr>
                <w:rFonts w:hint="eastAsia"/>
                <w:color w:val="auto"/>
                <w:lang w:val="en-US" w:eastAsia="zh-CN"/>
              </w:rPr>
              <w:t>140</w:t>
            </w:r>
          </w:p>
        </w:tc>
        <w:tc>
          <w:tcPr>
            <w:tcW w:w="2336" w:type="dxa"/>
            <w:vAlign w:val="center"/>
          </w:tcPr>
          <w:p w14:paraId="2B9399B1">
            <w:pPr>
              <w:pStyle w:val="30"/>
              <w:widowControl w:val="0"/>
              <w:bidi w:val="0"/>
              <w:rPr>
                <w:rFonts w:hint="default" w:eastAsia="宋体"/>
                <w:color w:val="auto"/>
                <w:lang w:val="en-US" w:eastAsia="zh-CN"/>
              </w:rPr>
            </w:pPr>
            <w:r>
              <w:rPr>
                <w:rFonts w:hint="eastAsia"/>
                <w:color w:val="auto"/>
                <w:lang w:val="en-US" w:eastAsia="zh-CN"/>
              </w:rPr>
              <w:t>140</w:t>
            </w:r>
          </w:p>
        </w:tc>
        <w:tc>
          <w:tcPr>
            <w:tcW w:w="2336" w:type="dxa"/>
            <w:vAlign w:val="center"/>
          </w:tcPr>
          <w:p w14:paraId="335A4823">
            <w:pPr>
              <w:pStyle w:val="30"/>
              <w:widowControl w:val="0"/>
              <w:bidi w:val="0"/>
              <w:rPr>
                <w:rFonts w:hint="default" w:eastAsia="宋体"/>
                <w:color w:val="auto"/>
                <w:lang w:val="en-US" w:eastAsia="zh-CN"/>
              </w:rPr>
            </w:pPr>
            <w:r>
              <w:rPr>
                <w:rFonts w:hint="eastAsia"/>
                <w:color w:val="auto"/>
                <w:lang w:val="en-US" w:eastAsia="zh-CN"/>
              </w:rPr>
              <w:t>10</w:t>
            </w:r>
          </w:p>
        </w:tc>
      </w:tr>
      <w:tr w14:paraId="32710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10AF0E75">
            <w:pPr>
              <w:pStyle w:val="30"/>
              <w:widowControl w:val="0"/>
              <w:bidi w:val="0"/>
              <w:rPr>
                <w:rFonts w:hint="default" w:eastAsia="宋体"/>
                <w:color w:val="auto"/>
                <w:lang w:val="en-US" w:eastAsia="zh-CN"/>
              </w:rPr>
            </w:pPr>
            <w:r>
              <w:rPr>
                <w:rFonts w:hint="eastAsia"/>
                <w:color w:val="auto"/>
                <w:lang w:val="en-US" w:eastAsia="zh-CN"/>
              </w:rPr>
              <w:t>总磷</w:t>
            </w:r>
          </w:p>
        </w:tc>
        <w:tc>
          <w:tcPr>
            <w:tcW w:w="2336" w:type="dxa"/>
            <w:vAlign w:val="center"/>
          </w:tcPr>
          <w:p w14:paraId="672A9AD8">
            <w:pPr>
              <w:pStyle w:val="30"/>
              <w:widowControl w:val="0"/>
              <w:bidi w:val="0"/>
              <w:rPr>
                <w:rFonts w:hint="default" w:eastAsia="宋体"/>
                <w:color w:val="auto"/>
                <w:lang w:val="en-US" w:eastAsia="zh-CN"/>
              </w:rPr>
            </w:pPr>
            <w:r>
              <w:rPr>
                <w:rFonts w:hint="eastAsia"/>
                <w:color w:val="auto"/>
                <w:lang w:val="en-US" w:eastAsia="zh-CN"/>
              </w:rPr>
              <w:t>2</w:t>
            </w:r>
          </w:p>
        </w:tc>
        <w:tc>
          <w:tcPr>
            <w:tcW w:w="2336" w:type="dxa"/>
            <w:vAlign w:val="center"/>
          </w:tcPr>
          <w:p w14:paraId="163E548A">
            <w:pPr>
              <w:pStyle w:val="30"/>
              <w:widowControl w:val="0"/>
              <w:bidi w:val="0"/>
              <w:rPr>
                <w:rFonts w:hint="eastAsia" w:eastAsia="宋体"/>
                <w:color w:val="auto"/>
                <w:lang w:val="en-US" w:eastAsia="zh-CN"/>
              </w:rPr>
            </w:pPr>
            <w:r>
              <w:rPr>
                <w:rFonts w:hint="eastAsia"/>
                <w:color w:val="auto"/>
                <w:lang w:val="en-US" w:eastAsia="zh-CN"/>
              </w:rPr>
              <w:t>2</w:t>
            </w:r>
          </w:p>
        </w:tc>
        <w:tc>
          <w:tcPr>
            <w:tcW w:w="2336" w:type="dxa"/>
            <w:vAlign w:val="center"/>
          </w:tcPr>
          <w:p w14:paraId="0ABF37C6">
            <w:pPr>
              <w:pStyle w:val="30"/>
              <w:widowControl w:val="0"/>
              <w:bidi w:val="0"/>
              <w:rPr>
                <w:rFonts w:hint="default" w:eastAsia="宋体"/>
                <w:color w:val="auto"/>
                <w:lang w:val="en-US" w:eastAsia="zh-CN"/>
              </w:rPr>
            </w:pPr>
            <w:r>
              <w:rPr>
                <w:rFonts w:hint="eastAsia"/>
                <w:color w:val="auto"/>
                <w:lang w:val="en-US" w:eastAsia="zh-CN"/>
              </w:rPr>
              <w:t>0.5</w:t>
            </w:r>
          </w:p>
        </w:tc>
      </w:tr>
      <w:tr w14:paraId="1FA80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3D83187D">
            <w:pPr>
              <w:pStyle w:val="30"/>
              <w:widowControl w:val="0"/>
              <w:bidi w:val="0"/>
              <w:rPr>
                <w:rFonts w:hint="default" w:eastAsia="宋体"/>
                <w:color w:val="auto"/>
                <w:lang w:val="en-US" w:eastAsia="zh-CN"/>
              </w:rPr>
            </w:pPr>
            <w:r>
              <w:rPr>
                <w:rFonts w:hint="eastAsia"/>
                <w:color w:val="auto"/>
                <w:lang w:val="en-US" w:eastAsia="zh-CN"/>
              </w:rPr>
              <w:t>NH</w:t>
            </w:r>
            <w:r>
              <w:rPr>
                <w:rFonts w:hint="eastAsia"/>
                <w:color w:val="auto"/>
                <w:vertAlign w:val="subscript"/>
                <w:lang w:val="en-US" w:eastAsia="zh-CN"/>
              </w:rPr>
              <w:t>3</w:t>
            </w:r>
            <w:r>
              <w:rPr>
                <w:rFonts w:hint="eastAsia"/>
                <w:color w:val="auto"/>
                <w:lang w:val="en-US" w:eastAsia="zh-CN"/>
              </w:rPr>
              <w:t>-N</w:t>
            </w:r>
          </w:p>
        </w:tc>
        <w:tc>
          <w:tcPr>
            <w:tcW w:w="2336" w:type="dxa"/>
            <w:vAlign w:val="center"/>
          </w:tcPr>
          <w:p w14:paraId="3470E514">
            <w:pPr>
              <w:pStyle w:val="30"/>
              <w:widowControl w:val="0"/>
              <w:bidi w:val="0"/>
              <w:rPr>
                <w:rFonts w:hint="default" w:eastAsia="宋体"/>
                <w:color w:val="auto"/>
                <w:lang w:val="en-US" w:eastAsia="zh-CN"/>
              </w:rPr>
            </w:pPr>
            <w:r>
              <w:rPr>
                <w:rFonts w:hint="eastAsia"/>
                <w:color w:val="auto"/>
                <w:lang w:val="en-US" w:eastAsia="zh-CN"/>
              </w:rPr>
              <w:t>30</w:t>
            </w:r>
          </w:p>
        </w:tc>
        <w:tc>
          <w:tcPr>
            <w:tcW w:w="2336" w:type="dxa"/>
            <w:vAlign w:val="center"/>
          </w:tcPr>
          <w:p w14:paraId="1ABCA6E9">
            <w:pPr>
              <w:pStyle w:val="30"/>
              <w:widowControl w:val="0"/>
              <w:bidi w:val="0"/>
              <w:rPr>
                <w:rFonts w:hint="default" w:eastAsia="宋体"/>
                <w:color w:val="auto"/>
                <w:lang w:val="en-US" w:eastAsia="zh-CN"/>
              </w:rPr>
            </w:pPr>
            <w:r>
              <w:rPr>
                <w:rFonts w:hint="eastAsia"/>
                <w:color w:val="auto"/>
                <w:lang w:val="en-US" w:eastAsia="zh-CN"/>
              </w:rPr>
              <w:t>30</w:t>
            </w:r>
          </w:p>
        </w:tc>
        <w:tc>
          <w:tcPr>
            <w:tcW w:w="2336" w:type="dxa"/>
            <w:vAlign w:val="center"/>
          </w:tcPr>
          <w:p w14:paraId="631BC141">
            <w:pPr>
              <w:pStyle w:val="30"/>
              <w:widowControl w:val="0"/>
              <w:bidi w:val="0"/>
              <w:rPr>
                <w:rFonts w:hint="eastAsia" w:eastAsia="宋体"/>
                <w:color w:val="auto"/>
                <w:lang w:val="en-US" w:eastAsia="zh-CN"/>
              </w:rPr>
            </w:pPr>
            <w:r>
              <w:rPr>
                <w:rFonts w:hint="eastAsia"/>
                <w:color w:val="auto"/>
                <w:lang w:val="en-US" w:eastAsia="zh-CN"/>
              </w:rPr>
              <w:t>5</w:t>
            </w:r>
          </w:p>
        </w:tc>
      </w:tr>
      <w:tr w14:paraId="5CF7E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0B5C1747">
            <w:pPr>
              <w:pStyle w:val="30"/>
              <w:widowControl w:val="0"/>
              <w:bidi w:val="0"/>
              <w:rPr>
                <w:rFonts w:hint="default" w:eastAsia="宋体"/>
                <w:color w:val="auto"/>
                <w:lang w:val="en-US" w:eastAsia="zh-CN"/>
              </w:rPr>
            </w:pPr>
            <w:r>
              <w:rPr>
                <w:rFonts w:hint="eastAsia"/>
                <w:color w:val="auto"/>
                <w:lang w:val="en-US" w:eastAsia="zh-CN"/>
              </w:rPr>
              <w:t>总氮</w:t>
            </w:r>
          </w:p>
        </w:tc>
        <w:tc>
          <w:tcPr>
            <w:tcW w:w="2336" w:type="dxa"/>
            <w:vAlign w:val="center"/>
          </w:tcPr>
          <w:p w14:paraId="15331980">
            <w:pPr>
              <w:pStyle w:val="30"/>
              <w:widowControl w:val="0"/>
              <w:bidi w:val="0"/>
              <w:rPr>
                <w:rFonts w:hint="default" w:eastAsia="宋体"/>
                <w:color w:val="auto"/>
                <w:lang w:val="en-US" w:eastAsia="zh-CN"/>
              </w:rPr>
            </w:pPr>
            <w:r>
              <w:rPr>
                <w:rFonts w:hint="eastAsia"/>
                <w:color w:val="auto"/>
                <w:lang w:val="en-US" w:eastAsia="zh-CN"/>
              </w:rPr>
              <w:t>40</w:t>
            </w:r>
          </w:p>
        </w:tc>
        <w:tc>
          <w:tcPr>
            <w:tcW w:w="2336" w:type="dxa"/>
            <w:vAlign w:val="center"/>
          </w:tcPr>
          <w:p w14:paraId="260059BB">
            <w:pPr>
              <w:pStyle w:val="30"/>
              <w:widowControl w:val="0"/>
              <w:bidi w:val="0"/>
              <w:rPr>
                <w:rFonts w:hint="default" w:eastAsia="宋体"/>
                <w:color w:val="auto"/>
                <w:lang w:val="en-US" w:eastAsia="zh-CN"/>
              </w:rPr>
            </w:pPr>
            <w:r>
              <w:rPr>
                <w:rFonts w:hint="eastAsia"/>
                <w:color w:val="auto"/>
                <w:lang w:val="en-US" w:eastAsia="zh-CN"/>
              </w:rPr>
              <w:t>40</w:t>
            </w:r>
          </w:p>
        </w:tc>
        <w:tc>
          <w:tcPr>
            <w:tcW w:w="2336" w:type="dxa"/>
            <w:vAlign w:val="center"/>
          </w:tcPr>
          <w:p w14:paraId="52FE181A">
            <w:pPr>
              <w:pStyle w:val="30"/>
              <w:widowControl w:val="0"/>
              <w:bidi w:val="0"/>
              <w:rPr>
                <w:rFonts w:hint="default" w:eastAsia="宋体"/>
                <w:color w:val="auto"/>
                <w:lang w:val="en-US" w:eastAsia="zh-CN"/>
              </w:rPr>
            </w:pPr>
            <w:r>
              <w:rPr>
                <w:rFonts w:hint="eastAsia"/>
                <w:color w:val="auto"/>
                <w:lang w:val="en-US" w:eastAsia="zh-CN"/>
              </w:rPr>
              <w:t>15</w:t>
            </w:r>
          </w:p>
        </w:tc>
      </w:tr>
      <w:tr w14:paraId="395B3D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5" w:type="dxa"/>
            <w:vAlign w:val="center"/>
          </w:tcPr>
          <w:p w14:paraId="04A77971">
            <w:pPr>
              <w:pStyle w:val="30"/>
              <w:widowControl w:val="0"/>
              <w:bidi w:val="0"/>
              <w:rPr>
                <w:rFonts w:hint="default" w:eastAsia="宋体"/>
                <w:color w:val="auto"/>
                <w:lang w:val="en-US" w:eastAsia="zh-CN"/>
              </w:rPr>
            </w:pPr>
            <w:r>
              <w:rPr>
                <w:rFonts w:hint="eastAsia"/>
                <w:color w:val="auto"/>
                <w:lang w:val="en-US" w:eastAsia="zh-CN"/>
              </w:rPr>
              <w:t>TDS</w:t>
            </w:r>
          </w:p>
        </w:tc>
        <w:tc>
          <w:tcPr>
            <w:tcW w:w="2336" w:type="dxa"/>
            <w:vAlign w:val="center"/>
          </w:tcPr>
          <w:p w14:paraId="54650D00">
            <w:pPr>
              <w:pStyle w:val="30"/>
              <w:widowControl w:val="0"/>
              <w:bidi w:val="0"/>
              <w:rPr>
                <w:rFonts w:hint="eastAsia" w:eastAsia="宋体"/>
                <w:color w:val="auto"/>
                <w:lang w:val="en-US" w:eastAsia="zh-CN"/>
              </w:rPr>
            </w:pPr>
            <w:r>
              <w:rPr>
                <w:rFonts w:hint="eastAsia"/>
                <w:color w:val="auto"/>
                <w:lang w:val="en-US" w:eastAsia="zh-CN"/>
              </w:rPr>
              <w:t>/</w:t>
            </w:r>
          </w:p>
        </w:tc>
        <w:tc>
          <w:tcPr>
            <w:tcW w:w="2336" w:type="dxa"/>
            <w:vAlign w:val="center"/>
          </w:tcPr>
          <w:p w14:paraId="177C2844">
            <w:pPr>
              <w:pStyle w:val="30"/>
              <w:widowControl w:val="0"/>
              <w:bidi w:val="0"/>
              <w:rPr>
                <w:rFonts w:hint="default" w:eastAsia="宋体"/>
                <w:color w:val="auto"/>
                <w:lang w:val="en-US" w:eastAsia="zh-CN"/>
              </w:rPr>
            </w:pPr>
            <w:r>
              <w:rPr>
                <w:rFonts w:hint="eastAsia"/>
                <w:color w:val="auto"/>
                <w:lang w:val="en-US" w:eastAsia="zh-CN"/>
              </w:rPr>
              <w:t>8000</w:t>
            </w:r>
          </w:p>
        </w:tc>
        <w:tc>
          <w:tcPr>
            <w:tcW w:w="2336" w:type="dxa"/>
            <w:vAlign w:val="center"/>
          </w:tcPr>
          <w:p w14:paraId="6E8D4F91">
            <w:pPr>
              <w:pStyle w:val="30"/>
              <w:widowControl w:val="0"/>
              <w:bidi w:val="0"/>
              <w:rPr>
                <w:rFonts w:hint="eastAsia" w:eastAsia="宋体"/>
                <w:color w:val="auto"/>
                <w:lang w:val="en-US" w:eastAsia="zh-CN"/>
              </w:rPr>
            </w:pPr>
            <w:r>
              <w:rPr>
                <w:rFonts w:hint="eastAsia"/>
                <w:color w:val="auto"/>
                <w:lang w:val="en-US" w:eastAsia="zh-CN"/>
              </w:rPr>
              <w:t>/</w:t>
            </w:r>
          </w:p>
        </w:tc>
      </w:tr>
    </w:tbl>
    <w:p w14:paraId="6CAE0523">
      <w:pPr>
        <w:bidi w:val="0"/>
        <w:spacing w:line="240" w:lineRule="auto"/>
        <w:rPr>
          <w:b/>
          <w:bCs/>
          <w:sz w:val="21"/>
          <w:szCs w:val="21"/>
        </w:rPr>
      </w:pPr>
      <w:r>
        <w:rPr>
          <w:rFonts w:hint="eastAsia"/>
          <w:b/>
          <w:bCs/>
          <w:sz w:val="21"/>
          <w:szCs w:val="21"/>
          <w:lang w:val="en-US" w:eastAsia="zh-CN"/>
        </w:rPr>
        <w:t>注：单位产品基准排水量</w:t>
      </w:r>
      <w:r>
        <w:rPr>
          <w:rFonts w:hint="default"/>
          <w:b/>
          <w:bCs/>
          <w:sz w:val="21"/>
          <w:szCs w:val="21"/>
          <w:lang w:val="en-US" w:eastAsia="zh-CN"/>
        </w:rPr>
        <w:t>—</w:t>
      </w:r>
      <w:r>
        <w:rPr>
          <w:rFonts w:hint="eastAsia"/>
          <w:b/>
          <w:bCs/>
          <w:sz w:val="21"/>
          <w:szCs w:val="21"/>
          <w:lang w:val="en-US" w:eastAsia="zh-CN"/>
        </w:rPr>
        <w:t>太阳能电池</w:t>
      </w:r>
      <w:r>
        <w:rPr>
          <w:rFonts w:hint="default"/>
          <w:b/>
          <w:bCs/>
          <w:sz w:val="21"/>
          <w:szCs w:val="21"/>
          <w:lang w:val="en-US" w:eastAsia="zh-CN"/>
        </w:rPr>
        <w:t>—</w:t>
      </w:r>
      <w:r>
        <w:rPr>
          <w:rFonts w:hint="eastAsia"/>
          <w:b/>
          <w:bCs/>
          <w:sz w:val="21"/>
          <w:szCs w:val="21"/>
          <w:lang w:val="en-US" w:eastAsia="zh-CN"/>
        </w:rPr>
        <w:t>电池制造</w:t>
      </w:r>
      <w:r>
        <w:rPr>
          <w:rFonts w:hint="default"/>
          <w:b/>
          <w:bCs/>
          <w:sz w:val="21"/>
          <w:szCs w:val="21"/>
          <w:lang w:val="en-US" w:eastAsia="zh-CN"/>
        </w:rPr>
        <w:t>—1.2m</w:t>
      </w:r>
      <w:r>
        <w:rPr>
          <w:rFonts w:hint="default"/>
          <w:b/>
          <w:bCs/>
          <w:sz w:val="21"/>
          <w:szCs w:val="21"/>
          <w:vertAlign w:val="superscript"/>
          <w:lang w:val="en-US" w:eastAsia="zh-CN"/>
        </w:rPr>
        <w:t>3</w:t>
      </w:r>
      <w:r>
        <w:rPr>
          <w:rFonts w:hint="default"/>
          <w:b/>
          <w:bCs/>
          <w:sz w:val="21"/>
          <w:szCs w:val="21"/>
          <w:lang w:val="en-US" w:eastAsia="zh-CN"/>
        </w:rPr>
        <w:t>/kW</w:t>
      </w:r>
      <w:r>
        <w:rPr>
          <w:rFonts w:hint="eastAsia"/>
          <w:b/>
          <w:bCs/>
          <w:sz w:val="21"/>
          <w:szCs w:val="21"/>
          <w:lang w:val="en-US" w:eastAsia="zh-CN"/>
        </w:rPr>
        <w:t>。</w:t>
      </w:r>
    </w:p>
    <w:p w14:paraId="5B49680B">
      <w:pPr>
        <w:bidi w:val="0"/>
        <w:ind w:firstLine="480" w:firstLineChars="200"/>
        <w:rPr>
          <w:color w:val="auto"/>
        </w:rPr>
      </w:pPr>
      <w:r>
        <w:rPr>
          <w:color w:val="auto"/>
        </w:rPr>
        <w:t>（3）噪声</w:t>
      </w:r>
    </w:p>
    <w:p w14:paraId="69027FEA">
      <w:pPr>
        <w:bidi w:val="0"/>
        <w:ind w:firstLine="480" w:firstLineChars="200"/>
        <w:rPr>
          <w:rFonts w:hint="eastAsia" w:eastAsia="宋体"/>
          <w:color w:val="auto"/>
          <w:lang w:eastAsia="zh-CN"/>
        </w:rPr>
      </w:pPr>
      <w:r>
        <w:rPr>
          <w:color w:val="auto"/>
        </w:rPr>
        <w:t>施工期厂界噪声执行《建筑施工场界环境噪声排放标准》（GB12523-20</w:t>
      </w:r>
      <w:r>
        <w:rPr>
          <w:rFonts w:hint="eastAsia"/>
          <w:color w:val="auto"/>
          <w:lang w:val="en-US" w:eastAsia="zh-CN"/>
        </w:rPr>
        <w:t>25</w:t>
      </w:r>
      <w:r>
        <w:rPr>
          <w:color w:val="auto"/>
        </w:rPr>
        <w:t>）中规定</w:t>
      </w:r>
      <w:r>
        <w:rPr>
          <w:rFonts w:hint="eastAsia"/>
          <w:color w:val="auto"/>
          <w:lang w:eastAsia="zh-CN"/>
        </w:rPr>
        <w:t>；</w:t>
      </w:r>
      <w:r>
        <w:rPr>
          <w:color w:val="auto"/>
        </w:rPr>
        <w:t>运营期厂界噪声执行《工业企业厂界环境噪声排放标准》（GB12348-2008）中3类标准，具体见下表</w:t>
      </w:r>
      <w:r>
        <w:rPr>
          <w:rFonts w:hint="eastAsia"/>
          <w:color w:val="auto"/>
          <w:lang w:eastAsia="zh-CN"/>
        </w:rPr>
        <w:t>。</w:t>
      </w:r>
    </w:p>
    <w:p w14:paraId="7461C26C">
      <w:pPr>
        <w:bidi w:val="0"/>
        <w:jc w:val="center"/>
        <w:rPr>
          <w:b/>
          <w:bCs/>
        </w:rPr>
      </w:pPr>
      <w:r>
        <w:rPr>
          <w:b/>
          <w:bCs/>
        </w:rPr>
        <w:t>表2.3-</w:t>
      </w:r>
      <w:r>
        <w:rPr>
          <w:rFonts w:hint="eastAsia"/>
          <w:b/>
          <w:bCs/>
          <w:lang w:val="en-US" w:eastAsia="zh-CN"/>
        </w:rPr>
        <w:t xml:space="preserve">10 </w:t>
      </w:r>
      <w:r>
        <w:rPr>
          <w:b/>
          <w:bCs/>
        </w:rPr>
        <w:t>噪声排放标准</w:t>
      </w:r>
    </w:p>
    <w:tbl>
      <w:tblPr>
        <w:tblStyle w:val="25"/>
        <w:tblW w:w="5003" w:type="pct"/>
        <w:tblInd w:w="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52"/>
        <w:gridCol w:w="971"/>
        <w:gridCol w:w="894"/>
        <w:gridCol w:w="6550"/>
      </w:tblGrid>
      <w:tr w14:paraId="605CE2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1" w:type="dxa"/>
            <w:vMerge w:val="restart"/>
            <w:tcBorders>
              <w:bottom w:val="nil"/>
            </w:tcBorders>
            <w:vAlign w:val="center"/>
          </w:tcPr>
          <w:p w14:paraId="50C709EA">
            <w:pPr>
              <w:pStyle w:val="30"/>
              <w:widowControl w:val="0"/>
              <w:bidi w:val="0"/>
              <w:rPr>
                <w:b/>
                <w:bCs/>
                <w:color w:val="auto"/>
                <w:lang w:val="en-US" w:eastAsia="en-US"/>
              </w:rPr>
            </w:pPr>
            <w:r>
              <w:rPr>
                <w:b/>
                <w:bCs/>
                <w:color w:val="auto"/>
                <w:lang w:val="en-US" w:eastAsia="en-US"/>
              </w:rPr>
              <w:t>阶段</w:t>
            </w:r>
          </w:p>
        </w:tc>
        <w:tc>
          <w:tcPr>
            <w:tcW w:w="1863" w:type="dxa"/>
            <w:gridSpan w:val="2"/>
            <w:vAlign w:val="center"/>
          </w:tcPr>
          <w:p w14:paraId="6F335FF3">
            <w:pPr>
              <w:pStyle w:val="30"/>
              <w:widowControl w:val="0"/>
              <w:bidi w:val="0"/>
              <w:rPr>
                <w:b/>
                <w:bCs/>
                <w:color w:val="auto"/>
                <w:lang w:val="en-US" w:eastAsia="en-US"/>
              </w:rPr>
            </w:pPr>
            <w:r>
              <w:rPr>
                <w:b/>
                <w:bCs/>
                <w:color w:val="auto"/>
                <w:lang w:val="en-US" w:eastAsia="en-US"/>
              </w:rPr>
              <w:t>标准值dB（A）</w:t>
            </w:r>
          </w:p>
        </w:tc>
        <w:tc>
          <w:tcPr>
            <w:tcW w:w="6547" w:type="dxa"/>
            <w:vMerge w:val="restart"/>
            <w:tcBorders>
              <w:bottom w:val="nil"/>
            </w:tcBorders>
            <w:vAlign w:val="center"/>
          </w:tcPr>
          <w:p w14:paraId="5CB568EF">
            <w:pPr>
              <w:pStyle w:val="30"/>
              <w:widowControl w:val="0"/>
              <w:bidi w:val="0"/>
              <w:rPr>
                <w:b/>
                <w:bCs/>
                <w:color w:val="auto"/>
                <w:lang w:val="en-US" w:eastAsia="en-US"/>
              </w:rPr>
            </w:pPr>
            <w:r>
              <w:rPr>
                <w:b/>
                <w:bCs/>
                <w:color w:val="auto"/>
                <w:lang w:val="en-US" w:eastAsia="en-US"/>
              </w:rPr>
              <w:t>标准来源</w:t>
            </w:r>
          </w:p>
        </w:tc>
      </w:tr>
      <w:tr w14:paraId="179A65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1" w:type="dxa"/>
            <w:vMerge w:val="continue"/>
            <w:tcBorders>
              <w:top w:val="nil"/>
            </w:tcBorders>
            <w:vAlign w:val="center"/>
          </w:tcPr>
          <w:p w14:paraId="18D993E6">
            <w:pPr>
              <w:pStyle w:val="30"/>
              <w:widowControl w:val="0"/>
              <w:bidi w:val="0"/>
              <w:rPr>
                <w:color w:val="auto"/>
                <w:lang w:val="en-US" w:eastAsia="en-US"/>
              </w:rPr>
            </w:pPr>
          </w:p>
        </w:tc>
        <w:tc>
          <w:tcPr>
            <w:tcW w:w="970" w:type="dxa"/>
            <w:vAlign w:val="center"/>
          </w:tcPr>
          <w:p w14:paraId="5554F6D0">
            <w:pPr>
              <w:pStyle w:val="30"/>
              <w:widowControl w:val="0"/>
              <w:bidi w:val="0"/>
              <w:rPr>
                <w:b/>
                <w:bCs/>
                <w:color w:val="auto"/>
                <w:lang w:val="en-US" w:eastAsia="en-US"/>
              </w:rPr>
            </w:pPr>
            <w:r>
              <w:rPr>
                <w:b/>
                <w:bCs/>
                <w:color w:val="auto"/>
                <w:lang w:val="en-US" w:eastAsia="en-US"/>
              </w:rPr>
              <w:t>昼间</w:t>
            </w:r>
          </w:p>
        </w:tc>
        <w:tc>
          <w:tcPr>
            <w:tcW w:w="893" w:type="dxa"/>
            <w:vAlign w:val="center"/>
          </w:tcPr>
          <w:p w14:paraId="6E66C135">
            <w:pPr>
              <w:pStyle w:val="30"/>
              <w:widowControl w:val="0"/>
              <w:bidi w:val="0"/>
              <w:rPr>
                <w:b/>
                <w:bCs/>
                <w:color w:val="auto"/>
                <w:lang w:val="en-US" w:eastAsia="en-US"/>
              </w:rPr>
            </w:pPr>
            <w:r>
              <w:rPr>
                <w:b/>
                <w:bCs/>
                <w:color w:val="auto"/>
                <w:lang w:val="en-US" w:eastAsia="en-US"/>
              </w:rPr>
              <w:t>夜间</w:t>
            </w:r>
          </w:p>
        </w:tc>
        <w:tc>
          <w:tcPr>
            <w:tcW w:w="6547" w:type="dxa"/>
            <w:vMerge w:val="continue"/>
            <w:tcBorders>
              <w:top w:val="nil"/>
            </w:tcBorders>
            <w:vAlign w:val="center"/>
          </w:tcPr>
          <w:p w14:paraId="7C502EF5">
            <w:pPr>
              <w:pStyle w:val="30"/>
              <w:widowControl w:val="0"/>
              <w:bidi w:val="0"/>
              <w:rPr>
                <w:color w:val="auto"/>
                <w:lang w:val="en-US" w:eastAsia="en-US"/>
              </w:rPr>
            </w:pPr>
          </w:p>
        </w:tc>
      </w:tr>
      <w:tr w14:paraId="3F4028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1" w:type="dxa"/>
            <w:vAlign w:val="center"/>
          </w:tcPr>
          <w:p w14:paraId="2A039DC1">
            <w:pPr>
              <w:pStyle w:val="30"/>
              <w:widowControl w:val="0"/>
              <w:bidi w:val="0"/>
              <w:rPr>
                <w:color w:val="auto"/>
                <w:lang w:val="en-US" w:eastAsia="en-US"/>
              </w:rPr>
            </w:pPr>
            <w:r>
              <w:rPr>
                <w:color w:val="auto"/>
                <w:lang w:val="en-US" w:eastAsia="en-US"/>
              </w:rPr>
              <w:t>施工期</w:t>
            </w:r>
          </w:p>
        </w:tc>
        <w:tc>
          <w:tcPr>
            <w:tcW w:w="970" w:type="dxa"/>
            <w:vAlign w:val="center"/>
          </w:tcPr>
          <w:p w14:paraId="34D005F2">
            <w:pPr>
              <w:pStyle w:val="30"/>
              <w:widowControl w:val="0"/>
              <w:bidi w:val="0"/>
              <w:rPr>
                <w:color w:val="auto"/>
                <w:lang w:val="en-US" w:eastAsia="en-US"/>
              </w:rPr>
            </w:pPr>
            <w:r>
              <w:rPr>
                <w:color w:val="auto"/>
                <w:lang w:val="en-US" w:eastAsia="en-US"/>
              </w:rPr>
              <w:t>70</w:t>
            </w:r>
          </w:p>
        </w:tc>
        <w:tc>
          <w:tcPr>
            <w:tcW w:w="893" w:type="dxa"/>
            <w:vAlign w:val="center"/>
          </w:tcPr>
          <w:p w14:paraId="60CA15F2">
            <w:pPr>
              <w:pStyle w:val="30"/>
              <w:widowControl w:val="0"/>
              <w:bidi w:val="0"/>
              <w:rPr>
                <w:color w:val="auto"/>
                <w:lang w:val="en-US" w:eastAsia="en-US"/>
              </w:rPr>
            </w:pPr>
            <w:r>
              <w:rPr>
                <w:color w:val="auto"/>
                <w:lang w:val="en-US" w:eastAsia="en-US"/>
              </w:rPr>
              <w:t>55</w:t>
            </w:r>
          </w:p>
        </w:tc>
        <w:tc>
          <w:tcPr>
            <w:tcW w:w="6547" w:type="dxa"/>
            <w:vAlign w:val="center"/>
          </w:tcPr>
          <w:p w14:paraId="0A3AF6A3">
            <w:pPr>
              <w:pStyle w:val="30"/>
              <w:widowControl w:val="0"/>
              <w:bidi w:val="0"/>
              <w:rPr>
                <w:color w:val="auto"/>
                <w:lang w:val="en-US" w:eastAsia="en-US"/>
              </w:rPr>
            </w:pPr>
            <w:r>
              <w:rPr>
                <w:color w:val="auto"/>
                <w:lang w:val="en-US" w:eastAsia="en-US"/>
              </w:rPr>
              <w:t>《建筑施工场界环境噪声排放标准》（GB12523-20</w:t>
            </w:r>
            <w:r>
              <w:rPr>
                <w:rFonts w:hint="eastAsia"/>
                <w:color w:val="auto"/>
                <w:lang w:val="en-US" w:eastAsia="en-US"/>
              </w:rPr>
              <w:t>25</w:t>
            </w:r>
            <w:r>
              <w:rPr>
                <w:color w:val="auto"/>
                <w:lang w:val="en-US" w:eastAsia="en-US"/>
              </w:rPr>
              <w:t>）</w:t>
            </w:r>
          </w:p>
        </w:tc>
      </w:tr>
      <w:tr w14:paraId="00EF50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51" w:type="dxa"/>
            <w:vAlign w:val="center"/>
          </w:tcPr>
          <w:p w14:paraId="5030A9BC">
            <w:pPr>
              <w:pStyle w:val="30"/>
              <w:widowControl w:val="0"/>
              <w:bidi w:val="0"/>
              <w:rPr>
                <w:color w:val="auto"/>
                <w:lang w:val="en-US" w:eastAsia="en-US"/>
              </w:rPr>
            </w:pPr>
            <w:r>
              <w:rPr>
                <w:color w:val="auto"/>
                <w:lang w:val="en-US" w:eastAsia="en-US"/>
              </w:rPr>
              <w:t>运营期</w:t>
            </w:r>
          </w:p>
        </w:tc>
        <w:tc>
          <w:tcPr>
            <w:tcW w:w="970" w:type="dxa"/>
            <w:vAlign w:val="center"/>
          </w:tcPr>
          <w:p w14:paraId="3F0D5284">
            <w:pPr>
              <w:pStyle w:val="30"/>
              <w:widowControl w:val="0"/>
              <w:bidi w:val="0"/>
              <w:rPr>
                <w:color w:val="auto"/>
                <w:lang w:val="en-US" w:eastAsia="en-US"/>
              </w:rPr>
            </w:pPr>
            <w:r>
              <w:rPr>
                <w:color w:val="auto"/>
                <w:lang w:val="en-US" w:eastAsia="en-US"/>
              </w:rPr>
              <w:t>65</w:t>
            </w:r>
          </w:p>
        </w:tc>
        <w:tc>
          <w:tcPr>
            <w:tcW w:w="893" w:type="dxa"/>
            <w:vAlign w:val="center"/>
          </w:tcPr>
          <w:p w14:paraId="4E7238FE">
            <w:pPr>
              <w:pStyle w:val="30"/>
              <w:widowControl w:val="0"/>
              <w:bidi w:val="0"/>
              <w:rPr>
                <w:color w:val="auto"/>
                <w:lang w:val="en-US" w:eastAsia="en-US"/>
              </w:rPr>
            </w:pPr>
            <w:r>
              <w:rPr>
                <w:color w:val="auto"/>
                <w:lang w:val="en-US" w:eastAsia="en-US"/>
              </w:rPr>
              <w:t>55</w:t>
            </w:r>
          </w:p>
        </w:tc>
        <w:tc>
          <w:tcPr>
            <w:tcW w:w="6547" w:type="dxa"/>
            <w:vAlign w:val="center"/>
          </w:tcPr>
          <w:p w14:paraId="7B27E292">
            <w:pPr>
              <w:pStyle w:val="30"/>
              <w:widowControl w:val="0"/>
              <w:bidi w:val="0"/>
              <w:rPr>
                <w:color w:val="auto"/>
                <w:lang w:val="en-US" w:eastAsia="en-US"/>
              </w:rPr>
            </w:pPr>
            <w:r>
              <w:rPr>
                <w:color w:val="auto"/>
                <w:lang w:val="en-US" w:eastAsia="en-US"/>
              </w:rPr>
              <w:t>《工业企业厂界环境噪声排放标准》（GB12348-2008）中3类标准</w:t>
            </w:r>
          </w:p>
        </w:tc>
      </w:tr>
    </w:tbl>
    <w:p w14:paraId="7A90CC50">
      <w:pPr>
        <w:bidi w:val="0"/>
        <w:ind w:firstLine="480" w:firstLineChars="200"/>
        <w:rPr>
          <w:color w:val="auto"/>
        </w:rPr>
      </w:pPr>
      <w:r>
        <w:rPr>
          <w:color w:val="auto"/>
        </w:rPr>
        <w:t>（4）固废</w:t>
      </w:r>
    </w:p>
    <w:p w14:paraId="65E84423">
      <w:pPr>
        <w:bidi w:val="0"/>
        <w:ind w:firstLine="480" w:firstLineChars="200"/>
        <w:rPr>
          <w:color w:val="auto"/>
        </w:rPr>
      </w:pPr>
      <w:r>
        <w:rPr>
          <w:color w:val="auto"/>
        </w:rPr>
        <w:t>项目危险废物贮存执行《危险废物贮存污染控制标准》（GB18597-2023）；一般工业固体废物贮存</w:t>
      </w:r>
      <w:r>
        <w:rPr>
          <w:rFonts w:hint="eastAsia"/>
          <w:color w:val="auto"/>
          <w:lang w:val="en-US" w:eastAsia="zh-CN"/>
        </w:rPr>
        <w:t>参照</w:t>
      </w:r>
      <w:r>
        <w:rPr>
          <w:color w:val="auto"/>
        </w:rPr>
        <w:t>执行《一般工业固体废物贮存和填埋污染控制标准》（GB18599-2020）要求。</w:t>
      </w:r>
    </w:p>
    <w:p w14:paraId="1AAA59B0">
      <w:pPr>
        <w:pStyle w:val="2"/>
        <w:bidi w:val="0"/>
        <w:rPr>
          <w:rFonts w:hint="eastAsia"/>
          <w:lang w:val="en-US" w:eastAsia="en-US"/>
        </w:rPr>
      </w:pPr>
      <w:bookmarkStart w:id="67" w:name="_Toc4763"/>
      <w:bookmarkStart w:id="68" w:name="_Toc28956"/>
      <w:bookmarkStart w:id="69" w:name="_Toc14628"/>
      <w:bookmarkStart w:id="70" w:name="_Toc28991"/>
      <w:r>
        <w:rPr>
          <w:rFonts w:hint="eastAsia"/>
          <w:lang w:val="en-US" w:eastAsia="en-US"/>
        </w:rPr>
        <w:t>2.4</w:t>
      </w:r>
      <w:r>
        <w:rPr>
          <w:rFonts w:hint="eastAsia"/>
          <w:lang w:val="en-US" w:eastAsia="zh-CN"/>
        </w:rPr>
        <w:t xml:space="preserve"> </w:t>
      </w:r>
      <w:bookmarkEnd w:id="67"/>
      <w:bookmarkEnd w:id="68"/>
      <w:bookmarkEnd w:id="69"/>
      <w:r>
        <w:rPr>
          <w:rFonts w:hint="eastAsia"/>
          <w:lang w:val="en-US" w:eastAsia="zh-CN"/>
        </w:rPr>
        <w:t>评价工作等级及评价重点</w:t>
      </w:r>
      <w:bookmarkEnd w:id="70"/>
    </w:p>
    <w:p w14:paraId="3808D84A">
      <w:pPr>
        <w:bidi w:val="0"/>
        <w:rPr>
          <w:rFonts w:hint="eastAsia"/>
          <w:b/>
          <w:bCs/>
          <w:lang w:val="en-US" w:eastAsia="en-US"/>
        </w:rPr>
      </w:pPr>
      <w:bookmarkStart w:id="71" w:name="_Toc30358"/>
      <w:bookmarkStart w:id="72" w:name="_Toc26799"/>
      <w:bookmarkStart w:id="73" w:name="_Toc15347"/>
      <w:r>
        <w:rPr>
          <w:rFonts w:hint="eastAsia"/>
          <w:b/>
          <w:bCs/>
          <w:lang w:val="en-US" w:eastAsia="en-US"/>
        </w:rPr>
        <w:t>2.4.1</w:t>
      </w:r>
      <w:r>
        <w:rPr>
          <w:rFonts w:hint="eastAsia"/>
          <w:b/>
          <w:bCs/>
          <w:lang w:val="en-US" w:eastAsia="zh-CN"/>
        </w:rPr>
        <w:t xml:space="preserve"> </w:t>
      </w:r>
      <w:r>
        <w:rPr>
          <w:rFonts w:hint="eastAsia"/>
          <w:b/>
          <w:bCs/>
          <w:lang w:val="en-US" w:eastAsia="en-US"/>
        </w:rPr>
        <w:t>评价等级</w:t>
      </w:r>
      <w:bookmarkEnd w:id="71"/>
      <w:bookmarkEnd w:id="72"/>
      <w:bookmarkEnd w:id="73"/>
    </w:p>
    <w:p w14:paraId="3C0C48A3">
      <w:pPr>
        <w:bidi w:val="0"/>
        <w:ind w:firstLine="480" w:firstLineChars="200"/>
        <w:rPr>
          <w:color w:val="auto"/>
        </w:rPr>
      </w:pPr>
      <w:r>
        <w:rPr>
          <w:rFonts w:hint="eastAsia"/>
          <w:color w:val="auto"/>
        </w:rPr>
        <w:t>（1）</w:t>
      </w:r>
      <w:r>
        <w:rPr>
          <w:color w:val="auto"/>
        </w:rPr>
        <w:t>大气环境</w:t>
      </w:r>
    </w:p>
    <w:p w14:paraId="11A90A02">
      <w:pPr>
        <w:bidi w:val="0"/>
        <w:ind w:firstLine="480" w:firstLineChars="200"/>
        <w:rPr>
          <w:color w:val="auto"/>
        </w:rPr>
      </w:pPr>
      <w:r>
        <w:rPr>
          <w:color w:val="auto"/>
        </w:rPr>
        <w:t>根据《环境影响评价技术导则 大气环境》（HJ2.2-2018）的要求，本次评价采用导则中推荐的估算模型ARESCREEN进行项目的评价等级和评价范围判定</w:t>
      </w:r>
      <w:r>
        <w:rPr>
          <w:rFonts w:hint="eastAsia"/>
          <w:color w:val="auto"/>
        </w:rPr>
        <w:t>，</w:t>
      </w:r>
      <w:r>
        <w:rPr>
          <w:color w:val="auto"/>
        </w:rPr>
        <w:t>结合项目的工程分析结果，选择正常排放的主要污染物及排放参数，计算各污染物的最大地面空气质量浓度占标率（Pmax）和最远影响距离（D10%），然后按评价工作分级判据进行评价等级和评价范围判定。</w:t>
      </w:r>
    </w:p>
    <w:p w14:paraId="697C62F5">
      <w:pPr>
        <w:bidi w:val="0"/>
        <w:ind w:firstLine="480" w:firstLineChars="200"/>
        <w:rPr>
          <w:color w:val="auto"/>
        </w:rPr>
      </w:pPr>
      <w:r>
        <w:rPr>
          <w:color w:val="auto"/>
        </w:rPr>
        <w:t>1、评价因子和评价标准筛选</w:t>
      </w:r>
    </w:p>
    <w:p w14:paraId="1C2C17ED">
      <w:pPr>
        <w:bidi w:val="0"/>
        <w:ind w:firstLine="480" w:firstLineChars="200"/>
        <w:rPr>
          <w:color w:val="auto"/>
        </w:rPr>
      </w:pPr>
      <w:r>
        <w:rPr>
          <w:color w:val="auto"/>
        </w:rPr>
        <w:t>根据项目的工程分析可知，本</w:t>
      </w:r>
      <w:r>
        <w:rPr>
          <w:rFonts w:hint="eastAsia"/>
          <w:color w:val="auto"/>
          <w:lang w:val="en-US" w:eastAsia="zh-CN"/>
        </w:rPr>
        <w:t>次技改</w:t>
      </w:r>
      <w:r>
        <w:rPr>
          <w:color w:val="auto"/>
        </w:rPr>
        <w:t>项目</w:t>
      </w:r>
      <w:r>
        <w:rPr>
          <w:rFonts w:hint="eastAsia"/>
          <w:color w:val="auto"/>
          <w:lang w:val="en-US" w:eastAsia="zh-CN"/>
        </w:rPr>
        <w:t>涉及</w:t>
      </w:r>
      <w:r>
        <w:rPr>
          <w:color w:val="auto"/>
        </w:rPr>
        <w:t>的主要废气污染物为</w:t>
      </w:r>
      <w:r>
        <w:rPr>
          <w:rFonts w:hint="eastAsia"/>
          <w:color w:val="auto"/>
        </w:rPr>
        <w:t>颗粒物</w:t>
      </w:r>
      <w:r>
        <w:rPr>
          <w:rFonts w:hint="eastAsia"/>
          <w:color w:val="auto"/>
          <w:lang w:val="en-US" w:eastAsia="zh-CN"/>
        </w:rPr>
        <w:t>和</w:t>
      </w:r>
      <w:r>
        <w:rPr>
          <w:color w:val="auto"/>
        </w:rPr>
        <w:t>非甲烷总烃，各评价因子对应评价标准详见表2.3-1。</w:t>
      </w:r>
    </w:p>
    <w:p w14:paraId="1DF61AC9">
      <w:pPr>
        <w:bidi w:val="0"/>
        <w:ind w:firstLine="480" w:firstLineChars="200"/>
        <w:rPr>
          <w:color w:val="auto"/>
        </w:rPr>
      </w:pPr>
      <w:r>
        <w:rPr>
          <w:color w:val="auto"/>
        </w:rPr>
        <w:t>2、估算模型参数筛选</w:t>
      </w:r>
    </w:p>
    <w:p w14:paraId="084C2AE7">
      <w:pPr>
        <w:bidi w:val="0"/>
        <w:ind w:firstLine="480" w:firstLineChars="200"/>
        <w:rPr>
          <w:color w:val="auto"/>
        </w:rPr>
      </w:pPr>
      <w:r>
        <w:rPr>
          <w:color w:val="auto"/>
        </w:rPr>
        <w:t>本项目位于</w:t>
      </w:r>
      <w:r>
        <w:rPr>
          <w:rFonts w:hint="default"/>
          <w:color w:val="auto"/>
        </w:rPr>
        <w:t>合肥循环经济示范园</w:t>
      </w:r>
      <w:r>
        <w:rPr>
          <w:color w:val="auto"/>
        </w:rPr>
        <w:t>内，根据项目的地理位置，</w:t>
      </w:r>
      <w:r>
        <w:rPr>
          <w:rFonts w:hint="eastAsia"/>
          <w:color w:val="auto"/>
        </w:rPr>
        <w:t>本次评价采用</w:t>
      </w:r>
      <w:r>
        <w:rPr>
          <w:color w:val="auto"/>
        </w:rPr>
        <w:t>项目区所在地</w:t>
      </w:r>
      <w:r>
        <w:rPr>
          <w:rFonts w:hint="eastAsia"/>
          <w:color w:val="auto"/>
          <w:lang w:val="en-US" w:eastAsia="zh-CN"/>
        </w:rPr>
        <w:t>肥东</w:t>
      </w:r>
      <w:r>
        <w:rPr>
          <w:color w:val="auto"/>
        </w:rPr>
        <w:t>气象站（站点编号：58</w:t>
      </w:r>
      <w:r>
        <w:rPr>
          <w:rFonts w:hint="eastAsia"/>
          <w:color w:val="auto"/>
          <w:lang w:val="en-US" w:eastAsia="zh-CN"/>
        </w:rPr>
        <w:t>323</w:t>
      </w:r>
      <w:r>
        <w:rPr>
          <w:color w:val="auto"/>
        </w:rPr>
        <w:t>，站点类型：一般站）近20年的地面气象数据。根据统计报告及项目情况，确定本项目估算模型参数详见下表：</w:t>
      </w:r>
    </w:p>
    <w:p w14:paraId="03094C28">
      <w:pPr>
        <w:bidi w:val="0"/>
        <w:jc w:val="center"/>
        <w:rPr>
          <w:b/>
          <w:bCs/>
          <w:color w:val="auto"/>
        </w:rPr>
      </w:pPr>
      <w:r>
        <w:rPr>
          <w:b/>
          <w:bCs/>
          <w:color w:val="auto"/>
        </w:rPr>
        <w:t>表2.</w:t>
      </w:r>
      <w:r>
        <w:rPr>
          <w:rFonts w:hint="eastAsia"/>
          <w:b/>
          <w:bCs/>
          <w:color w:val="auto"/>
          <w:lang w:val="en-US" w:eastAsia="zh-CN"/>
        </w:rPr>
        <w:t>4</w:t>
      </w:r>
      <w:r>
        <w:rPr>
          <w:b/>
          <w:bCs/>
          <w:color w:val="auto"/>
        </w:rPr>
        <w:t>.1</w:t>
      </w:r>
      <w:r>
        <w:rPr>
          <w:rFonts w:hint="eastAsia"/>
          <w:b/>
          <w:bCs/>
          <w:color w:val="auto"/>
          <w:lang w:val="en-US" w:eastAsia="zh-CN"/>
        </w:rPr>
        <w:t>-</w:t>
      </w:r>
      <w:r>
        <w:rPr>
          <w:b/>
          <w:bCs/>
          <w:color w:val="auto"/>
        </w:rPr>
        <w:t>1</w:t>
      </w:r>
      <w:r>
        <w:rPr>
          <w:rFonts w:hint="eastAsia"/>
          <w:b/>
          <w:bCs/>
          <w:color w:val="auto"/>
          <w:lang w:val="en-US" w:eastAsia="zh-CN"/>
        </w:rPr>
        <w:t xml:space="preserve"> </w:t>
      </w:r>
      <w:r>
        <w:rPr>
          <w:b/>
          <w:bCs/>
          <w:color w:val="auto"/>
        </w:rPr>
        <w:t>项目估算模型参数表</w:t>
      </w:r>
    </w:p>
    <w:tbl>
      <w:tblPr>
        <w:tblStyle w:val="1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088"/>
        <w:gridCol w:w="4810"/>
        <w:gridCol w:w="2467"/>
      </w:tblGrid>
      <w:tr w14:paraId="61B1B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blHeader/>
        </w:trPr>
        <w:tc>
          <w:tcPr>
            <w:tcW w:w="3683" w:type="pct"/>
            <w:gridSpan w:val="2"/>
            <w:vAlign w:val="center"/>
          </w:tcPr>
          <w:p w14:paraId="3C59DC6E">
            <w:pPr>
              <w:bidi w:val="0"/>
              <w:spacing w:line="240" w:lineRule="auto"/>
              <w:jc w:val="center"/>
              <w:rPr>
                <w:b/>
                <w:bCs/>
                <w:sz w:val="21"/>
                <w:szCs w:val="21"/>
              </w:rPr>
            </w:pPr>
            <w:r>
              <w:rPr>
                <w:b/>
                <w:bCs/>
                <w:sz w:val="21"/>
                <w:szCs w:val="21"/>
              </w:rPr>
              <w:t>参数</w:t>
            </w:r>
          </w:p>
        </w:tc>
        <w:tc>
          <w:tcPr>
            <w:tcW w:w="1317" w:type="pct"/>
            <w:vAlign w:val="center"/>
          </w:tcPr>
          <w:p w14:paraId="262EB4EC">
            <w:pPr>
              <w:bidi w:val="0"/>
              <w:spacing w:line="240" w:lineRule="auto"/>
              <w:jc w:val="center"/>
              <w:rPr>
                <w:b/>
                <w:bCs/>
                <w:sz w:val="21"/>
                <w:szCs w:val="21"/>
              </w:rPr>
            </w:pPr>
            <w:r>
              <w:rPr>
                <w:b/>
                <w:bCs/>
                <w:sz w:val="21"/>
                <w:szCs w:val="21"/>
              </w:rPr>
              <w:t>取值</w:t>
            </w:r>
          </w:p>
        </w:tc>
      </w:tr>
      <w:tr w14:paraId="0BAC6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restart"/>
            <w:vAlign w:val="center"/>
          </w:tcPr>
          <w:p w14:paraId="52ED3C7F">
            <w:pPr>
              <w:bidi w:val="0"/>
              <w:spacing w:line="240" w:lineRule="auto"/>
              <w:jc w:val="center"/>
              <w:rPr>
                <w:sz w:val="21"/>
                <w:szCs w:val="21"/>
              </w:rPr>
            </w:pPr>
            <w:r>
              <w:rPr>
                <w:sz w:val="21"/>
                <w:szCs w:val="21"/>
              </w:rPr>
              <w:t>城市/农村选项</w:t>
            </w:r>
          </w:p>
        </w:tc>
        <w:tc>
          <w:tcPr>
            <w:tcW w:w="2568" w:type="pct"/>
            <w:vAlign w:val="center"/>
          </w:tcPr>
          <w:p w14:paraId="4B935AB8">
            <w:pPr>
              <w:bidi w:val="0"/>
              <w:spacing w:line="240" w:lineRule="auto"/>
              <w:jc w:val="center"/>
              <w:rPr>
                <w:sz w:val="21"/>
                <w:szCs w:val="21"/>
              </w:rPr>
            </w:pPr>
            <w:r>
              <w:rPr>
                <w:sz w:val="21"/>
                <w:szCs w:val="21"/>
              </w:rPr>
              <w:t>城市/农村</w:t>
            </w:r>
          </w:p>
        </w:tc>
        <w:tc>
          <w:tcPr>
            <w:tcW w:w="1317" w:type="pct"/>
            <w:vAlign w:val="center"/>
          </w:tcPr>
          <w:p w14:paraId="3F670C88">
            <w:pPr>
              <w:bidi w:val="0"/>
              <w:spacing w:line="240" w:lineRule="auto"/>
              <w:jc w:val="center"/>
              <w:rPr>
                <w:sz w:val="21"/>
                <w:szCs w:val="21"/>
              </w:rPr>
            </w:pPr>
            <w:r>
              <w:rPr>
                <w:rFonts w:hint="eastAsia"/>
                <w:sz w:val="21"/>
                <w:szCs w:val="21"/>
              </w:rPr>
              <w:t>城市</w:t>
            </w:r>
          </w:p>
        </w:tc>
      </w:tr>
      <w:tr w14:paraId="29ADE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continue"/>
            <w:vAlign w:val="center"/>
          </w:tcPr>
          <w:p w14:paraId="3C1B2741">
            <w:pPr>
              <w:bidi w:val="0"/>
              <w:spacing w:line="240" w:lineRule="auto"/>
              <w:jc w:val="center"/>
              <w:rPr>
                <w:sz w:val="21"/>
                <w:szCs w:val="21"/>
              </w:rPr>
            </w:pPr>
          </w:p>
        </w:tc>
        <w:tc>
          <w:tcPr>
            <w:tcW w:w="2568" w:type="pct"/>
            <w:vAlign w:val="center"/>
          </w:tcPr>
          <w:p w14:paraId="36BC2800">
            <w:pPr>
              <w:bidi w:val="0"/>
              <w:spacing w:line="240" w:lineRule="auto"/>
              <w:jc w:val="center"/>
              <w:rPr>
                <w:sz w:val="21"/>
                <w:szCs w:val="21"/>
              </w:rPr>
            </w:pPr>
            <w:r>
              <w:rPr>
                <w:sz w:val="21"/>
                <w:szCs w:val="21"/>
              </w:rPr>
              <w:t>人口数（城市选项时）</w:t>
            </w:r>
          </w:p>
        </w:tc>
        <w:tc>
          <w:tcPr>
            <w:tcW w:w="1317" w:type="pct"/>
            <w:vAlign w:val="center"/>
          </w:tcPr>
          <w:p w14:paraId="73F659DC">
            <w:pPr>
              <w:bidi w:val="0"/>
              <w:spacing w:line="240" w:lineRule="auto"/>
              <w:jc w:val="center"/>
              <w:rPr>
                <w:sz w:val="21"/>
                <w:szCs w:val="21"/>
              </w:rPr>
            </w:pPr>
            <w:r>
              <w:rPr>
                <w:rFonts w:hint="eastAsia"/>
                <w:sz w:val="21"/>
                <w:szCs w:val="21"/>
                <w:lang w:val="en-US" w:eastAsia="zh-CN"/>
              </w:rPr>
              <w:t>91.6</w:t>
            </w:r>
            <w:r>
              <w:rPr>
                <w:rFonts w:hint="eastAsia"/>
                <w:sz w:val="21"/>
                <w:szCs w:val="21"/>
              </w:rPr>
              <w:t>万</w:t>
            </w:r>
          </w:p>
        </w:tc>
      </w:tr>
      <w:tr w14:paraId="24759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3683" w:type="pct"/>
            <w:gridSpan w:val="2"/>
            <w:vAlign w:val="center"/>
          </w:tcPr>
          <w:p w14:paraId="71A6AB4C">
            <w:pPr>
              <w:bidi w:val="0"/>
              <w:spacing w:line="240" w:lineRule="auto"/>
              <w:jc w:val="center"/>
              <w:rPr>
                <w:sz w:val="21"/>
                <w:szCs w:val="21"/>
              </w:rPr>
            </w:pPr>
            <w:r>
              <w:rPr>
                <w:sz w:val="21"/>
                <w:szCs w:val="21"/>
              </w:rPr>
              <w:t>最高环境温度（</w:t>
            </w:r>
            <w:r>
              <w:rPr>
                <w:rFonts w:hint="eastAsia"/>
                <w:sz w:val="21"/>
                <w:szCs w:val="21"/>
              </w:rPr>
              <w:t>℃</w:t>
            </w:r>
            <w:r>
              <w:rPr>
                <w:sz w:val="21"/>
                <w:szCs w:val="21"/>
              </w:rPr>
              <w:t>）</w:t>
            </w:r>
          </w:p>
        </w:tc>
        <w:tc>
          <w:tcPr>
            <w:tcW w:w="1317" w:type="pct"/>
            <w:vAlign w:val="center"/>
          </w:tcPr>
          <w:p w14:paraId="44250BBE">
            <w:pPr>
              <w:bidi w:val="0"/>
              <w:spacing w:line="240" w:lineRule="auto"/>
              <w:jc w:val="center"/>
              <w:rPr>
                <w:rFonts w:hint="eastAsia" w:eastAsia="宋体"/>
                <w:sz w:val="21"/>
                <w:szCs w:val="21"/>
                <w:lang w:eastAsia="zh-CN"/>
              </w:rPr>
            </w:pPr>
            <w:r>
              <w:rPr>
                <w:sz w:val="21"/>
                <w:szCs w:val="21"/>
              </w:rPr>
              <w:t>40.</w:t>
            </w:r>
            <w:r>
              <w:rPr>
                <w:rFonts w:hint="eastAsia"/>
                <w:sz w:val="21"/>
                <w:szCs w:val="21"/>
                <w:lang w:val="en-US" w:eastAsia="zh-CN"/>
              </w:rPr>
              <w:t>2</w:t>
            </w:r>
          </w:p>
        </w:tc>
      </w:tr>
      <w:tr w14:paraId="28388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3683" w:type="pct"/>
            <w:gridSpan w:val="2"/>
            <w:vAlign w:val="center"/>
          </w:tcPr>
          <w:p w14:paraId="13F51CFC">
            <w:pPr>
              <w:bidi w:val="0"/>
              <w:spacing w:line="240" w:lineRule="auto"/>
              <w:jc w:val="center"/>
              <w:rPr>
                <w:sz w:val="21"/>
                <w:szCs w:val="21"/>
              </w:rPr>
            </w:pPr>
            <w:r>
              <w:rPr>
                <w:sz w:val="21"/>
                <w:szCs w:val="21"/>
              </w:rPr>
              <w:t>最低环境温度（</w:t>
            </w:r>
            <w:r>
              <w:rPr>
                <w:rFonts w:hint="eastAsia"/>
                <w:sz w:val="21"/>
                <w:szCs w:val="21"/>
              </w:rPr>
              <w:t>℃</w:t>
            </w:r>
            <w:r>
              <w:rPr>
                <w:sz w:val="21"/>
                <w:szCs w:val="21"/>
              </w:rPr>
              <w:t>）</w:t>
            </w:r>
          </w:p>
        </w:tc>
        <w:tc>
          <w:tcPr>
            <w:tcW w:w="1317" w:type="pct"/>
            <w:vAlign w:val="center"/>
          </w:tcPr>
          <w:p w14:paraId="519EDB90">
            <w:pPr>
              <w:bidi w:val="0"/>
              <w:spacing w:line="240" w:lineRule="auto"/>
              <w:jc w:val="center"/>
              <w:rPr>
                <w:rFonts w:hint="eastAsia" w:eastAsia="宋体"/>
                <w:sz w:val="21"/>
                <w:szCs w:val="21"/>
                <w:lang w:eastAsia="zh-CN"/>
              </w:rPr>
            </w:pPr>
            <w:r>
              <w:rPr>
                <w:sz w:val="21"/>
                <w:szCs w:val="21"/>
              </w:rPr>
              <w:t>-13.</w:t>
            </w:r>
            <w:r>
              <w:rPr>
                <w:rFonts w:hint="eastAsia"/>
                <w:sz w:val="21"/>
                <w:szCs w:val="21"/>
                <w:lang w:val="en-US" w:eastAsia="zh-CN"/>
              </w:rPr>
              <w:t>0</w:t>
            </w:r>
          </w:p>
        </w:tc>
      </w:tr>
      <w:tr w14:paraId="2F590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3683" w:type="pct"/>
            <w:gridSpan w:val="2"/>
            <w:vAlign w:val="center"/>
          </w:tcPr>
          <w:p w14:paraId="03D702ED">
            <w:pPr>
              <w:bidi w:val="0"/>
              <w:spacing w:line="240" w:lineRule="auto"/>
              <w:jc w:val="center"/>
              <w:rPr>
                <w:sz w:val="21"/>
                <w:szCs w:val="21"/>
              </w:rPr>
            </w:pPr>
            <w:r>
              <w:rPr>
                <w:sz w:val="21"/>
                <w:szCs w:val="21"/>
              </w:rPr>
              <w:t>土地利用类型</w:t>
            </w:r>
          </w:p>
        </w:tc>
        <w:tc>
          <w:tcPr>
            <w:tcW w:w="1317" w:type="pct"/>
            <w:vAlign w:val="center"/>
          </w:tcPr>
          <w:p w14:paraId="08D99ED1">
            <w:pPr>
              <w:bidi w:val="0"/>
              <w:spacing w:line="240" w:lineRule="auto"/>
              <w:jc w:val="center"/>
              <w:rPr>
                <w:sz w:val="21"/>
                <w:szCs w:val="21"/>
              </w:rPr>
            </w:pPr>
            <w:r>
              <w:rPr>
                <w:rFonts w:hint="eastAsia"/>
                <w:sz w:val="21"/>
                <w:szCs w:val="21"/>
              </w:rPr>
              <w:t>城市</w:t>
            </w:r>
          </w:p>
        </w:tc>
      </w:tr>
      <w:tr w14:paraId="5B742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3683" w:type="pct"/>
            <w:gridSpan w:val="2"/>
            <w:vAlign w:val="center"/>
          </w:tcPr>
          <w:p w14:paraId="22D1F51C">
            <w:pPr>
              <w:bidi w:val="0"/>
              <w:spacing w:line="240" w:lineRule="auto"/>
              <w:jc w:val="center"/>
              <w:rPr>
                <w:sz w:val="21"/>
                <w:szCs w:val="21"/>
              </w:rPr>
            </w:pPr>
            <w:r>
              <w:rPr>
                <w:sz w:val="21"/>
                <w:szCs w:val="21"/>
              </w:rPr>
              <w:t>区域湿度条件</w:t>
            </w:r>
          </w:p>
        </w:tc>
        <w:tc>
          <w:tcPr>
            <w:tcW w:w="1317" w:type="pct"/>
            <w:vAlign w:val="center"/>
          </w:tcPr>
          <w:p w14:paraId="299E53A1">
            <w:pPr>
              <w:bidi w:val="0"/>
              <w:spacing w:line="240" w:lineRule="auto"/>
              <w:jc w:val="center"/>
              <w:rPr>
                <w:sz w:val="21"/>
                <w:szCs w:val="21"/>
              </w:rPr>
            </w:pPr>
            <w:r>
              <w:rPr>
                <w:rFonts w:hint="eastAsia"/>
                <w:sz w:val="21"/>
                <w:szCs w:val="21"/>
                <w:lang w:val="en-US" w:eastAsia="zh-CN"/>
              </w:rPr>
              <w:t>中等湿度</w:t>
            </w:r>
          </w:p>
        </w:tc>
      </w:tr>
      <w:tr w14:paraId="3B260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restart"/>
            <w:vAlign w:val="center"/>
          </w:tcPr>
          <w:p w14:paraId="05D00BA6">
            <w:pPr>
              <w:bidi w:val="0"/>
              <w:spacing w:line="240" w:lineRule="auto"/>
              <w:jc w:val="center"/>
              <w:rPr>
                <w:sz w:val="21"/>
                <w:szCs w:val="21"/>
              </w:rPr>
            </w:pPr>
            <w:r>
              <w:rPr>
                <w:sz w:val="21"/>
                <w:szCs w:val="21"/>
              </w:rPr>
              <w:t>是否考虑地形</w:t>
            </w:r>
          </w:p>
        </w:tc>
        <w:tc>
          <w:tcPr>
            <w:tcW w:w="2568" w:type="pct"/>
            <w:vAlign w:val="center"/>
          </w:tcPr>
          <w:p w14:paraId="774223FB">
            <w:pPr>
              <w:bidi w:val="0"/>
              <w:spacing w:line="240" w:lineRule="auto"/>
              <w:jc w:val="center"/>
              <w:rPr>
                <w:sz w:val="21"/>
                <w:szCs w:val="21"/>
              </w:rPr>
            </w:pPr>
            <w:r>
              <w:rPr>
                <w:sz w:val="21"/>
                <w:szCs w:val="21"/>
              </w:rPr>
              <w:t>考虑地形</w:t>
            </w:r>
          </w:p>
        </w:tc>
        <w:tc>
          <w:tcPr>
            <w:tcW w:w="1317" w:type="pct"/>
            <w:vAlign w:val="center"/>
          </w:tcPr>
          <w:p w14:paraId="649F12F7">
            <w:pPr>
              <w:bidi w:val="0"/>
              <w:spacing w:line="240" w:lineRule="auto"/>
              <w:jc w:val="center"/>
              <w:rPr>
                <w:rFonts w:hint="eastAsia"/>
                <w:sz w:val="21"/>
                <w:szCs w:val="21"/>
              </w:rPr>
            </w:pPr>
            <w:r>
              <w:rPr>
                <w:sz w:val="21"/>
                <w:szCs w:val="21"/>
              </w:rPr>
              <w:t>是√     否</w:t>
            </w:r>
          </w:p>
        </w:tc>
      </w:tr>
      <w:tr w14:paraId="68354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continue"/>
            <w:vAlign w:val="center"/>
          </w:tcPr>
          <w:p w14:paraId="6ED65408">
            <w:pPr>
              <w:bidi w:val="0"/>
              <w:spacing w:line="240" w:lineRule="auto"/>
              <w:jc w:val="center"/>
              <w:rPr>
                <w:sz w:val="21"/>
                <w:szCs w:val="21"/>
              </w:rPr>
            </w:pPr>
          </w:p>
        </w:tc>
        <w:tc>
          <w:tcPr>
            <w:tcW w:w="2568" w:type="pct"/>
            <w:vAlign w:val="center"/>
          </w:tcPr>
          <w:p w14:paraId="386266E2">
            <w:pPr>
              <w:bidi w:val="0"/>
              <w:spacing w:line="240" w:lineRule="auto"/>
              <w:jc w:val="center"/>
              <w:rPr>
                <w:sz w:val="21"/>
                <w:szCs w:val="21"/>
              </w:rPr>
            </w:pPr>
            <w:r>
              <w:rPr>
                <w:sz w:val="21"/>
                <w:szCs w:val="21"/>
              </w:rPr>
              <w:t>地形数据分辨率（m）</w:t>
            </w:r>
          </w:p>
        </w:tc>
        <w:tc>
          <w:tcPr>
            <w:tcW w:w="1317" w:type="pct"/>
            <w:vAlign w:val="center"/>
          </w:tcPr>
          <w:p w14:paraId="68215BF2">
            <w:pPr>
              <w:bidi w:val="0"/>
              <w:spacing w:line="240" w:lineRule="auto"/>
              <w:jc w:val="center"/>
              <w:rPr>
                <w:sz w:val="21"/>
                <w:szCs w:val="21"/>
              </w:rPr>
            </w:pPr>
            <w:r>
              <w:rPr>
                <w:sz w:val="21"/>
                <w:szCs w:val="21"/>
              </w:rPr>
              <w:t>90m</w:t>
            </w:r>
          </w:p>
        </w:tc>
      </w:tr>
      <w:tr w14:paraId="42F83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restart"/>
            <w:vAlign w:val="center"/>
          </w:tcPr>
          <w:p w14:paraId="313FED97">
            <w:pPr>
              <w:bidi w:val="0"/>
              <w:spacing w:line="240" w:lineRule="auto"/>
              <w:jc w:val="center"/>
              <w:rPr>
                <w:sz w:val="21"/>
                <w:szCs w:val="21"/>
              </w:rPr>
            </w:pPr>
            <w:r>
              <w:rPr>
                <w:sz w:val="21"/>
                <w:szCs w:val="21"/>
              </w:rPr>
              <w:t>是否考虑岸线熏烟</w:t>
            </w:r>
          </w:p>
        </w:tc>
        <w:tc>
          <w:tcPr>
            <w:tcW w:w="2568" w:type="pct"/>
            <w:vAlign w:val="center"/>
          </w:tcPr>
          <w:p w14:paraId="31AF68FC">
            <w:pPr>
              <w:bidi w:val="0"/>
              <w:spacing w:line="240" w:lineRule="auto"/>
              <w:jc w:val="center"/>
              <w:rPr>
                <w:sz w:val="21"/>
                <w:szCs w:val="21"/>
              </w:rPr>
            </w:pPr>
            <w:r>
              <w:rPr>
                <w:sz w:val="21"/>
                <w:szCs w:val="21"/>
              </w:rPr>
              <w:t>考虑岸线熏烟</w:t>
            </w:r>
          </w:p>
        </w:tc>
        <w:tc>
          <w:tcPr>
            <w:tcW w:w="1317" w:type="pct"/>
            <w:vAlign w:val="center"/>
          </w:tcPr>
          <w:p w14:paraId="66783DD5">
            <w:pPr>
              <w:bidi w:val="0"/>
              <w:spacing w:line="240" w:lineRule="auto"/>
              <w:jc w:val="center"/>
              <w:rPr>
                <w:rFonts w:hint="eastAsia"/>
                <w:sz w:val="21"/>
                <w:szCs w:val="21"/>
              </w:rPr>
            </w:pPr>
            <w:r>
              <w:rPr>
                <w:sz w:val="21"/>
                <w:szCs w:val="21"/>
              </w:rPr>
              <w:t>是      否√</w:t>
            </w:r>
          </w:p>
        </w:tc>
      </w:tr>
      <w:tr w14:paraId="228984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continue"/>
            <w:vAlign w:val="center"/>
          </w:tcPr>
          <w:p w14:paraId="4C993CE8">
            <w:pPr>
              <w:bidi w:val="0"/>
              <w:spacing w:line="240" w:lineRule="auto"/>
              <w:jc w:val="center"/>
              <w:rPr>
                <w:sz w:val="21"/>
                <w:szCs w:val="21"/>
              </w:rPr>
            </w:pPr>
          </w:p>
        </w:tc>
        <w:tc>
          <w:tcPr>
            <w:tcW w:w="2568" w:type="pct"/>
            <w:vAlign w:val="center"/>
          </w:tcPr>
          <w:p w14:paraId="42D96846">
            <w:pPr>
              <w:bidi w:val="0"/>
              <w:spacing w:line="240" w:lineRule="auto"/>
              <w:jc w:val="center"/>
              <w:rPr>
                <w:sz w:val="21"/>
                <w:szCs w:val="21"/>
              </w:rPr>
            </w:pPr>
            <w:r>
              <w:rPr>
                <w:sz w:val="21"/>
                <w:szCs w:val="21"/>
              </w:rPr>
              <w:t>岸线距离（km）</w:t>
            </w:r>
          </w:p>
        </w:tc>
        <w:tc>
          <w:tcPr>
            <w:tcW w:w="1317" w:type="pct"/>
            <w:vAlign w:val="center"/>
          </w:tcPr>
          <w:p w14:paraId="07FD0A2F">
            <w:pPr>
              <w:bidi w:val="0"/>
              <w:spacing w:line="240" w:lineRule="auto"/>
              <w:jc w:val="center"/>
              <w:rPr>
                <w:sz w:val="21"/>
                <w:szCs w:val="21"/>
              </w:rPr>
            </w:pPr>
            <w:r>
              <w:rPr>
                <w:sz w:val="21"/>
                <w:szCs w:val="21"/>
              </w:rPr>
              <w:t>/</w:t>
            </w:r>
          </w:p>
        </w:tc>
      </w:tr>
      <w:tr w14:paraId="707A2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rPr>
        <w:tc>
          <w:tcPr>
            <w:tcW w:w="1115" w:type="pct"/>
            <w:vMerge w:val="continue"/>
            <w:vAlign w:val="center"/>
          </w:tcPr>
          <w:p w14:paraId="57138105">
            <w:pPr>
              <w:bidi w:val="0"/>
              <w:spacing w:line="240" w:lineRule="auto"/>
              <w:jc w:val="center"/>
              <w:rPr>
                <w:sz w:val="21"/>
                <w:szCs w:val="21"/>
              </w:rPr>
            </w:pPr>
          </w:p>
        </w:tc>
        <w:tc>
          <w:tcPr>
            <w:tcW w:w="2568" w:type="pct"/>
            <w:vAlign w:val="center"/>
          </w:tcPr>
          <w:p w14:paraId="486B3F61">
            <w:pPr>
              <w:bidi w:val="0"/>
              <w:spacing w:line="240" w:lineRule="auto"/>
              <w:jc w:val="center"/>
              <w:rPr>
                <w:sz w:val="21"/>
                <w:szCs w:val="21"/>
              </w:rPr>
            </w:pPr>
            <w:r>
              <w:rPr>
                <w:sz w:val="21"/>
                <w:szCs w:val="21"/>
              </w:rPr>
              <w:t>岸线方向</w:t>
            </w:r>
            <w:r>
              <w:rPr>
                <w:rFonts w:hint="eastAsia"/>
                <w:sz w:val="21"/>
                <w:szCs w:val="21"/>
                <w:lang w:eastAsia="zh-CN"/>
              </w:rPr>
              <w:t>（</w:t>
            </w:r>
            <w:r>
              <w:rPr>
                <w:sz w:val="21"/>
                <w:szCs w:val="21"/>
              </w:rPr>
              <w:t>°</w:t>
            </w:r>
            <w:r>
              <w:rPr>
                <w:rFonts w:hint="eastAsia"/>
                <w:sz w:val="21"/>
                <w:szCs w:val="21"/>
                <w:lang w:eastAsia="zh-CN"/>
              </w:rPr>
              <w:t>）</w:t>
            </w:r>
          </w:p>
        </w:tc>
        <w:tc>
          <w:tcPr>
            <w:tcW w:w="1317" w:type="pct"/>
            <w:vAlign w:val="center"/>
          </w:tcPr>
          <w:p w14:paraId="16A9DE33">
            <w:pPr>
              <w:bidi w:val="0"/>
              <w:spacing w:line="240" w:lineRule="auto"/>
              <w:jc w:val="center"/>
              <w:rPr>
                <w:sz w:val="21"/>
                <w:szCs w:val="21"/>
              </w:rPr>
            </w:pPr>
            <w:r>
              <w:rPr>
                <w:sz w:val="21"/>
                <w:szCs w:val="21"/>
              </w:rPr>
              <w:t>/</w:t>
            </w:r>
          </w:p>
        </w:tc>
      </w:tr>
    </w:tbl>
    <w:p w14:paraId="57693165">
      <w:pPr>
        <w:bidi w:val="0"/>
        <w:ind w:firstLine="480" w:firstLineChars="200"/>
        <w:rPr>
          <w:color w:val="auto"/>
        </w:rPr>
      </w:pPr>
      <w:r>
        <w:rPr>
          <w:color w:val="auto"/>
        </w:rPr>
        <w:t>3、评价等级与评价范围判定</w:t>
      </w:r>
    </w:p>
    <w:p w14:paraId="64D6EC15">
      <w:pPr>
        <w:bidi w:val="0"/>
        <w:ind w:firstLine="480" w:firstLineChars="200"/>
        <w:rPr>
          <w:color w:val="auto"/>
        </w:rPr>
      </w:pPr>
      <w:r>
        <w:rPr>
          <w:rFonts w:hint="eastAsia"/>
          <w:color w:val="auto"/>
        </w:rPr>
        <w:t>①</w:t>
      </w:r>
      <w:r>
        <w:rPr>
          <w:color w:val="auto"/>
        </w:rPr>
        <w:t>评价等级判定</w:t>
      </w:r>
    </w:p>
    <w:p w14:paraId="347A595B">
      <w:pPr>
        <w:bidi w:val="0"/>
        <w:ind w:firstLine="480" w:firstLineChars="200"/>
        <w:rPr>
          <w:color w:val="auto"/>
        </w:rPr>
      </w:pPr>
      <w:r>
        <w:rPr>
          <w:rFonts w:hint="eastAsia"/>
          <w:color w:val="auto"/>
          <w:lang w:val="en-US" w:eastAsia="zh-CN"/>
        </w:rPr>
        <w:t>依据</w:t>
      </w:r>
      <w:r>
        <w:rPr>
          <w:color w:val="auto"/>
        </w:rPr>
        <w:t>《环境影响评价技术导则 大气环境》（HJ2.2-2018），根据项目污染源初步调查结果，分别计算项目排放主要污染物的最大地面空气质量浓度占标率Pi（第i个污染物，简称</w:t>
      </w:r>
      <w:r>
        <w:rPr>
          <w:rFonts w:hint="eastAsia"/>
          <w:color w:val="auto"/>
          <w:lang w:eastAsia="zh-CN"/>
        </w:rPr>
        <w:t>“</w:t>
      </w:r>
      <w:r>
        <w:rPr>
          <w:color w:val="auto"/>
        </w:rPr>
        <w:t>最大浓度占标率</w:t>
      </w:r>
      <w:r>
        <w:rPr>
          <w:rFonts w:hint="eastAsia"/>
          <w:color w:val="auto"/>
          <w:lang w:eastAsia="zh-CN"/>
        </w:rPr>
        <w:t>”</w:t>
      </w:r>
      <w:r>
        <w:rPr>
          <w:color w:val="auto"/>
        </w:rPr>
        <w:t>），及第i个污染物的地面空气质量浓度达到标准值的10%时所对应的最远距离D10%。Pi的定义见公式如下：</w:t>
      </w:r>
    </w:p>
    <w:p w14:paraId="78EA6C18">
      <w:pPr>
        <w:bidi w:val="0"/>
        <w:jc w:val="center"/>
        <w:rPr>
          <w:color w:val="auto"/>
        </w:rPr>
      </w:pPr>
      <w:r>
        <w:rPr>
          <w:color w:val="auto"/>
        </w:rPr>
        <w:object>
          <v:shape id="_x0000_i1026" o:spt="75" alt="" type="#_x0000_t75" style="height:35.3pt;width:82.85pt;" o:ole="t" filled="f" o:preferrelative="t" stroked="f" coordsize="21600,21600">
            <v:path/>
            <v:fill on="f" focussize="0,0"/>
            <v:stroke on="f"/>
            <v:imagedata r:id="rId12" o:title=""/>
            <o:lock v:ext="edit" aspectratio="t"/>
            <w10:wrap type="none"/>
            <w10:anchorlock/>
          </v:shape>
          <o:OLEObject Type="Embed" ProgID="Equation.3" ShapeID="_x0000_i1026" DrawAspect="Content" ObjectID="_1468075726" r:id="rId11">
            <o:LockedField>false</o:LockedField>
          </o:OLEObject>
        </w:object>
      </w:r>
    </w:p>
    <w:p w14:paraId="560A5391">
      <w:pPr>
        <w:bidi w:val="0"/>
        <w:ind w:firstLine="480" w:firstLineChars="200"/>
        <w:rPr>
          <w:color w:val="auto"/>
        </w:rPr>
      </w:pPr>
      <w:r>
        <w:rPr>
          <w:color w:val="auto"/>
        </w:rPr>
        <w:t>式中：P</w:t>
      </w:r>
      <w:r>
        <w:rPr>
          <w:color w:val="auto"/>
          <w:vertAlign w:val="subscript"/>
        </w:rPr>
        <w:t>i</w:t>
      </w:r>
      <w:r>
        <w:rPr>
          <w:color w:val="auto"/>
        </w:rPr>
        <w:t>－第i个污染物的最大地面浓度占标率，%；</w:t>
      </w:r>
    </w:p>
    <w:p w14:paraId="78DF7446">
      <w:pPr>
        <w:bidi w:val="0"/>
        <w:rPr>
          <w:color w:val="auto"/>
        </w:rPr>
      </w:pPr>
      <w:r>
        <w:rPr>
          <w:rFonts w:hint="eastAsia"/>
          <w:color w:val="auto"/>
          <w:lang w:val="en-US" w:eastAsia="zh-CN"/>
        </w:rPr>
        <w:t xml:space="preserve">          </w:t>
      </w:r>
      <w:r>
        <w:rPr>
          <w:color w:val="auto"/>
        </w:rPr>
        <w:t>C</w:t>
      </w:r>
      <w:r>
        <w:rPr>
          <w:color w:val="auto"/>
          <w:vertAlign w:val="subscript"/>
        </w:rPr>
        <w:t>i</w:t>
      </w:r>
      <w:r>
        <w:rPr>
          <w:color w:val="auto"/>
        </w:rPr>
        <w:t>－采用估算模式计算出的第i个污染物的最大地面浓度，mg/m</w:t>
      </w:r>
      <w:r>
        <w:rPr>
          <w:color w:val="auto"/>
          <w:vertAlign w:val="superscript"/>
        </w:rPr>
        <w:t>3</w:t>
      </w:r>
      <w:r>
        <w:rPr>
          <w:color w:val="auto"/>
        </w:rPr>
        <w:t>；</w:t>
      </w:r>
    </w:p>
    <w:p w14:paraId="7A4D2615">
      <w:pPr>
        <w:bidi w:val="0"/>
        <w:ind w:firstLine="1200" w:firstLineChars="500"/>
        <w:rPr>
          <w:color w:val="auto"/>
        </w:rPr>
      </w:pPr>
      <w:r>
        <w:rPr>
          <w:color w:val="auto"/>
        </w:rPr>
        <w:t>C</w:t>
      </w:r>
      <w:r>
        <w:rPr>
          <w:color w:val="auto"/>
          <w:vertAlign w:val="subscript"/>
        </w:rPr>
        <w:t>0i</w:t>
      </w:r>
      <w:r>
        <w:rPr>
          <w:color w:val="auto"/>
        </w:rPr>
        <w:t>－环境空气质量标准（小时浓度限值），mg/m</w:t>
      </w:r>
      <w:r>
        <w:rPr>
          <w:color w:val="auto"/>
          <w:vertAlign w:val="superscript"/>
        </w:rPr>
        <w:t>3</w:t>
      </w:r>
      <w:r>
        <w:rPr>
          <w:color w:val="auto"/>
        </w:rPr>
        <w:t>。</w:t>
      </w:r>
    </w:p>
    <w:p w14:paraId="44746A7B">
      <w:pPr>
        <w:bidi w:val="0"/>
        <w:ind w:firstLine="480" w:firstLineChars="200"/>
        <w:rPr>
          <w:color w:val="auto"/>
        </w:rPr>
      </w:pPr>
      <w:r>
        <w:rPr>
          <w:color w:val="auto"/>
        </w:rPr>
        <w:t>一般选用GB</w:t>
      </w:r>
      <w:r>
        <w:rPr>
          <w:rFonts w:hint="eastAsia"/>
          <w:color w:val="auto"/>
          <w:lang w:eastAsia="zh-CN"/>
        </w:rPr>
        <w:t>3095-2026</w:t>
      </w:r>
      <w:r>
        <w:rPr>
          <w:color w:val="auto"/>
        </w:rPr>
        <w:t>中1h平均质量浓度的二级浓度限值，如项目位于一类环境空气功能区，应选择相应的一级浓度限值；对该标准中未包含的污染物，使用5.2确定的各评价因子1h平均质量浓度限值。对仅有8h平均质量浓度限值、日平均质量浓度限值或年平均质量浓度限值的，可分别按2倍、3倍、6倍折算为1h平均质量浓度限值。</w:t>
      </w:r>
    </w:p>
    <w:p w14:paraId="19D45DCF">
      <w:pPr>
        <w:bidi w:val="0"/>
        <w:ind w:firstLine="480" w:firstLineChars="200"/>
        <w:rPr>
          <w:color w:val="auto"/>
        </w:rPr>
      </w:pPr>
      <w:r>
        <w:rPr>
          <w:color w:val="auto"/>
        </w:rPr>
        <w:t>项目的评价等级判定依据如下表：</w:t>
      </w:r>
    </w:p>
    <w:p w14:paraId="27FB839B">
      <w:pPr>
        <w:bidi w:val="0"/>
        <w:jc w:val="center"/>
        <w:rPr>
          <w:b/>
          <w:bCs/>
        </w:rPr>
      </w:pPr>
      <w:r>
        <w:rPr>
          <w:b/>
          <w:bCs/>
        </w:rPr>
        <w:t>表2.</w:t>
      </w:r>
      <w:r>
        <w:rPr>
          <w:rFonts w:hint="eastAsia"/>
          <w:b/>
          <w:bCs/>
          <w:lang w:val="en-US" w:eastAsia="zh-CN"/>
        </w:rPr>
        <w:t>4</w:t>
      </w:r>
      <w:r>
        <w:rPr>
          <w:b/>
          <w:bCs/>
        </w:rPr>
        <w:t>.1-2</w:t>
      </w:r>
      <w:r>
        <w:rPr>
          <w:rFonts w:hint="eastAsia"/>
          <w:b/>
          <w:bCs/>
        </w:rPr>
        <w:t xml:space="preserve"> </w:t>
      </w:r>
      <w:r>
        <w:rPr>
          <w:b/>
          <w:bCs/>
        </w:rPr>
        <w:t>评价等级判别表</w:t>
      </w:r>
    </w:p>
    <w:tbl>
      <w:tblPr>
        <w:tblStyle w:val="1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590"/>
        <w:gridCol w:w="5773"/>
      </w:tblGrid>
      <w:tr w14:paraId="315943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 w:hRule="atLeast"/>
          <w:tblHeader/>
          <w:jc w:val="center"/>
        </w:trPr>
        <w:tc>
          <w:tcPr>
            <w:tcW w:w="1917" w:type="pct"/>
            <w:vAlign w:val="center"/>
          </w:tcPr>
          <w:p w14:paraId="3779673A">
            <w:pPr>
              <w:bidi w:val="0"/>
              <w:spacing w:line="240" w:lineRule="auto"/>
              <w:jc w:val="center"/>
              <w:rPr>
                <w:b/>
                <w:bCs/>
                <w:color w:val="auto"/>
                <w:sz w:val="21"/>
                <w:szCs w:val="21"/>
              </w:rPr>
            </w:pPr>
            <w:r>
              <w:rPr>
                <w:b/>
                <w:bCs/>
                <w:color w:val="auto"/>
                <w:sz w:val="21"/>
                <w:szCs w:val="21"/>
              </w:rPr>
              <w:t>评价工作等级</w:t>
            </w:r>
          </w:p>
        </w:tc>
        <w:tc>
          <w:tcPr>
            <w:tcW w:w="3082" w:type="pct"/>
            <w:vAlign w:val="center"/>
          </w:tcPr>
          <w:p w14:paraId="3FDEB1E3">
            <w:pPr>
              <w:bidi w:val="0"/>
              <w:spacing w:line="240" w:lineRule="auto"/>
              <w:jc w:val="center"/>
              <w:rPr>
                <w:b/>
                <w:bCs/>
                <w:color w:val="auto"/>
                <w:sz w:val="21"/>
                <w:szCs w:val="21"/>
              </w:rPr>
            </w:pPr>
            <w:r>
              <w:rPr>
                <w:b/>
                <w:bCs/>
                <w:color w:val="auto"/>
                <w:sz w:val="21"/>
                <w:szCs w:val="21"/>
              </w:rPr>
              <w:t>评价工作分级判据</w:t>
            </w:r>
          </w:p>
        </w:tc>
      </w:tr>
      <w:tr w14:paraId="02094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 w:hRule="atLeast"/>
          <w:jc w:val="center"/>
        </w:trPr>
        <w:tc>
          <w:tcPr>
            <w:tcW w:w="1917" w:type="pct"/>
            <w:vAlign w:val="center"/>
          </w:tcPr>
          <w:p w14:paraId="582DAE23">
            <w:pPr>
              <w:bidi w:val="0"/>
              <w:spacing w:line="240" w:lineRule="auto"/>
              <w:jc w:val="center"/>
              <w:rPr>
                <w:color w:val="auto"/>
                <w:sz w:val="21"/>
                <w:szCs w:val="21"/>
              </w:rPr>
            </w:pPr>
            <w:r>
              <w:rPr>
                <w:color w:val="auto"/>
                <w:sz w:val="21"/>
                <w:szCs w:val="21"/>
              </w:rPr>
              <w:t>一级评价</w:t>
            </w:r>
          </w:p>
        </w:tc>
        <w:tc>
          <w:tcPr>
            <w:tcW w:w="3082" w:type="pct"/>
            <w:vAlign w:val="center"/>
          </w:tcPr>
          <w:p w14:paraId="49B4E59A">
            <w:pPr>
              <w:bidi w:val="0"/>
              <w:spacing w:line="240" w:lineRule="auto"/>
              <w:jc w:val="center"/>
              <w:rPr>
                <w:color w:val="auto"/>
                <w:sz w:val="21"/>
                <w:szCs w:val="21"/>
              </w:rPr>
            </w:pPr>
            <w:r>
              <w:rPr>
                <w:color w:val="auto"/>
                <w:sz w:val="21"/>
                <w:szCs w:val="21"/>
              </w:rPr>
              <w:t>Pmax ≥10%</w:t>
            </w:r>
          </w:p>
        </w:tc>
      </w:tr>
      <w:tr w14:paraId="4EB50E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 w:hRule="atLeast"/>
          <w:jc w:val="center"/>
        </w:trPr>
        <w:tc>
          <w:tcPr>
            <w:tcW w:w="1917" w:type="pct"/>
            <w:vAlign w:val="center"/>
          </w:tcPr>
          <w:p w14:paraId="1A173892">
            <w:pPr>
              <w:bidi w:val="0"/>
              <w:spacing w:line="240" w:lineRule="auto"/>
              <w:jc w:val="center"/>
              <w:rPr>
                <w:color w:val="auto"/>
                <w:sz w:val="21"/>
                <w:szCs w:val="21"/>
              </w:rPr>
            </w:pPr>
            <w:r>
              <w:rPr>
                <w:color w:val="auto"/>
                <w:sz w:val="21"/>
                <w:szCs w:val="21"/>
              </w:rPr>
              <w:t>二级评价</w:t>
            </w:r>
          </w:p>
        </w:tc>
        <w:tc>
          <w:tcPr>
            <w:tcW w:w="3082" w:type="pct"/>
            <w:vAlign w:val="center"/>
          </w:tcPr>
          <w:p w14:paraId="736BE309">
            <w:pPr>
              <w:bidi w:val="0"/>
              <w:spacing w:line="240" w:lineRule="auto"/>
              <w:jc w:val="center"/>
              <w:rPr>
                <w:color w:val="auto"/>
                <w:sz w:val="21"/>
                <w:szCs w:val="21"/>
              </w:rPr>
            </w:pPr>
            <w:r>
              <w:rPr>
                <w:color w:val="auto"/>
                <w:sz w:val="21"/>
                <w:szCs w:val="21"/>
              </w:rPr>
              <w:t>1%≤Pmax＜10%</w:t>
            </w:r>
          </w:p>
        </w:tc>
      </w:tr>
      <w:tr w14:paraId="32ED8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7" w:hRule="atLeast"/>
          <w:jc w:val="center"/>
        </w:trPr>
        <w:tc>
          <w:tcPr>
            <w:tcW w:w="1917" w:type="pct"/>
            <w:vAlign w:val="center"/>
          </w:tcPr>
          <w:p w14:paraId="21EF2A2A">
            <w:pPr>
              <w:bidi w:val="0"/>
              <w:spacing w:line="240" w:lineRule="auto"/>
              <w:jc w:val="center"/>
              <w:rPr>
                <w:color w:val="auto"/>
                <w:sz w:val="21"/>
                <w:szCs w:val="21"/>
              </w:rPr>
            </w:pPr>
            <w:r>
              <w:rPr>
                <w:color w:val="auto"/>
                <w:sz w:val="21"/>
                <w:szCs w:val="21"/>
              </w:rPr>
              <w:t>三级评价</w:t>
            </w:r>
          </w:p>
        </w:tc>
        <w:tc>
          <w:tcPr>
            <w:tcW w:w="3082" w:type="pct"/>
            <w:vAlign w:val="center"/>
          </w:tcPr>
          <w:p w14:paraId="024A8A60">
            <w:pPr>
              <w:bidi w:val="0"/>
              <w:spacing w:line="240" w:lineRule="auto"/>
              <w:jc w:val="center"/>
              <w:rPr>
                <w:color w:val="auto"/>
                <w:sz w:val="21"/>
                <w:szCs w:val="21"/>
              </w:rPr>
            </w:pPr>
            <w:r>
              <w:rPr>
                <w:color w:val="auto"/>
                <w:sz w:val="21"/>
                <w:szCs w:val="21"/>
              </w:rPr>
              <w:t>Pmax＜1%</w:t>
            </w:r>
          </w:p>
        </w:tc>
      </w:tr>
    </w:tbl>
    <w:p w14:paraId="70BBEF0C">
      <w:pPr>
        <w:bidi w:val="0"/>
        <w:ind w:firstLine="480" w:firstLineChars="200"/>
        <w:rPr>
          <w:color w:val="auto"/>
        </w:rPr>
      </w:pPr>
      <w:r>
        <w:rPr>
          <w:rFonts w:hint="eastAsia"/>
          <w:color w:val="auto"/>
        </w:rPr>
        <w:t>②</w:t>
      </w:r>
      <w:r>
        <w:rPr>
          <w:color w:val="auto"/>
        </w:rPr>
        <w:t>评价范围判定</w:t>
      </w:r>
    </w:p>
    <w:p w14:paraId="1D3628B2">
      <w:pPr>
        <w:bidi w:val="0"/>
        <w:ind w:firstLine="480" w:firstLineChars="200"/>
        <w:rPr>
          <w:color w:val="auto"/>
        </w:rPr>
      </w:pPr>
      <w:r>
        <w:rPr>
          <w:color w:val="auto"/>
        </w:rPr>
        <w:t>一级评价项目根据建设项目排放污染物的最远影响距离（D10%）确定大气环境影响评价范围：即以项目厂址为中心区域，自厂界外延D10%的矩形区域作为大气环境影响评价范围；当D10%超过25km时，确定评价范围为边长50km的矩形区域；当D10%小于2.5km时，评价范围边长取5km。</w:t>
      </w:r>
      <w:r>
        <w:rPr>
          <w:rFonts w:hint="eastAsia"/>
          <w:color w:val="auto"/>
        </w:rPr>
        <w:t>二级评价项目大气环境影响评价范围边长取5km。</w:t>
      </w:r>
    </w:p>
    <w:p w14:paraId="05034D70">
      <w:pPr>
        <w:bidi w:val="0"/>
        <w:ind w:firstLine="480" w:firstLineChars="200"/>
        <w:rPr>
          <w:color w:val="auto"/>
        </w:rPr>
      </w:pPr>
      <w:r>
        <w:rPr>
          <w:rFonts w:hint="eastAsia"/>
          <w:color w:val="auto"/>
        </w:rPr>
        <w:t>4</w:t>
      </w:r>
      <w:r>
        <w:rPr>
          <w:color w:val="auto"/>
        </w:rPr>
        <w:t>、项目评价等级与评价范围判定结果</w:t>
      </w:r>
    </w:p>
    <w:p w14:paraId="67D8743A">
      <w:pPr>
        <w:bidi w:val="0"/>
        <w:ind w:firstLine="480" w:firstLineChars="200"/>
        <w:rPr>
          <w:color w:val="auto"/>
        </w:rPr>
      </w:pPr>
      <w:r>
        <w:rPr>
          <w:color w:val="auto"/>
        </w:rPr>
        <w:t>根据本项目工程分析确定的污染源强，采用ARESCREEN估算模型对项目所排放的污染因子进行估算的结果如下表：</w:t>
      </w:r>
    </w:p>
    <w:p w14:paraId="55ACA5EE">
      <w:pPr>
        <w:bidi w:val="0"/>
        <w:jc w:val="center"/>
        <w:rPr>
          <w:rFonts w:hint="eastAsia"/>
          <w:b/>
          <w:bCs/>
          <w:color w:val="auto"/>
          <w:lang w:val="en-US" w:eastAsia="zh-CN"/>
        </w:rPr>
      </w:pPr>
      <w:r>
        <w:rPr>
          <w:b/>
          <w:bCs/>
          <w:color w:val="auto"/>
        </w:rPr>
        <w:t>表2.</w:t>
      </w:r>
      <w:r>
        <w:rPr>
          <w:rFonts w:hint="eastAsia"/>
          <w:b/>
          <w:bCs/>
          <w:color w:val="auto"/>
          <w:lang w:val="en-US" w:eastAsia="zh-CN"/>
        </w:rPr>
        <w:t>4</w:t>
      </w:r>
      <w:r>
        <w:rPr>
          <w:b/>
          <w:bCs/>
          <w:color w:val="auto"/>
        </w:rPr>
        <w:t xml:space="preserve">.1-3 </w:t>
      </w:r>
      <w:r>
        <w:rPr>
          <w:rFonts w:hint="eastAsia"/>
          <w:b/>
          <w:bCs/>
          <w:color w:val="auto"/>
          <w:lang w:val="en-US" w:eastAsia="zh-CN"/>
        </w:rPr>
        <w:t>大气环境</w:t>
      </w:r>
      <w:r>
        <w:rPr>
          <w:b/>
          <w:bCs/>
          <w:color w:val="auto"/>
        </w:rPr>
        <w:t>评价工作等级</w:t>
      </w:r>
      <w:r>
        <w:rPr>
          <w:rFonts w:hint="eastAsia"/>
          <w:b/>
          <w:bCs/>
          <w:color w:val="auto"/>
        </w:rPr>
        <w:t>估算</w:t>
      </w:r>
      <w:r>
        <w:rPr>
          <w:b/>
          <w:bCs/>
          <w:color w:val="auto"/>
        </w:rPr>
        <w:t>结果</w:t>
      </w:r>
      <w:r>
        <w:rPr>
          <w:rFonts w:hint="eastAsia"/>
          <w:b/>
          <w:bCs/>
          <w:color w:val="auto"/>
          <w:lang w:val="en-US" w:eastAsia="zh-CN"/>
        </w:rPr>
        <w:t>表</w:t>
      </w:r>
    </w:p>
    <w:tbl>
      <w:tblPr>
        <w:tblStyle w:val="17"/>
        <w:tblW w:w="5000" w:type="pct"/>
        <w:tblInd w:w="0" w:type="dxa"/>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Layout w:type="fixed"/>
        <w:tblCellMar>
          <w:top w:w="28" w:type="dxa"/>
          <w:left w:w="108" w:type="dxa"/>
          <w:bottom w:w="28" w:type="dxa"/>
          <w:right w:w="108" w:type="dxa"/>
        </w:tblCellMar>
      </w:tblPr>
      <w:tblGrid>
        <w:gridCol w:w="526"/>
        <w:gridCol w:w="895"/>
        <w:gridCol w:w="1431"/>
        <w:gridCol w:w="1552"/>
        <w:gridCol w:w="2219"/>
        <w:gridCol w:w="1106"/>
        <w:gridCol w:w="746"/>
        <w:gridCol w:w="1095"/>
      </w:tblGrid>
      <w:tr w14:paraId="6AA22A79">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2664" w:type="dxa"/>
            <w:gridSpan w:val="3"/>
            <w:vAlign w:val="center"/>
          </w:tcPr>
          <w:p w14:paraId="4D67DCEB">
            <w:pPr>
              <w:bidi w:val="0"/>
              <w:spacing w:line="240" w:lineRule="auto"/>
              <w:jc w:val="center"/>
              <w:rPr>
                <w:b/>
                <w:bCs/>
                <w:color w:val="auto"/>
                <w:sz w:val="21"/>
                <w:szCs w:val="21"/>
              </w:rPr>
            </w:pPr>
            <w:r>
              <w:rPr>
                <w:b/>
                <w:bCs/>
                <w:color w:val="auto"/>
                <w:sz w:val="21"/>
                <w:szCs w:val="21"/>
              </w:rPr>
              <w:t>污染源</w:t>
            </w:r>
          </w:p>
        </w:tc>
        <w:tc>
          <w:tcPr>
            <w:tcW w:w="1450" w:type="dxa"/>
            <w:tcBorders>
              <w:left w:val="single" w:color="auto" w:sz="4" w:space="0"/>
            </w:tcBorders>
            <w:vAlign w:val="center"/>
          </w:tcPr>
          <w:p w14:paraId="132A3D9C">
            <w:pPr>
              <w:bidi w:val="0"/>
              <w:spacing w:line="240" w:lineRule="auto"/>
              <w:jc w:val="center"/>
              <w:rPr>
                <w:b/>
                <w:bCs/>
                <w:color w:val="auto"/>
                <w:sz w:val="21"/>
                <w:szCs w:val="21"/>
              </w:rPr>
            </w:pPr>
            <w:r>
              <w:rPr>
                <w:b/>
                <w:bCs/>
                <w:color w:val="auto"/>
                <w:sz w:val="21"/>
                <w:szCs w:val="21"/>
              </w:rPr>
              <w:t>污染物名称</w:t>
            </w:r>
          </w:p>
        </w:tc>
        <w:tc>
          <w:tcPr>
            <w:tcW w:w="2073" w:type="dxa"/>
            <w:vAlign w:val="center"/>
          </w:tcPr>
          <w:p w14:paraId="23451E18">
            <w:pPr>
              <w:bidi w:val="0"/>
              <w:spacing w:line="240" w:lineRule="auto"/>
              <w:jc w:val="center"/>
              <w:rPr>
                <w:b/>
                <w:bCs/>
                <w:color w:val="auto"/>
                <w:sz w:val="21"/>
                <w:szCs w:val="21"/>
              </w:rPr>
            </w:pPr>
            <w:r>
              <w:rPr>
                <w:rFonts w:hint="eastAsia"/>
                <w:b/>
                <w:bCs/>
                <w:color w:val="auto"/>
                <w:sz w:val="21"/>
                <w:szCs w:val="21"/>
                <w:lang w:val="en-US" w:eastAsia="zh-CN"/>
              </w:rPr>
              <w:t>预测质量浓度</w:t>
            </w:r>
            <w:r>
              <w:rPr>
                <w:b/>
                <w:bCs/>
                <w:color w:val="auto"/>
                <w:sz w:val="21"/>
                <w:szCs w:val="21"/>
              </w:rPr>
              <w:t>（ug/m</w:t>
            </w:r>
            <w:r>
              <w:rPr>
                <w:b/>
                <w:bCs/>
                <w:color w:val="auto"/>
                <w:sz w:val="21"/>
                <w:szCs w:val="21"/>
                <w:vertAlign w:val="superscript"/>
              </w:rPr>
              <w:t>3</w:t>
            </w:r>
            <w:r>
              <w:rPr>
                <w:b/>
                <w:bCs/>
                <w:color w:val="auto"/>
                <w:sz w:val="21"/>
                <w:szCs w:val="21"/>
              </w:rPr>
              <w:t>）</w:t>
            </w:r>
          </w:p>
        </w:tc>
        <w:tc>
          <w:tcPr>
            <w:tcW w:w="1033" w:type="dxa"/>
            <w:vAlign w:val="center"/>
          </w:tcPr>
          <w:p w14:paraId="711FB23B">
            <w:pPr>
              <w:bidi w:val="0"/>
              <w:spacing w:line="240" w:lineRule="auto"/>
              <w:jc w:val="center"/>
              <w:rPr>
                <w:b/>
                <w:bCs/>
                <w:color w:val="auto"/>
                <w:sz w:val="21"/>
                <w:szCs w:val="21"/>
              </w:rPr>
            </w:pPr>
            <w:r>
              <w:rPr>
                <w:b/>
                <w:bCs/>
                <w:color w:val="auto"/>
                <w:sz w:val="21"/>
                <w:szCs w:val="21"/>
              </w:rPr>
              <w:t>占标率Pmax（%）</w:t>
            </w:r>
          </w:p>
        </w:tc>
        <w:tc>
          <w:tcPr>
            <w:tcW w:w="697" w:type="dxa"/>
            <w:vAlign w:val="center"/>
          </w:tcPr>
          <w:p w14:paraId="041A930E">
            <w:pPr>
              <w:bidi w:val="0"/>
              <w:spacing w:line="240" w:lineRule="auto"/>
              <w:jc w:val="center"/>
              <w:rPr>
                <w:b/>
                <w:bCs/>
                <w:color w:val="auto"/>
                <w:sz w:val="21"/>
                <w:szCs w:val="21"/>
              </w:rPr>
            </w:pPr>
            <w:r>
              <w:rPr>
                <w:b/>
                <w:bCs/>
                <w:color w:val="auto"/>
                <w:sz w:val="21"/>
                <w:szCs w:val="21"/>
              </w:rPr>
              <w:t>D10%</w:t>
            </w:r>
          </w:p>
          <w:p w14:paraId="58C99E93">
            <w:pPr>
              <w:bidi w:val="0"/>
              <w:spacing w:line="240" w:lineRule="auto"/>
              <w:jc w:val="center"/>
              <w:rPr>
                <w:b/>
                <w:bCs/>
                <w:color w:val="auto"/>
                <w:sz w:val="21"/>
                <w:szCs w:val="21"/>
              </w:rPr>
            </w:pPr>
            <w:r>
              <w:rPr>
                <w:b/>
                <w:bCs/>
                <w:color w:val="auto"/>
                <w:sz w:val="21"/>
                <w:szCs w:val="21"/>
              </w:rPr>
              <w:t>（m）</w:t>
            </w:r>
          </w:p>
        </w:tc>
        <w:tc>
          <w:tcPr>
            <w:tcW w:w="1022" w:type="dxa"/>
            <w:vAlign w:val="center"/>
          </w:tcPr>
          <w:p w14:paraId="7E03FEBE">
            <w:pPr>
              <w:bidi w:val="0"/>
              <w:spacing w:line="240" w:lineRule="auto"/>
              <w:jc w:val="center"/>
              <w:rPr>
                <w:b/>
                <w:bCs/>
                <w:color w:val="auto"/>
                <w:sz w:val="21"/>
                <w:szCs w:val="21"/>
              </w:rPr>
            </w:pPr>
            <w:r>
              <w:rPr>
                <w:b/>
                <w:bCs/>
                <w:color w:val="auto"/>
                <w:sz w:val="21"/>
                <w:szCs w:val="21"/>
              </w:rPr>
              <w:t>最大浓度出现距离(m)</w:t>
            </w:r>
          </w:p>
        </w:tc>
      </w:tr>
      <w:tr w14:paraId="67497CAD">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restart"/>
            <w:tcBorders>
              <w:right w:val="single" w:color="auto" w:sz="4" w:space="0"/>
            </w:tcBorders>
            <w:vAlign w:val="center"/>
          </w:tcPr>
          <w:p w14:paraId="0650A1C5">
            <w:pPr>
              <w:bidi w:val="0"/>
              <w:spacing w:line="240" w:lineRule="auto"/>
              <w:jc w:val="center"/>
              <w:rPr>
                <w:color w:val="auto"/>
                <w:sz w:val="21"/>
                <w:szCs w:val="21"/>
              </w:rPr>
            </w:pPr>
            <w:r>
              <w:rPr>
                <w:color w:val="auto"/>
                <w:sz w:val="21"/>
                <w:szCs w:val="21"/>
              </w:rPr>
              <w:t>有组织</w:t>
            </w:r>
          </w:p>
        </w:tc>
        <w:tc>
          <w:tcPr>
            <w:tcW w:w="836" w:type="dxa"/>
            <w:tcBorders>
              <w:left w:val="single" w:color="auto" w:sz="4" w:space="0"/>
              <w:right w:val="single" w:color="auto" w:sz="4" w:space="0"/>
            </w:tcBorders>
            <w:vAlign w:val="center"/>
          </w:tcPr>
          <w:p w14:paraId="0913220A">
            <w:pPr>
              <w:bidi w:val="0"/>
              <w:spacing w:line="240" w:lineRule="auto"/>
              <w:jc w:val="center"/>
              <w:rPr>
                <w:rFonts w:hint="eastAsia" w:eastAsia="宋体"/>
                <w:color w:val="auto"/>
                <w:sz w:val="21"/>
                <w:szCs w:val="21"/>
                <w:lang w:eastAsia="zh-CN"/>
              </w:rPr>
            </w:pPr>
            <w:r>
              <w:rPr>
                <w:color w:val="auto"/>
                <w:sz w:val="21"/>
                <w:szCs w:val="21"/>
              </w:rPr>
              <w:t>DA00</w:t>
            </w:r>
            <w:r>
              <w:rPr>
                <w:rFonts w:hint="eastAsia"/>
                <w:color w:val="auto"/>
                <w:sz w:val="21"/>
                <w:szCs w:val="21"/>
                <w:lang w:val="en-US" w:eastAsia="zh-CN"/>
              </w:rPr>
              <w:t>4</w:t>
            </w:r>
          </w:p>
        </w:tc>
        <w:tc>
          <w:tcPr>
            <w:tcW w:w="1337" w:type="dxa"/>
            <w:vAlign w:val="center"/>
          </w:tcPr>
          <w:p w14:paraId="79741DC3">
            <w:pPr>
              <w:bidi w:val="0"/>
              <w:spacing w:line="240" w:lineRule="auto"/>
              <w:jc w:val="center"/>
              <w:rPr>
                <w:color w:val="auto"/>
                <w:sz w:val="21"/>
                <w:szCs w:val="21"/>
              </w:rPr>
            </w:pPr>
            <w:r>
              <w:rPr>
                <w:rFonts w:hint="eastAsia"/>
                <w:color w:val="auto"/>
                <w:sz w:val="21"/>
                <w:szCs w:val="21"/>
                <w:lang w:val="en-US" w:eastAsia="zh-CN"/>
              </w:rPr>
              <w:t>银包铜印刷、固化</w:t>
            </w:r>
            <w:r>
              <w:rPr>
                <w:rFonts w:hint="eastAsia"/>
                <w:color w:val="auto"/>
                <w:sz w:val="21"/>
                <w:szCs w:val="21"/>
              </w:rPr>
              <w:t>废气排气筒</w:t>
            </w:r>
          </w:p>
        </w:tc>
        <w:tc>
          <w:tcPr>
            <w:tcW w:w="1450" w:type="dxa"/>
            <w:tcBorders>
              <w:left w:val="single" w:color="auto" w:sz="4" w:space="0"/>
            </w:tcBorders>
            <w:shd w:val="clear" w:color="auto" w:fill="auto"/>
            <w:vAlign w:val="center"/>
          </w:tcPr>
          <w:p w14:paraId="5A96D5D6">
            <w:pPr>
              <w:bidi w:val="0"/>
              <w:spacing w:line="240" w:lineRule="auto"/>
              <w:jc w:val="center"/>
              <w:rPr>
                <w:rFonts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1E46B166">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14.314</w:t>
            </w:r>
          </w:p>
        </w:tc>
        <w:tc>
          <w:tcPr>
            <w:tcW w:w="1033" w:type="dxa"/>
            <w:tcBorders>
              <w:bottom w:val="single" w:color="auto" w:sz="4" w:space="0"/>
            </w:tcBorders>
            <w:shd w:val="clear" w:color="auto" w:fill="auto"/>
            <w:vAlign w:val="center"/>
          </w:tcPr>
          <w:p w14:paraId="3870611B">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0.72</w:t>
            </w:r>
          </w:p>
        </w:tc>
        <w:tc>
          <w:tcPr>
            <w:tcW w:w="697" w:type="dxa"/>
            <w:vAlign w:val="center"/>
          </w:tcPr>
          <w:p w14:paraId="472AFA34">
            <w:pPr>
              <w:bidi w:val="0"/>
              <w:spacing w:line="240" w:lineRule="auto"/>
              <w:jc w:val="center"/>
              <w:rPr>
                <w:rFonts w:hint="default"/>
                <w:color w:val="auto"/>
                <w:sz w:val="21"/>
                <w:szCs w:val="21"/>
                <w:lang w:val="en-US" w:eastAsia="zh-CN"/>
              </w:rPr>
            </w:pPr>
            <w:r>
              <w:rPr>
                <w:rFonts w:hint="eastAsia"/>
                <w:color w:val="auto"/>
                <w:sz w:val="21"/>
                <w:szCs w:val="21"/>
                <w:lang w:val="en-US" w:eastAsia="zh-CN"/>
              </w:rPr>
              <w:t>/</w:t>
            </w:r>
          </w:p>
        </w:tc>
        <w:tc>
          <w:tcPr>
            <w:tcW w:w="1022" w:type="dxa"/>
            <w:vAlign w:val="center"/>
          </w:tcPr>
          <w:p w14:paraId="0E0AB58A">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32EDCF8C">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19794612">
            <w:pPr>
              <w:bidi w:val="0"/>
              <w:spacing w:line="240" w:lineRule="auto"/>
              <w:jc w:val="center"/>
              <w:rPr>
                <w:color w:val="auto"/>
                <w:sz w:val="21"/>
                <w:szCs w:val="21"/>
              </w:rPr>
            </w:pPr>
          </w:p>
        </w:tc>
        <w:tc>
          <w:tcPr>
            <w:tcW w:w="836" w:type="dxa"/>
            <w:vMerge w:val="restart"/>
            <w:tcBorders>
              <w:left w:val="single" w:color="auto" w:sz="4" w:space="0"/>
              <w:right w:val="single" w:color="auto" w:sz="4" w:space="0"/>
            </w:tcBorders>
            <w:vAlign w:val="center"/>
          </w:tcPr>
          <w:p w14:paraId="6C5959BB">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DA008</w:t>
            </w:r>
          </w:p>
        </w:tc>
        <w:tc>
          <w:tcPr>
            <w:tcW w:w="1337" w:type="dxa"/>
            <w:vMerge w:val="restart"/>
            <w:vAlign w:val="center"/>
          </w:tcPr>
          <w:p w14:paraId="51EFC1CC">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四分片钝化</w:t>
            </w:r>
            <w:r>
              <w:rPr>
                <w:rFonts w:hint="eastAsia"/>
                <w:color w:val="auto"/>
                <w:sz w:val="21"/>
                <w:szCs w:val="21"/>
              </w:rPr>
              <w:t>废气排气筒</w:t>
            </w:r>
          </w:p>
        </w:tc>
        <w:tc>
          <w:tcPr>
            <w:tcW w:w="1450" w:type="dxa"/>
            <w:tcBorders>
              <w:left w:val="single" w:color="auto" w:sz="4" w:space="0"/>
            </w:tcBorders>
            <w:shd w:val="clear" w:color="auto" w:fill="auto"/>
            <w:vAlign w:val="center"/>
          </w:tcPr>
          <w:p w14:paraId="4A3BF5A3">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PM</w:t>
            </w:r>
            <w:r>
              <w:rPr>
                <w:rFonts w:hint="eastAsia"/>
                <w:color w:val="auto"/>
                <w:sz w:val="21"/>
                <w:szCs w:val="21"/>
                <w:vertAlign w:val="subscript"/>
              </w:rPr>
              <w:t>10</w:t>
            </w:r>
          </w:p>
        </w:tc>
        <w:tc>
          <w:tcPr>
            <w:tcW w:w="2073" w:type="dxa"/>
            <w:shd w:val="clear" w:color="auto" w:fill="auto"/>
            <w:vAlign w:val="center"/>
          </w:tcPr>
          <w:p w14:paraId="174BAF19">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9.9838</w:t>
            </w:r>
          </w:p>
        </w:tc>
        <w:tc>
          <w:tcPr>
            <w:tcW w:w="1033" w:type="dxa"/>
            <w:tcBorders>
              <w:top w:val="single" w:color="auto" w:sz="4" w:space="0"/>
              <w:bottom w:val="single" w:color="auto" w:sz="4" w:space="0"/>
            </w:tcBorders>
            <w:shd w:val="clear" w:color="auto" w:fill="auto"/>
            <w:vAlign w:val="center"/>
          </w:tcPr>
          <w:p w14:paraId="6AB50962">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2.77</w:t>
            </w:r>
          </w:p>
        </w:tc>
        <w:tc>
          <w:tcPr>
            <w:tcW w:w="697" w:type="dxa"/>
            <w:vMerge w:val="restart"/>
            <w:shd w:val="clear" w:color="auto" w:fill="auto"/>
            <w:vAlign w:val="center"/>
          </w:tcPr>
          <w:p w14:paraId="26914A2B">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lang w:val="en-US" w:eastAsia="zh-CN"/>
              </w:rPr>
              <w:t>/</w:t>
            </w:r>
          </w:p>
        </w:tc>
        <w:tc>
          <w:tcPr>
            <w:tcW w:w="1022" w:type="dxa"/>
            <w:vMerge w:val="restart"/>
            <w:vAlign w:val="center"/>
          </w:tcPr>
          <w:p w14:paraId="4CD34BE1">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5F044B37">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2191FA98">
            <w:pPr>
              <w:bidi w:val="0"/>
              <w:spacing w:line="240" w:lineRule="auto"/>
              <w:jc w:val="center"/>
              <w:rPr>
                <w:color w:val="auto"/>
                <w:sz w:val="21"/>
                <w:szCs w:val="21"/>
              </w:rPr>
            </w:pPr>
          </w:p>
        </w:tc>
        <w:tc>
          <w:tcPr>
            <w:tcW w:w="836" w:type="dxa"/>
            <w:vMerge w:val="continue"/>
            <w:tcBorders>
              <w:left w:val="single" w:color="auto" w:sz="4" w:space="0"/>
              <w:right w:val="single" w:color="auto" w:sz="4" w:space="0"/>
            </w:tcBorders>
            <w:vAlign w:val="center"/>
          </w:tcPr>
          <w:p w14:paraId="2591B0C3">
            <w:pPr>
              <w:bidi w:val="0"/>
              <w:spacing w:line="240" w:lineRule="auto"/>
              <w:jc w:val="center"/>
              <w:rPr>
                <w:color w:val="auto"/>
                <w:sz w:val="21"/>
                <w:szCs w:val="21"/>
              </w:rPr>
            </w:pPr>
          </w:p>
        </w:tc>
        <w:tc>
          <w:tcPr>
            <w:tcW w:w="1337" w:type="dxa"/>
            <w:vMerge w:val="continue"/>
            <w:vAlign w:val="center"/>
          </w:tcPr>
          <w:p w14:paraId="71E42FB2">
            <w:pPr>
              <w:bidi w:val="0"/>
              <w:spacing w:line="240" w:lineRule="auto"/>
              <w:jc w:val="center"/>
              <w:rPr>
                <w:color w:val="auto"/>
                <w:sz w:val="21"/>
                <w:szCs w:val="21"/>
              </w:rPr>
            </w:pPr>
          </w:p>
        </w:tc>
        <w:tc>
          <w:tcPr>
            <w:tcW w:w="1450" w:type="dxa"/>
            <w:tcBorders>
              <w:left w:val="single" w:color="auto" w:sz="4" w:space="0"/>
            </w:tcBorders>
            <w:shd w:val="clear" w:color="auto" w:fill="auto"/>
            <w:vAlign w:val="center"/>
          </w:tcPr>
          <w:p w14:paraId="041E1DB6">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PM</w:t>
            </w:r>
            <w:r>
              <w:rPr>
                <w:rFonts w:hint="eastAsia"/>
                <w:color w:val="auto"/>
                <w:sz w:val="21"/>
                <w:szCs w:val="21"/>
                <w:vertAlign w:val="subscript"/>
              </w:rPr>
              <w:t>2.5</w:t>
            </w:r>
          </w:p>
        </w:tc>
        <w:tc>
          <w:tcPr>
            <w:tcW w:w="2073" w:type="dxa"/>
            <w:shd w:val="clear" w:color="auto" w:fill="auto"/>
            <w:vAlign w:val="center"/>
          </w:tcPr>
          <w:p w14:paraId="76550EFF">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4.9919</w:t>
            </w:r>
          </w:p>
        </w:tc>
        <w:tc>
          <w:tcPr>
            <w:tcW w:w="1033" w:type="dxa"/>
            <w:tcBorders>
              <w:top w:val="single" w:color="auto" w:sz="4" w:space="0"/>
              <w:bottom w:val="single" w:color="auto" w:sz="4" w:space="0"/>
            </w:tcBorders>
            <w:shd w:val="clear" w:color="auto" w:fill="auto"/>
            <w:vAlign w:val="center"/>
          </w:tcPr>
          <w:p w14:paraId="52C63A5F">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2.77</w:t>
            </w:r>
          </w:p>
        </w:tc>
        <w:tc>
          <w:tcPr>
            <w:tcW w:w="697" w:type="dxa"/>
            <w:vMerge w:val="continue"/>
            <w:shd w:val="clear" w:color="auto" w:fill="auto"/>
            <w:vAlign w:val="center"/>
          </w:tcPr>
          <w:p w14:paraId="304C8050">
            <w:pPr>
              <w:bidi w:val="0"/>
              <w:spacing w:line="240" w:lineRule="auto"/>
              <w:jc w:val="center"/>
              <w:rPr>
                <w:rFonts w:hint="eastAsia" w:ascii="Times New Roman" w:hAnsi="Times New Roman" w:eastAsia="宋体" w:cs="宋体"/>
                <w:color w:val="auto"/>
                <w:sz w:val="21"/>
                <w:szCs w:val="21"/>
                <w:lang w:val="en-US" w:eastAsia="zh-CN" w:bidi="ar-SA"/>
              </w:rPr>
            </w:pPr>
          </w:p>
        </w:tc>
        <w:tc>
          <w:tcPr>
            <w:tcW w:w="1022" w:type="dxa"/>
            <w:vMerge w:val="continue"/>
            <w:vAlign w:val="center"/>
          </w:tcPr>
          <w:p w14:paraId="4DDFD8E2">
            <w:pPr>
              <w:bidi w:val="0"/>
              <w:spacing w:line="240" w:lineRule="auto"/>
              <w:jc w:val="center"/>
              <w:rPr>
                <w:color w:val="auto"/>
                <w:sz w:val="21"/>
                <w:szCs w:val="21"/>
              </w:rPr>
            </w:pPr>
          </w:p>
        </w:tc>
      </w:tr>
      <w:tr w14:paraId="4A56C1D7">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016CC8AA">
            <w:pPr>
              <w:bidi w:val="0"/>
              <w:spacing w:line="240" w:lineRule="auto"/>
              <w:jc w:val="center"/>
              <w:rPr>
                <w:color w:val="auto"/>
                <w:sz w:val="21"/>
                <w:szCs w:val="21"/>
              </w:rPr>
            </w:pPr>
          </w:p>
        </w:tc>
        <w:tc>
          <w:tcPr>
            <w:tcW w:w="836" w:type="dxa"/>
            <w:tcBorders>
              <w:left w:val="single" w:color="auto" w:sz="4" w:space="0"/>
              <w:right w:val="single" w:color="auto" w:sz="4" w:space="0"/>
            </w:tcBorders>
            <w:vAlign w:val="center"/>
          </w:tcPr>
          <w:p w14:paraId="046DF0CF">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DA023</w:t>
            </w:r>
          </w:p>
        </w:tc>
        <w:tc>
          <w:tcPr>
            <w:tcW w:w="1337" w:type="dxa"/>
            <w:vAlign w:val="center"/>
          </w:tcPr>
          <w:p w14:paraId="5356DCA3">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丝网印刷、烧结</w:t>
            </w:r>
            <w:r>
              <w:rPr>
                <w:rFonts w:hint="eastAsia"/>
                <w:color w:val="auto"/>
                <w:sz w:val="21"/>
                <w:szCs w:val="21"/>
              </w:rPr>
              <w:t>废气排气筒</w:t>
            </w:r>
          </w:p>
        </w:tc>
        <w:tc>
          <w:tcPr>
            <w:tcW w:w="1450" w:type="dxa"/>
            <w:tcBorders>
              <w:left w:val="single" w:color="auto" w:sz="4" w:space="0"/>
            </w:tcBorders>
            <w:shd w:val="clear" w:color="auto" w:fill="auto"/>
            <w:vAlign w:val="center"/>
          </w:tcPr>
          <w:p w14:paraId="3452D0E6">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36B73BA2">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16.059</w:t>
            </w:r>
          </w:p>
        </w:tc>
        <w:tc>
          <w:tcPr>
            <w:tcW w:w="1033" w:type="dxa"/>
            <w:tcBorders>
              <w:top w:val="single" w:color="auto" w:sz="4" w:space="0"/>
              <w:bottom w:val="single" w:color="auto" w:sz="4" w:space="0"/>
            </w:tcBorders>
            <w:shd w:val="clear" w:color="auto" w:fill="auto"/>
            <w:vAlign w:val="center"/>
          </w:tcPr>
          <w:p w14:paraId="05CF6CE1">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0.80</w:t>
            </w:r>
          </w:p>
        </w:tc>
        <w:tc>
          <w:tcPr>
            <w:tcW w:w="697" w:type="dxa"/>
            <w:shd w:val="clear" w:color="auto" w:fill="auto"/>
            <w:vAlign w:val="center"/>
          </w:tcPr>
          <w:p w14:paraId="483F105D">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lang w:val="en-US" w:eastAsia="zh-CN"/>
              </w:rPr>
              <w:t>/</w:t>
            </w:r>
          </w:p>
        </w:tc>
        <w:tc>
          <w:tcPr>
            <w:tcW w:w="1022" w:type="dxa"/>
            <w:vAlign w:val="center"/>
          </w:tcPr>
          <w:p w14:paraId="0418E508">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45C518C5">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restart"/>
            <w:tcBorders>
              <w:right w:val="single" w:color="auto" w:sz="4" w:space="0"/>
            </w:tcBorders>
            <w:vAlign w:val="center"/>
          </w:tcPr>
          <w:p w14:paraId="7988AC2D">
            <w:pPr>
              <w:bidi w:val="0"/>
              <w:spacing w:line="240" w:lineRule="auto"/>
              <w:jc w:val="center"/>
              <w:rPr>
                <w:color w:val="auto"/>
                <w:sz w:val="21"/>
                <w:szCs w:val="21"/>
              </w:rPr>
            </w:pPr>
            <w:r>
              <w:rPr>
                <w:color w:val="auto"/>
                <w:sz w:val="21"/>
                <w:szCs w:val="21"/>
              </w:rPr>
              <w:t>无组织</w:t>
            </w:r>
          </w:p>
        </w:tc>
        <w:tc>
          <w:tcPr>
            <w:tcW w:w="836" w:type="dxa"/>
            <w:vMerge w:val="restart"/>
            <w:tcBorders>
              <w:left w:val="single" w:color="auto" w:sz="4" w:space="0"/>
            </w:tcBorders>
            <w:vAlign w:val="center"/>
          </w:tcPr>
          <w:p w14:paraId="43C9B4FF">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电池片车间1</w:t>
            </w:r>
          </w:p>
        </w:tc>
        <w:tc>
          <w:tcPr>
            <w:tcW w:w="1337" w:type="dxa"/>
            <w:vMerge w:val="restart"/>
            <w:vAlign w:val="center"/>
          </w:tcPr>
          <w:p w14:paraId="59228F1D">
            <w:pPr>
              <w:bidi w:val="0"/>
              <w:spacing w:line="240" w:lineRule="auto"/>
              <w:jc w:val="center"/>
              <w:rPr>
                <w:color w:val="auto"/>
                <w:sz w:val="21"/>
                <w:szCs w:val="21"/>
              </w:rPr>
            </w:pPr>
            <w:r>
              <w:rPr>
                <w:rFonts w:hint="eastAsia"/>
                <w:color w:val="auto"/>
                <w:sz w:val="21"/>
                <w:szCs w:val="21"/>
                <w:lang w:val="en-US" w:eastAsia="zh-CN"/>
              </w:rPr>
              <w:t>电池片</w:t>
            </w:r>
            <w:r>
              <w:rPr>
                <w:rFonts w:hint="eastAsia"/>
                <w:color w:val="auto"/>
                <w:sz w:val="21"/>
                <w:szCs w:val="21"/>
              </w:rPr>
              <w:t>生产线</w:t>
            </w:r>
          </w:p>
        </w:tc>
        <w:tc>
          <w:tcPr>
            <w:tcW w:w="1450" w:type="dxa"/>
            <w:tcBorders>
              <w:top w:val="single" w:color="auto" w:sz="4" w:space="0"/>
              <w:bottom w:val="single" w:color="auto" w:sz="4" w:space="0"/>
            </w:tcBorders>
            <w:shd w:val="clear" w:color="auto" w:fill="auto"/>
            <w:vAlign w:val="center"/>
          </w:tcPr>
          <w:p w14:paraId="3072308A">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476EFA84">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22.32965</w:t>
            </w:r>
          </w:p>
        </w:tc>
        <w:tc>
          <w:tcPr>
            <w:tcW w:w="1033" w:type="dxa"/>
            <w:tcBorders>
              <w:top w:val="single" w:color="auto" w:sz="4" w:space="0"/>
            </w:tcBorders>
            <w:shd w:val="clear" w:color="auto" w:fill="auto"/>
            <w:vAlign w:val="center"/>
          </w:tcPr>
          <w:p w14:paraId="4D637D46">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1.12</w:t>
            </w:r>
          </w:p>
        </w:tc>
        <w:tc>
          <w:tcPr>
            <w:tcW w:w="697" w:type="dxa"/>
            <w:vMerge w:val="restart"/>
            <w:tcBorders>
              <w:top w:val="single" w:color="auto" w:sz="4" w:space="0"/>
            </w:tcBorders>
            <w:vAlign w:val="center"/>
          </w:tcPr>
          <w:p w14:paraId="5189BD0F">
            <w:pPr>
              <w:bidi w:val="0"/>
              <w:spacing w:line="240" w:lineRule="auto"/>
              <w:jc w:val="center"/>
              <w:rPr>
                <w:rFonts w:hint="default"/>
                <w:color w:val="auto"/>
                <w:sz w:val="21"/>
                <w:szCs w:val="21"/>
                <w:lang w:val="en-US" w:eastAsia="zh-CN"/>
              </w:rPr>
            </w:pPr>
            <w:r>
              <w:rPr>
                <w:rFonts w:hint="eastAsia"/>
                <w:color w:val="auto"/>
                <w:sz w:val="21"/>
                <w:szCs w:val="21"/>
                <w:lang w:val="en-US" w:eastAsia="zh-CN"/>
              </w:rPr>
              <w:t>/</w:t>
            </w:r>
          </w:p>
        </w:tc>
        <w:tc>
          <w:tcPr>
            <w:tcW w:w="1022" w:type="dxa"/>
            <w:vMerge w:val="restart"/>
            <w:tcBorders>
              <w:top w:val="single" w:color="auto" w:sz="4" w:space="0"/>
            </w:tcBorders>
            <w:vAlign w:val="center"/>
          </w:tcPr>
          <w:p w14:paraId="0EB84E4F">
            <w:pPr>
              <w:bidi w:val="0"/>
              <w:spacing w:line="240" w:lineRule="auto"/>
              <w:jc w:val="center"/>
              <w:rPr>
                <w:rFonts w:hint="default"/>
                <w:color w:val="auto"/>
                <w:sz w:val="21"/>
                <w:szCs w:val="21"/>
                <w:lang w:val="en-US" w:eastAsia="zh-CN"/>
              </w:rPr>
            </w:pPr>
            <w:r>
              <w:rPr>
                <w:rFonts w:hint="eastAsia"/>
                <w:color w:val="auto"/>
                <w:sz w:val="21"/>
                <w:szCs w:val="21"/>
                <w:lang w:val="en-US" w:eastAsia="zh-CN"/>
              </w:rPr>
              <w:t>259</w:t>
            </w:r>
          </w:p>
        </w:tc>
      </w:tr>
      <w:tr w14:paraId="036C286C">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3C00C31F">
            <w:pPr>
              <w:bidi w:val="0"/>
              <w:spacing w:line="240" w:lineRule="auto"/>
              <w:jc w:val="center"/>
              <w:rPr>
                <w:color w:val="auto"/>
                <w:sz w:val="21"/>
                <w:szCs w:val="21"/>
              </w:rPr>
            </w:pPr>
          </w:p>
        </w:tc>
        <w:tc>
          <w:tcPr>
            <w:tcW w:w="836" w:type="dxa"/>
            <w:vMerge w:val="continue"/>
            <w:tcBorders>
              <w:left w:val="single" w:color="auto" w:sz="4" w:space="0"/>
            </w:tcBorders>
            <w:vAlign w:val="center"/>
          </w:tcPr>
          <w:p w14:paraId="3773F427">
            <w:pPr>
              <w:bidi w:val="0"/>
              <w:spacing w:line="240" w:lineRule="auto"/>
              <w:jc w:val="center"/>
              <w:rPr>
                <w:color w:val="auto"/>
                <w:sz w:val="21"/>
                <w:szCs w:val="21"/>
              </w:rPr>
            </w:pPr>
          </w:p>
        </w:tc>
        <w:tc>
          <w:tcPr>
            <w:tcW w:w="1337" w:type="dxa"/>
            <w:vMerge w:val="continue"/>
            <w:vAlign w:val="center"/>
          </w:tcPr>
          <w:p w14:paraId="08FD8D60">
            <w:pPr>
              <w:bidi w:val="0"/>
              <w:spacing w:line="240" w:lineRule="auto"/>
              <w:jc w:val="center"/>
              <w:rPr>
                <w:color w:val="auto"/>
                <w:sz w:val="21"/>
                <w:szCs w:val="21"/>
              </w:rPr>
            </w:pPr>
          </w:p>
        </w:tc>
        <w:tc>
          <w:tcPr>
            <w:tcW w:w="1450" w:type="dxa"/>
            <w:tcBorders>
              <w:top w:val="single" w:color="auto" w:sz="4" w:space="0"/>
              <w:bottom w:val="single" w:color="auto" w:sz="4" w:space="0"/>
            </w:tcBorders>
            <w:shd w:val="clear" w:color="auto" w:fill="auto"/>
            <w:vAlign w:val="center"/>
          </w:tcPr>
          <w:p w14:paraId="6A6623A5">
            <w:pPr>
              <w:bidi w:val="0"/>
              <w:spacing w:line="240" w:lineRule="auto"/>
              <w:jc w:val="center"/>
              <w:rPr>
                <w:rFonts w:ascii="Times New Roman" w:hAnsi="Times New Roman" w:eastAsia="宋体" w:cs="宋体"/>
                <w:color w:val="auto"/>
                <w:sz w:val="21"/>
                <w:szCs w:val="21"/>
                <w:lang w:val="en-US" w:eastAsia="zh-CN" w:bidi="ar-SA"/>
              </w:rPr>
            </w:pPr>
            <w:r>
              <w:rPr>
                <w:rFonts w:hint="eastAsia"/>
                <w:color w:val="auto"/>
                <w:sz w:val="21"/>
                <w:szCs w:val="21"/>
              </w:rPr>
              <w:t>TSP</w:t>
            </w:r>
          </w:p>
        </w:tc>
        <w:tc>
          <w:tcPr>
            <w:tcW w:w="2073" w:type="dxa"/>
            <w:shd w:val="clear" w:color="auto" w:fill="auto"/>
            <w:vAlign w:val="center"/>
          </w:tcPr>
          <w:p w14:paraId="518D7EE7">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0.59618</w:t>
            </w:r>
          </w:p>
        </w:tc>
        <w:tc>
          <w:tcPr>
            <w:tcW w:w="1033" w:type="dxa"/>
            <w:shd w:val="clear" w:color="auto" w:fill="auto"/>
            <w:vAlign w:val="center"/>
          </w:tcPr>
          <w:p w14:paraId="199448D7">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0.07</w:t>
            </w:r>
          </w:p>
        </w:tc>
        <w:tc>
          <w:tcPr>
            <w:tcW w:w="697" w:type="dxa"/>
            <w:vMerge w:val="continue"/>
            <w:vAlign w:val="center"/>
          </w:tcPr>
          <w:p w14:paraId="2FA42FE0">
            <w:pPr>
              <w:bidi w:val="0"/>
              <w:spacing w:line="240" w:lineRule="auto"/>
              <w:jc w:val="center"/>
              <w:rPr>
                <w:rFonts w:hint="eastAsia"/>
                <w:color w:val="auto"/>
                <w:sz w:val="21"/>
                <w:szCs w:val="21"/>
                <w:lang w:val="en-US" w:eastAsia="zh-CN"/>
              </w:rPr>
            </w:pPr>
          </w:p>
        </w:tc>
        <w:tc>
          <w:tcPr>
            <w:tcW w:w="1022" w:type="dxa"/>
            <w:vMerge w:val="continue"/>
            <w:vAlign w:val="center"/>
          </w:tcPr>
          <w:p w14:paraId="2AAB30E7">
            <w:pPr>
              <w:bidi w:val="0"/>
              <w:spacing w:line="240" w:lineRule="auto"/>
              <w:jc w:val="center"/>
              <w:rPr>
                <w:color w:val="auto"/>
                <w:sz w:val="21"/>
                <w:szCs w:val="21"/>
              </w:rPr>
            </w:pPr>
          </w:p>
        </w:tc>
      </w:tr>
    </w:tbl>
    <w:p w14:paraId="43210712">
      <w:pPr>
        <w:bidi w:val="0"/>
        <w:ind w:firstLine="480" w:firstLineChars="200"/>
        <w:rPr>
          <w:color w:val="auto"/>
        </w:rPr>
      </w:pPr>
      <w:r>
        <w:rPr>
          <w:rFonts w:hint="eastAsia"/>
          <w:color w:val="auto"/>
        </w:rPr>
        <w:t>根据估算结果，</w:t>
      </w:r>
      <w:r>
        <w:rPr>
          <w:color w:val="auto"/>
        </w:rPr>
        <w:t>项目污染物最大地面质量浓度占标率为</w:t>
      </w:r>
      <w:r>
        <w:rPr>
          <w:rFonts w:hint="eastAsia"/>
          <w:color w:val="auto"/>
          <w:lang w:val="en-US" w:eastAsia="zh-CN"/>
        </w:rPr>
        <w:t>四分片钝化</w:t>
      </w:r>
      <w:r>
        <w:rPr>
          <w:rFonts w:hint="eastAsia"/>
          <w:color w:val="auto"/>
        </w:rPr>
        <w:t>废气排气筒</w:t>
      </w:r>
      <w:r>
        <w:rPr>
          <w:rFonts w:hint="eastAsia"/>
          <w:color w:val="auto"/>
          <w:lang w:val="en-US" w:eastAsia="zh-CN"/>
        </w:rPr>
        <w:t>DA008</w:t>
      </w:r>
      <w:r>
        <w:rPr>
          <w:rFonts w:hint="eastAsia"/>
          <w:color w:val="auto"/>
        </w:rPr>
        <w:t>排放的</w:t>
      </w:r>
      <w:r>
        <w:rPr>
          <w:rFonts w:hint="eastAsia"/>
          <w:color w:val="auto"/>
          <w:lang w:val="en-US"/>
        </w:rPr>
        <w:t>PM</w:t>
      </w:r>
      <w:r>
        <w:rPr>
          <w:rFonts w:hint="eastAsia"/>
          <w:color w:val="auto"/>
          <w:vertAlign w:val="subscript"/>
          <w:lang w:val="en-US" w:eastAsia="zh-CN"/>
        </w:rPr>
        <w:t>10</w:t>
      </w:r>
      <w:r>
        <w:rPr>
          <w:rFonts w:hint="eastAsia"/>
          <w:color w:val="auto"/>
        </w:rPr>
        <w:t>，</w:t>
      </w:r>
      <w:r>
        <w:rPr>
          <w:rFonts w:ascii="宋体" w:hAnsi="宋体"/>
          <w:color w:val="auto"/>
        </w:rPr>
        <w:t>最大落</w:t>
      </w:r>
      <w:r>
        <w:rPr>
          <w:rFonts w:hint="eastAsia" w:ascii="宋体" w:hAnsi="宋体"/>
          <w:color w:val="auto"/>
        </w:rPr>
        <w:t>地浓度</w:t>
      </w:r>
      <w:r>
        <w:rPr>
          <w:rFonts w:hint="default" w:ascii="Times New Roman" w:hAnsi="Times New Roman" w:cs="Times New Roman"/>
          <w:color w:val="auto"/>
        </w:rPr>
        <w:t>为</w:t>
      </w:r>
      <w:r>
        <w:rPr>
          <w:rFonts w:hint="default" w:ascii="Times New Roman" w:hAnsi="Times New Roman" w:cs="Times New Roman"/>
          <w:color w:val="auto"/>
          <w:lang w:val="en-US" w:eastAsia="zh-CN"/>
        </w:rPr>
        <w:t>9.9838u</w:t>
      </w:r>
      <w:r>
        <w:rPr>
          <w:rFonts w:hint="default" w:ascii="Times New Roman" w:hAnsi="Times New Roman" w:eastAsia="Times New Roman" w:cs="Times New Roman"/>
          <w:color w:val="auto"/>
        </w:rPr>
        <w:t>g/m</w:t>
      </w:r>
      <w:r>
        <w:rPr>
          <w:rFonts w:eastAsia="Times New Roman"/>
          <w:color w:val="auto"/>
          <w:vertAlign w:val="superscript"/>
        </w:rPr>
        <w:t>3</w:t>
      </w:r>
      <w:r>
        <w:rPr>
          <w:rFonts w:hint="eastAsia" w:ascii="宋体" w:hAnsi="宋体"/>
          <w:color w:val="auto"/>
        </w:rPr>
        <w:t>，</w:t>
      </w:r>
      <w:r>
        <w:rPr>
          <w:color w:val="auto"/>
        </w:rPr>
        <w:t>Pmax为1%≤</w:t>
      </w:r>
      <w:r>
        <w:rPr>
          <w:rFonts w:hint="eastAsia"/>
          <w:color w:val="auto"/>
          <w:lang w:val="en-US" w:eastAsia="zh-CN"/>
        </w:rPr>
        <w:t>2.77</w:t>
      </w:r>
      <w:r>
        <w:rPr>
          <w:color w:val="auto"/>
        </w:rPr>
        <w:t>%＜10%，故项目的</w:t>
      </w:r>
      <w:r>
        <w:rPr>
          <w:rFonts w:hint="eastAsia"/>
          <w:color w:val="auto"/>
        </w:rPr>
        <w:t>大气环境影响</w:t>
      </w:r>
      <w:r>
        <w:rPr>
          <w:color w:val="auto"/>
        </w:rPr>
        <w:t>评价等级为</w:t>
      </w:r>
      <w:r>
        <w:rPr>
          <w:rFonts w:hint="eastAsia"/>
          <w:color w:val="auto"/>
          <w:lang w:val="en-US" w:eastAsia="zh-CN"/>
        </w:rPr>
        <w:t>二</w:t>
      </w:r>
      <w:r>
        <w:rPr>
          <w:color w:val="auto"/>
        </w:rPr>
        <w:t>级</w:t>
      </w:r>
      <w:r>
        <w:rPr>
          <w:rFonts w:hint="eastAsia"/>
          <w:color w:val="auto"/>
          <w:lang w:eastAsia="zh-CN"/>
        </w:rPr>
        <w:t>，</w:t>
      </w:r>
      <w:r>
        <w:rPr>
          <w:rFonts w:hint="eastAsia"/>
          <w:color w:val="auto"/>
          <w:lang w:val="en-US" w:eastAsia="zh-CN"/>
        </w:rPr>
        <w:t>因此</w:t>
      </w:r>
      <w:r>
        <w:rPr>
          <w:color w:val="auto"/>
        </w:rPr>
        <w:t>确定</w:t>
      </w:r>
      <w:r>
        <w:rPr>
          <w:rFonts w:hint="eastAsia"/>
          <w:color w:val="auto"/>
          <w:lang w:val="en-US" w:eastAsia="zh-CN"/>
        </w:rPr>
        <w:t>本</w:t>
      </w:r>
      <w:r>
        <w:rPr>
          <w:color w:val="auto"/>
        </w:rPr>
        <w:t>项目</w:t>
      </w:r>
      <w:r>
        <w:rPr>
          <w:rFonts w:hint="eastAsia"/>
          <w:color w:val="auto"/>
          <w:lang w:val="en-US" w:eastAsia="zh-CN"/>
        </w:rPr>
        <w:t>大气</w:t>
      </w:r>
      <w:r>
        <w:rPr>
          <w:color w:val="auto"/>
        </w:rPr>
        <w:t>评价范围为以厂区中心点为中心，边长5km的矩形区域。</w:t>
      </w:r>
    </w:p>
    <w:p w14:paraId="3AF20B44">
      <w:pPr>
        <w:bidi w:val="0"/>
        <w:ind w:firstLine="480" w:firstLineChars="200"/>
        <w:rPr>
          <w:color w:val="auto"/>
        </w:rPr>
      </w:pPr>
      <w:r>
        <w:rPr>
          <w:rFonts w:hint="eastAsia"/>
          <w:color w:val="auto"/>
          <w:lang w:eastAsia="zh-CN"/>
        </w:rPr>
        <w:t>（</w:t>
      </w:r>
      <w:r>
        <w:rPr>
          <w:rFonts w:hint="eastAsia"/>
          <w:color w:val="auto"/>
          <w:lang w:val="en-US" w:eastAsia="zh-CN"/>
        </w:rPr>
        <w:t>2</w:t>
      </w:r>
      <w:r>
        <w:rPr>
          <w:rFonts w:hint="eastAsia"/>
          <w:color w:val="auto"/>
          <w:lang w:eastAsia="zh-CN"/>
        </w:rPr>
        <w:t>）</w:t>
      </w:r>
      <w:r>
        <w:rPr>
          <w:color w:val="auto"/>
        </w:rPr>
        <w:t>地表水环境</w:t>
      </w:r>
    </w:p>
    <w:p w14:paraId="034D02D9">
      <w:pPr>
        <w:spacing w:line="360" w:lineRule="auto"/>
        <w:ind w:firstLine="480" w:firstLineChars="200"/>
        <w:jc w:val="both"/>
        <w:rPr>
          <w:rFonts w:ascii="Times New Roman" w:hAnsi="Times New Roman" w:cs="Times New Roman"/>
        </w:rPr>
      </w:pPr>
      <w:bookmarkStart w:id="74" w:name="OLE_LINK12"/>
      <w:r>
        <w:rPr>
          <w:rFonts w:hint="default" w:ascii="Times New Roman" w:hAnsi="Times New Roman" w:cs="Times New Roman"/>
          <w:lang w:val="en-US" w:eastAsia="zh-CN"/>
        </w:rPr>
        <w:t>本次技改项目新增废水主要有铝舟及周托清洗废水、激光划片废水、纯水制备浓水、废气治理设施废水等。其中铝舟及周托清洗废水进入</w:t>
      </w:r>
      <w:r>
        <w:rPr>
          <w:rFonts w:hint="eastAsia" w:ascii="Times New Roman" w:hAnsi="Times New Roman" w:cs="Times New Roman"/>
          <w:lang w:val="en-US" w:eastAsia="zh-CN"/>
        </w:rPr>
        <w:t>浓</w:t>
      </w:r>
      <w:r>
        <w:rPr>
          <w:rFonts w:hint="default" w:ascii="Times New Roman" w:hAnsi="Times New Roman" w:cs="Times New Roman"/>
          <w:lang w:val="en-US" w:eastAsia="zh-CN"/>
        </w:rPr>
        <w:t>碱废水收集池；激光划片废水和废气治理设施废水进入稀碱废水收集池；依托厂区现有除氟系统处理后，与纯水制备浓水一起排入市政污水管网接入合肥循环经济示范园第二污水处理厂集中处理</w:t>
      </w:r>
      <w:r>
        <w:rPr>
          <w:rFonts w:ascii="Times New Roman" w:hAnsi="Times New Roman" w:cs="Times New Roman"/>
        </w:rPr>
        <w:t>。本项目</w:t>
      </w:r>
      <w:r>
        <w:rPr>
          <w:rFonts w:hint="eastAsia" w:ascii="Times New Roman" w:hAnsi="Times New Roman" w:cs="Times New Roman"/>
        </w:rPr>
        <w:t>属于</w:t>
      </w:r>
      <w:r>
        <w:rPr>
          <w:rFonts w:ascii="Times New Roman" w:hAnsi="Times New Roman" w:cs="Times New Roman"/>
        </w:rPr>
        <w:t>水污染影响型建设项目</w:t>
      </w:r>
      <w:r>
        <w:rPr>
          <w:rFonts w:hint="eastAsia" w:ascii="Times New Roman" w:hAnsi="Times New Roman" w:cs="Times New Roman"/>
        </w:rPr>
        <w:t>，排放方式为</w:t>
      </w:r>
      <w:r>
        <w:rPr>
          <w:rFonts w:ascii="Times New Roman" w:hAnsi="Times New Roman" w:cs="Times New Roman"/>
        </w:rPr>
        <w:t>间接排放</w:t>
      </w:r>
      <w:r>
        <w:rPr>
          <w:rFonts w:hint="eastAsia" w:ascii="Times New Roman" w:hAnsi="Times New Roman" w:cs="Times New Roman"/>
        </w:rPr>
        <w:t>，</w:t>
      </w:r>
      <w:r>
        <w:rPr>
          <w:rFonts w:ascii="Times New Roman" w:hAnsi="Times New Roman" w:cs="Times New Roman"/>
        </w:rPr>
        <w:t>根据《环境影响评价技术导则 地表水环境》（HJ2.3-2018），判定项目</w:t>
      </w:r>
      <w:r>
        <w:rPr>
          <w:rFonts w:hint="eastAsia" w:ascii="Times New Roman" w:hAnsi="Times New Roman" w:cs="Times New Roman"/>
        </w:rPr>
        <w:t>地表</w:t>
      </w:r>
      <w:r>
        <w:rPr>
          <w:rFonts w:ascii="Times New Roman" w:hAnsi="Times New Roman" w:cs="Times New Roman"/>
        </w:rPr>
        <w:t>水环境影响评价等级为三级B</w:t>
      </w:r>
      <w:r>
        <w:rPr>
          <w:rFonts w:hint="eastAsia" w:ascii="Times New Roman" w:hAnsi="Times New Roman" w:cs="Times New Roman"/>
        </w:rPr>
        <w:t>。</w:t>
      </w:r>
      <w:r>
        <w:rPr>
          <w:rFonts w:ascii="Times New Roman" w:hAnsi="Times New Roman" w:cs="Times New Roman"/>
        </w:rPr>
        <w:t>水污染影响型建设项目评价等级判定见下表。</w:t>
      </w:r>
    </w:p>
    <w:p w14:paraId="3C72DDEE">
      <w:pPr>
        <w:bidi w:val="0"/>
        <w:jc w:val="center"/>
        <w:rPr>
          <w:b/>
          <w:bCs/>
        </w:rPr>
      </w:pPr>
      <w:r>
        <w:rPr>
          <w:b/>
          <w:bCs/>
        </w:rPr>
        <w:t>表2.</w:t>
      </w:r>
      <w:r>
        <w:rPr>
          <w:rFonts w:hint="eastAsia"/>
          <w:b/>
          <w:bCs/>
          <w:lang w:val="en-US" w:eastAsia="zh-CN"/>
        </w:rPr>
        <w:t>4</w:t>
      </w:r>
      <w:r>
        <w:rPr>
          <w:b/>
          <w:bCs/>
        </w:rPr>
        <w:t>.1-4 地表水评价等级判定一览表</w:t>
      </w:r>
    </w:p>
    <w:tbl>
      <w:tblPr>
        <w:tblStyle w:val="1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1"/>
        <w:gridCol w:w="2096"/>
        <w:gridCol w:w="5532"/>
      </w:tblGrid>
      <w:tr w14:paraId="3F33F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blHeader/>
          <w:jc w:val="center"/>
        </w:trPr>
        <w:tc>
          <w:tcPr>
            <w:tcW w:w="1014" w:type="pct"/>
            <w:vMerge w:val="restart"/>
            <w:vAlign w:val="center"/>
          </w:tcPr>
          <w:p w14:paraId="1DB8B58D">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b/>
                <w:bCs/>
                <w:sz w:val="21"/>
                <w:szCs w:val="21"/>
              </w:rPr>
            </w:pPr>
            <w:r>
              <w:rPr>
                <w:rFonts w:hint="eastAsia" w:ascii="Times New Roman" w:hAnsi="Times New Roman" w:cs="Times New Roman"/>
                <w:b/>
                <w:bCs/>
                <w:sz w:val="21"/>
                <w:szCs w:val="21"/>
              </w:rPr>
              <w:t>评价等级</w:t>
            </w:r>
          </w:p>
        </w:tc>
        <w:tc>
          <w:tcPr>
            <w:tcW w:w="3985" w:type="pct"/>
            <w:gridSpan w:val="2"/>
            <w:vAlign w:val="center"/>
          </w:tcPr>
          <w:p w14:paraId="5219B4A5">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b/>
                <w:bCs/>
                <w:sz w:val="21"/>
                <w:szCs w:val="21"/>
              </w:rPr>
            </w:pPr>
            <w:r>
              <w:rPr>
                <w:rFonts w:hint="eastAsia" w:ascii="Times New Roman" w:hAnsi="Times New Roman" w:cs="Times New Roman"/>
                <w:b/>
                <w:bCs/>
                <w:sz w:val="21"/>
                <w:szCs w:val="21"/>
              </w:rPr>
              <w:t>判定依据</w:t>
            </w:r>
          </w:p>
        </w:tc>
      </w:tr>
      <w:tr w14:paraId="289EF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tblHeader/>
          <w:jc w:val="center"/>
        </w:trPr>
        <w:tc>
          <w:tcPr>
            <w:tcW w:w="1014" w:type="pct"/>
            <w:vMerge w:val="continue"/>
            <w:vAlign w:val="center"/>
          </w:tcPr>
          <w:p w14:paraId="46961243">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b/>
                <w:bCs/>
                <w:sz w:val="21"/>
                <w:szCs w:val="21"/>
              </w:rPr>
            </w:pPr>
          </w:p>
        </w:tc>
        <w:tc>
          <w:tcPr>
            <w:tcW w:w="1095" w:type="pct"/>
            <w:vAlign w:val="center"/>
          </w:tcPr>
          <w:p w14:paraId="064763D8">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b/>
                <w:bCs/>
                <w:sz w:val="21"/>
                <w:szCs w:val="21"/>
              </w:rPr>
            </w:pPr>
            <w:r>
              <w:rPr>
                <w:rFonts w:hint="eastAsia" w:ascii="Times New Roman" w:hAnsi="Times New Roman" w:cs="Times New Roman"/>
                <w:b/>
                <w:bCs/>
                <w:sz w:val="21"/>
                <w:szCs w:val="21"/>
              </w:rPr>
              <w:t>排放方式</w:t>
            </w:r>
          </w:p>
        </w:tc>
        <w:tc>
          <w:tcPr>
            <w:tcW w:w="2890" w:type="pct"/>
            <w:vAlign w:val="center"/>
          </w:tcPr>
          <w:p w14:paraId="7BCDFE3A">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b/>
                <w:bCs/>
                <w:sz w:val="21"/>
                <w:szCs w:val="21"/>
              </w:rPr>
            </w:pPr>
            <w:r>
              <w:rPr>
                <w:rFonts w:hint="eastAsia" w:ascii="Times New Roman" w:hAnsi="Times New Roman" w:cs="Times New Roman"/>
                <w:b/>
                <w:bCs/>
                <w:sz w:val="21"/>
                <w:szCs w:val="21"/>
              </w:rPr>
              <w:t>废水排放量Q/m³/d、水污染当量数W/（无量纲）</w:t>
            </w:r>
          </w:p>
        </w:tc>
      </w:tr>
      <w:tr w14:paraId="625AA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014" w:type="pct"/>
            <w:vAlign w:val="center"/>
          </w:tcPr>
          <w:p w14:paraId="746D1697">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一级</w:t>
            </w:r>
          </w:p>
        </w:tc>
        <w:tc>
          <w:tcPr>
            <w:tcW w:w="1095" w:type="pct"/>
            <w:vAlign w:val="center"/>
          </w:tcPr>
          <w:p w14:paraId="18088B34">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直接排放</w:t>
            </w:r>
          </w:p>
        </w:tc>
        <w:tc>
          <w:tcPr>
            <w:tcW w:w="2890" w:type="pct"/>
            <w:vAlign w:val="center"/>
          </w:tcPr>
          <w:p w14:paraId="1AD1168B">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Q≥20000或W≥600000</w:t>
            </w:r>
          </w:p>
        </w:tc>
      </w:tr>
      <w:tr w14:paraId="45035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014" w:type="pct"/>
            <w:vAlign w:val="center"/>
          </w:tcPr>
          <w:p w14:paraId="4A86DCF1">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二级</w:t>
            </w:r>
          </w:p>
        </w:tc>
        <w:tc>
          <w:tcPr>
            <w:tcW w:w="1095" w:type="pct"/>
            <w:vAlign w:val="center"/>
          </w:tcPr>
          <w:p w14:paraId="32D6E291">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直接排放</w:t>
            </w:r>
          </w:p>
        </w:tc>
        <w:tc>
          <w:tcPr>
            <w:tcW w:w="2890" w:type="pct"/>
            <w:vAlign w:val="center"/>
          </w:tcPr>
          <w:p w14:paraId="78BEA66B">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其他</w:t>
            </w:r>
          </w:p>
        </w:tc>
      </w:tr>
      <w:tr w14:paraId="4B38D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014" w:type="pct"/>
            <w:vAlign w:val="center"/>
          </w:tcPr>
          <w:p w14:paraId="2D2A5A79">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三级A</w:t>
            </w:r>
          </w:p>
        </w:tc>
        <w:tc>
          <w:tcPr>
            <w:tcW w:w="1095" w:type="pct"/>
            <w:vAlign w:val="center"/>
          </w:tcPr>
          <w:p w14:paraId="4CDDAE05">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直接排放</w:t>
            </w:r>
          </w:p>
        </w:tc>
        <w:tc>
          <w:tcPr>
            <w:tcW w:w="2890" w:type="pct"/>
            <w:vAlign w:val="center"/>
          </w:tcPr>
          <w:p w14:paraId="6F69DC64">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Q＜200且W＜6000</w:t>
            </w:r>
          </w:p>
        </w:tc>
      </w:tr>
      <w:tr w14:paraId="16E90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014" w:type="pct"/>
            <w:shd w:val="clear" w:color="auto" w:fill="BEBEBE" w:themeFill="background1" w:themeFillShade="BF"/>
            <w:vAlign w:val="center"/>
          </w:tcPr>
          <w:p w14:paraId="5F51F131">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三级B</w:t>
            </w:r>
          </w:p>
        </w:tc>
        <w:tc>
          <w:tcPr>
            <w:tcW w:w="1095" w:type="pct"/>
            <w:shd w:val="clear" w:color="auto" w:fill="BEBEBE" w:themeFill="background1" w:themeFillShade="BF"/>
            <w:vAlign w:val="center"/>
          </w:tcPr>
          <w:p w14:paraId="659ECC5A">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间接排放</w:t>
            </w:r>
          </w:p>
        </w:tc>
        <w:tc>
          <w:tcPr>
            <w:tcW w:w="2890" w:type="pct"/>
            <w:shd w:val="clear" w:color="auto" w:fill="BEBEBE" w:themeFill="background1" w:themeFillShade="BF"/>
            <w:vAlign w:val="center"/>
          </w:tcPr>
          <w:p w14:paraId="18127396">
            <w:pPr>
              <w:keepNext w:val="0"/>
              <w:keepLines w:val="0"/>
              <w:pageBreakBefore w:val="0"/>
              <w:widowControl/>
              <w:kinsoku/>
              <w:wordWrap/>
              <w:overflowPunct/>
              <w:topLinePunct w:val="0"/>
              <w:autoSpaceDE/>
              <w:autoSpaceDN/>
              <w:bidi w:val="0"/>
              <w:adjustRightInd/>
              <w:snapToGrid/>
              <w:spacing w:line="360" w:lineRule="exact"/>
              <w:jc w:val="center"/>
              <w:textAlignment w:val="auto"/>
              <w:rPr>
                <w:rFonts w:ascii="Times New Roman" w:hAnsi="Times New Roman" w:cs="Times New Roman"/>
                <w:sz w:val="21"/>
                <w:szCs w:val="21"/>
              </w:rPr>
            </w:pPr>
            <w:r>
              <w:rPr>
                <w:rFonts w:hint="eastAsia" w:ascii="Times New Roman" w:hAnsi="Times New Roman" w:cs="Times New Roman"/>
                <w:sz w:val="21"/>
                <w:szCs w:val="21"/>
              </w:rPr>
              <w:t>—</w:t>
            </w:r>
          </w:p>
        </w:tc>
      </w:tr>
      <w:bookmarkEnd w:id="74"/>
    </w:tbl>
    <w:p w14:paraId="3FCFFF95">
      <w:pPr>
        <w:bidi w:val="0"/>
        <w:ind w:firstLine="480" w:firstLineChars="200"/>
        <w:rPr>
          <w:color w:val="auto"/>
        </w:rPr>
      </w:pPr>
      <w:r>
        <w:rPr>
          <w:rFonts w:hint="eastAsia"/>
          <w:color w:val="auto"/>
          <w:lang w:eastAsia="zh-CN"/>
        </w:rPr>
        <w:t>（</w:t>
      </w:r>
      <w:r>
        <w:rPr>
          <w:rFonts w:hint="eastAsia"/>
          <w:color w:val="auto"/>
          <w:lang w:val="en-US" w:eastAsia="zh-CN"/>
        </w:rPr>
        <w:t>3</w:t>
      </w:r>
      <w:r>
        <w:rPr>
          <w:rFonts w:hint="eastAsia"/>
          <w:color w:val="auto"/>
          <w:lang w:eastAsia="zh-CN"/>
        </w:rPr>
        <w:t>）</w:t>
      </w:r>
      <w:r>
        <w:rPr>
          <w:color w:val="auto"/>
        </w:rPr>
        <w:t>地下水环境影响评价工作等级</w:t>
      </w:r>
    </w:p>
    <w:p w14:paraId="2F66264A">
      <w:pPr>
        <w:bidi w:val="0"/>
        <w:ind w:firstLine="480" w:firstLineChars="200"/>
        <w:rPr>
          <w:rFonts w:hint="default"/>
          <w:color w:val="auto"/>
        </w:rPr>
      </w:pPr>
      <w:r>
        <w:rPr>
          <w:rFonts w:hint="default"/>
          <w:color w:val="auto"/>
        </w:rPr>
        <w:t>根据《环境影响评价技术导则地下水环境》（HJ610-2016）</w:t>
      </w:r>
      <w:r>
        <w:rPr>
          <w:rFonts w:hint="default"/>
          <w:color w:val="auto"/>
          <w:lang w:eastAsia="zh-CN"/>
        </w:rPr>
        <w:t>，</w:t>
      </w:r>
      <w:r>
        <w:rPr>
          <w:rFonts w:hint="default"/>
          <w:color w:val="auto"/>
        </w:rPr>
        <w:t>地下水评价等级的确定主要依据</w:t>
      </w:r>
      <w:r>
        <w:rPr>
          <w:rFonts w:hint="default"/>
          <w:color w:val="auto"/>
          <w:lang w:eastAsia="zh-CN"/>
        </w:rPr>
        <w:t>项目</w:t>
      </w:r>
      <w:r>
        <w:rPr>
          <w:rFonts w:hint="default"/>
          <w:color w:val="auto"/>
        </w:rPr>
        <w:t>类型和建设项目地下水环境敏感程度等参数进行确定</w:t>
      </w:r>
      <w:r>
        <w:rPr>
          <w:rFonts w:hint="default"/>
          <w:color w:val="auto"/>
          <w:lang w:eastAsia="zh-CN"/>
        </w:rPr>
        <w:t>，</w:t>
      </w:r>
      <w:r>
        <w:rPr>
          <w:rFonts w:hint="default"/>
          <w:color w:val="auto"/>
        </w:rPr>
        <w:t>详见下表。</w:t>
      </w:r>
    </w:p>
    <w:p w14:paraId="415FC701">
      <w:pPr>
        <w:bidi w:val="0"/>
        <w:jc w:val="center"/>
        <w:rPr>
          <w:b/>
          <w:bCs/>
        </w:rPr>
      </w:pPr>
      <w:r>
        <w:rPr>
          <w:b/>
          <w:bCs/>
        </w:rPr>
        <w:t>表2.4.1-</w:t>
      </w:r>
      <w:r>
        <w:rPr>
          <w:rFonts w:hint="eastAsia"/>
          <w:b/>
          <w:bCs/>
          <w:lang w:val="en-US" w:eastAsia="zh-CN"/>
        </w:rPr>
        <w:t xml:space="preserve">5 </w:t>
      </w:r>
      <w:r>
        <w:rPr>
          <w:b/>
          <w:bCs/>
        </w:rPr>
        <w:t>地下水环境影响评价行业分类表相关内容（部分）</w:t>
      </w:r>
    </w:p>
    <w:tbl>
      <w:tblPr>
        <w:tblStyle w:val="25"/>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079"/>
        <w:gridCol w:w="2698"/>
        <w:gridCol w:w="749"/>
        <w:gridCol w:w="1645"/>
        <w:gridCol w:w="1205"/>
        <w:gridCol w:w="989"/>
      </w:tblGrid>
      <w:tr w14:paraId="3A3E89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jc w:val="center"/>
        </w:trPr>
        <w:tc>
          <w:tcPr>
            <w:tcW w:w="1110" w:type="pct"/>
            <w:vMerge w:val="restart"/>
            <w:tcBorders>
              <w:top w:val="single" w:color="auto" w:sz="4" w:space="0"/>
              <w:left w:val="single" w:color="auto" w:sz="4" w:space="0"/>
              <w:bottom w:val="single" w:color="auto" w:sz="4" w:space="0"/>
              <w:right w:val="single" w:color="auto" w:sz="4" w:space="0"/>
              <w:tl2br w:val="single" w:color="000000" w:sz="6" w:space="0"/>
            </w:tcBorders>
            <w:vAlign w:val="center"/>
          </w:tcPr>
          <w:p w14:paraId="0E46D817">
            <w:pPr>
              <w:pStyle w:val="30"/>
              <w:widowControl w:val="0"/>
              <w:bidi w:val="0"/>
              <w:rPr>
                <w:b/>
                <w:bCs/>
                <w:color w:val="auto"/>
                <w:lang w:val="en-US" w:eastAsia="en-US"/>
              </w:rPr>
            </w:pPr>
            <w:r>
              <w:rPr>
                <w:rFonts w:hint="eastAsia"/>
                <w:b/>
                <w:bCs/>
                <w:color w:val="auto"/>
                <w:lang w:val="en-US" w:eastAsia="zh-CN"/>
              </w:rPr>
              <w:t xml:space="preserve">          </w:t>
            </w:r>
            <w:r>
              <w:rPr>
                <w:b/>
                <w:bCs/>
                <w:color w:val="auto"/>
                <w:lang w:val="en-US" w:eastAsia="en-US"/>
              </w:rPr>
              <w:t>环评类别</w:t>
            </w:r>
          </w:p>
          <w:p w14:paraId="51BB2190">
            <w:pPr>
              <w:pStyle w:val="30"/>
              <w:widowControl w:val="0"/>
              <w:bidi w:val="0"/>
              <w:jc w:val="both"/>
              <w:rPr>
                <w:b/>
                <w:bCs/>
                <w:color w:val="auto"/>
                <w:lang w:val="en-US" w:eastAsia="en-US"/>
              </w:rPr>
            </w:pPr>
            <w:r>
              <w:rPr>
                <w:b/>
                <w:bCs/>
                <w:color w:val="auto"/>
                <w:lang w:val="en-US" w:eastAsia="en-US"/>
              </w:rPr>
              <w:t>行业类别</w:t>
            </w:r>
          </w:p>
        </w:tc>
        <w:tc>
          <w:tcPr>
            <w:tcW w:w="1440" w:type="pct"/>
            <w:vMerge w:val="restart"/>
            <w:tcBorders>
              <w:top w:val="single" w:color="auto" w:sz="4" w:space="0"/>
              <w:left w:val="single" w:color="auto" w:sz="4" w:space="0"/>
              <w:bottom w:val="single" w:color="auto" w:sz="4" w:space="0"/>
              <w:right w:val="single" w:color="auto" w:sz="4" w:space="0"/>
            </w:tcBorders>
            <w:vAlign w:val="center"/>
          </w:tcPr>
          <w:p w14:paraId="66325773">
            <w:pPr>
              <w:pStyle w:val="30"/>
              <w:widowControl w:val="0"/>
              <w:bidi w:val="0"/>
              <w:rPr>
                <w:b/>
                <w:bCs/>
                <w:color w:val="auto"/>
                <w:lang w:val="en-US" w:eastAsia="en-US"/>
              </w:rPr>
            </w:pPr>
            <w:r>
              <w:rPr>
                <w:b/>
                <w:bCs/>
                <w:color w:val="auto"/>
                <w:lang w:val="en-US" w:eastAsia="en-US"/>
              </w:rPr>
              <w:t>报告书</w:t>
            </w:r>
          </w:p>
        </w:tc>
        <w:tc>
          <w:tcPr>
            <w:tcW w:w="400" w:type="pct"/>
            <w:vMerge w:val="restart"/>
            <w:tcBorders>
              <w:top w:val="single" w:color="auto" w:sz="4" w:space="0"/>
              <w:left w:val="single" w:color="auto" w:sz="4" w:space="0"/>
              <w:bottom w:val="single" w:color="auto" w:sz="4" w:space="0"/>
              <w:right w:val="single" w:color="auto" w:sz="4" w:space="0"/>
            </w:tcBorders>
            <w:vAlign w:val="center"/>
          </w:tcPr>
          <w:p w14:paraId="6498FB01">
            <w:pPr>
              <w:pStyle w:val="30"/>
              <w:widowControl w:val="0"/>
              <w:bidi w:val="0"/>
              <w:rPr>
                <w:b/>
                <w:bCs/>
                <w:color w:val="auto"/>
                <w:lang w:val="en-US" w:eastAsia="en-US"/>
              </w:rPr>
            </w:pPr>
            <w:r>
              <w:rPr>
                <w:b/>
                <w:bCs/>
                <w:color w:val="auto"/>
                <w:lang w:val="en-US" w:eastAsia="en-US"/>
              </w:rPr>
              <w:t>报告表</w:t>
            </w:r>
          </w:p>
        </w:tc>
        <w:tc>
          <w:tcPr>
            <w:tcW w:w="1521" w:type="pct"/>
            <w:gridSpan w:val="2"/>
            <w:tcBorders>
              <w:top w:val="single" w:color="auto" w:sz="4" w:space="0"/>
              <w:left w:val="single" w:color="auto" w:sz="4" w:space="0"/>
              <w:bottom w:val="single" w:color="auto" w:sz="4" w:space="0"/>
              <w:right w:val="single" w:color="auto" w:sz="4" w:space="0"/>
            </w:tcBorders>
            <w:vAlign w:val="center"/>
          </w:tcPr>
          <w:p w14:paraId="31022227">
            <w:pPr>
              <w:pStyle w:val="30"/>
              <w:widowControl w:val="0"/>
              <w:bidi w:val="0"/>
              <w:rPr>
                <w:b/>
                <w:bCs/>
                <w:color w:val="auto"/>
                <w:lang w:val="en-US" w:eastAsia="en-US"/>
              </w:rPr>
            </w:pPr>
            <w:r>
              <w:rPr>
                <w:b/>
                <w:bCs/>
                <w:color w:val="auto"/>
                <w:lang w:val="en-US" w:eastAsia="en-US"/>
              </w:rPr>
              <w:t>地下水环境影响评价项目类别</w:t>
            </w:r>
          </w:p>
        </w:tc>
        <w:tc>
          <w:tcPr>
            <w:tcW w:w="528" w:type="pct"/>
            <w:vMerge w:val="restart"/>
            <w:tcBorders>
              <w:top w:val="single" w:color="auto" w:sz="4" w:space="0"/>
              <w:left w:val="single" w:color="auto" w:sz="4" w:space="0"/>
              <w:bottom w:val="single" w:color="auto" w:sz="4" w:space="0"/>
              <w:right w:val="single" w:color="auto" w:sz="4" w:space="0"/>
            </w:tcBorders>
            <w:vAlign w:val="center"/>
          </w:tcPr>
          <w:p w14:paraId="6F08F697">
            <w:pPr>
              <w:pStyle w:val="30"/>
              <w:widowControl w:val="0"/>
              <w:bidi w:val="0"/>
              <w:rPr>
                <w:b/>
                <w:bCs/>
                <w:color w:val="auto"/>
                <w:lang w:val="en-US" w:eastAsia="en-US"/>
              </w:rPr>
            </w:pPr>
            <w:r>
              <w:rPr>
                <w:rFonts w:hint="default"/>
                <w:b/>
                <w:bCs/>
                <w:color w:val="auto"/>
                <w:lang w:val="en-US" w:eastAsia="en-US"/>
              </w:rPr>
              <w:t>项目属性</w:t>
            </w:r>
          </w:p>
        </w:tc>
      </w:tr>
      <w:tr w14:paraId="6569CF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2" w:hRule="atLeast"/>
          <w:jc w:val="center"/>
        </w:trPr>
        <w:tc>
          <w:tcPr>
            <w:tcW w:w="1110" w:type="pct"/>
            <w:vMerge w:val="continue"/>
            <w:tcBorders>
              <w:top w:val="single" w:color="auto" w:sz="4" w:space="0"/>
              <w:left w:val="single" w:color="auto" w:sz="4" w:space="0"/>
              <w:bottom w:val="single" w:color="auto" w:sz="4" w:space="0"/>
              <w:right w:val="single" w:color="auto" w:sz="4" w:space="0"/>
              <w:tl2br w:val="single" w:color="000000" w:sz="6" w:space="0"/>
            </w:tcBorders>
            <w:vAlign w:val="center"/>
          </w:tcPr>
          <w:p w14:paraId="5549D8C5">
            <w:pPr>
              <w:pStyle w:val="30"/>
              <w:widowControl w:val="0"/>
              <w:bidi w:val="0"/>
              <w:rPr>
                <w:color w:val="auto"/>
                <w:lang w:val="en-US" w:eastAsia="en-US"/>
              </w:rPr>
            </w:pPr>
          </w:p>
        </w:tc>
        <w:tc>
          <w:tcPr>
            <w:tcW w:w="1440" w:type="pct"/>
            <w:vMerge w:val="continue"/>
            <w:tcBorders>
              <w:top w:val="single" w:color="auto" w:sz="4" w:space="0"/>
              <w:left w:val="single" w:color="auto" w:sz="4" w:space="0"/>
              <w:bottom w:val="single" w:color="auto" w:sz="4" w:space="0"/>
              <w:right w:val="single" w:color="auto" w:sz="4" w:space="0"/>
            </w:tcBorders>
            <w:vAlign w:val="center"/>
          </w:tcPr>
          <w:p w14:paraId="78581F48">
            <w:pPr>
              <w:pStyle w:val="30"/>
              <w:widowControl w:val="0"/>
              <w:bidi w:val="0"/>
              <w:rPr>
                <w:color w:val="auto"/>
                <w:lang w:val="en-US" w:eastAsia="en-US"/>
              </w:rPr>
            </w:pPr>
          </w:p>
        </w:tc>
        <w:tc>
          <w:tcPr>
            <w:tcW w:w="400" w:type="pct"/>
            <w:vMerge w:val="continue"/>
            <w:tcBorders>
              <w:top w:val="single" w:color="auto" w:sz="4" w:space="0"/>
              <w:left w:val="single" w:color="auto" w:sz="4" w:space="0"/>
              <w:bottom w:val="single" w:color="auto" w:sz="4" w:space="0"/>
              <w:right w:val="single" w:color="auto" w:sz="4" w:space="0"/>
            </w:tcBorders>
            <w:vAlign w:val="center"/>
          </w:tcPr>
          <w:p w14:paraId="1E09726D">
            <w:pPr>
              <w:pStyle w:val="30"/>
              <w:widowControl w:val="0"/>
              <w:bidi w:val="0"/>
              <w:rPr>
                <w:color w:val="auto"/>
                <w:lang w:val="en-US" w:eastAsia="en-US"/>
              </w:rPr>
            </w:pPr>
          </w:p>
        </w:tc>
        <w:tc>
          <w:tcPr>
            <w:tcW w:w="878" w:type="pct"/>
            <w:tcBorders>
              <w:top w:val="single" w:color="auto" w:sz="4" w:space="0"/>
              <w:left w:val="single" w:color="auto" w:sz="4" w:space="0"/>
              <w:bottom w:val="single" w:color="auto" w:sz="4" w:space="0"/>
              <w:right w:val="single" w:color="auto" w:sz="4" w:space="0"/>
            </w:tcBorders>
            <w:vAlign w:val="center"/>
          </w:tcPr>
          <w:p w14:paraId="5A395B9E">
            <w:pPr>
              <w:pStyle w:val="30"/>
              <w:widowControl w:val="0"/>
              <w:bidi w:val="0"/>
              <w:rPr>
                <w:b/>
                <w:bCs/>
                <w:color w:val="auto"/>
                <w:lang w:val="en-US" w:eastAsia="en-US"/>
              </w:rPr>
            </w:pPr>
            <w:r>
              <w:rPr>
                <w:b/>
                <w:bCs/>
                <w:color w:val="auto"/>
                <w:lang w:val="en-US" w:eastAsia="en-US"/>
              </w:rPr>
              <w:t>报告书</w:t>
            </w:r>
          </w:p>
        </w:tc>
        <w:tc>
          <w:tcPr>
            <w:tcW w:w="642" w:type="pct"/>
            <w:tcBorders>
              <w:top w:val="single" w:color="auto" w:sz="4" w:space="0"/>
              <w:left w:val="single" w:color="auto" w:sz="4" w:space="0"/>
              <w:bottom w:val="single" w:color="auto" w:sz="4" w:space="0"/>
              <w:right w:val="single" w:color="auto" w:sz="4" w:space="0"/>
            </w:tcBorders>
            <w:vAlign w:val="center"/>
          </w:tcPr>
          <w:p w14:paraId="51B5192A">
            <w:pPr>
              <w:pStyle w:val="30"/>
              <w:widowControl w:val="0"/>
              <w:bidi w:val="0"/>
              <w:rPr>
                <w:b/>
                <w:bCs/>
                <w:color w:val="auto"/>
                <w:lang w:val="en-US" w:eastAsia="en-US"/>
              </w:rPr>
            </w:pPr>
            <w:r>
              <w:rPr>
                <w:b/>
                <w:bCs/>
                <w:color w:val="auto"/>
                <w:lang w:val="en-US" w:eastAsia="en-US"/>
              </w:rPr>
              <w:t>报告表</w:t>
            </w:r>
          </w:p>
        </w:tc>
        <w:tc>
          <w:tcPr>
            <w:tcW w:w="528" w:type="pct"/>
            <w:vMerge w:val="continue"/>
            <w:tcBorders>
              <w:top w:val="single" w:color="auto" w:sz="4" w:space="0"/>
              <w:left w:val="single" w:color="auto" w:sz="4" w:space="0"/>
              <w:bottom w:val="single" w:color="auto" w:sz="4" w:space="0"/>
              <w:right w:val="single" w:color="auto" w:sz="4" w:space="0"/>
            </w:tcBorders>
            <w:vAlign w:val="center"/>
          </w:tcPr>
          <w:p w14:paraId="3AD81CFE">
            <w:pPr>
              <w:pStyle w:val="30"/>
              <w:widowControl w:val="0"/>
              <w:bidi w:val="0"/>
              <w:rPr>
                <w:color w:val="auto"/>
                <w:lang w:val="en-US" w:eastAsia="en-US"/>
              </w:rPr>
            </w:pPr>
          </w:p>
        </w:tc>
      </w:tr>
      <w:tr w14:paraId="1D1D29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2" w:hRule="atLeast"/>
          <w:jc w:val="center"/>
        </w:trPr>
        <w:tc>
          <w:tcPr>
            <w:tcW w:w="1110" w:type="pct"/>
            <w:tcBorders>
              <w:top w:val="single" w:color="auto" w:sz="4" w:space="0"/>
              <w:left w:val="single" w:color="auto" w:sz="4" w:space="0"/>
              <w:bottom w:val="single" w:color="auto" w:sz="4" w:space="0"/>
              <w:right w:val="single" w:color="auto" w:sz="4" w:space="0"/>
            </w:tcBorders>
            <w:vAlign w:val="center"/>
          </w:tcPr>
          <w:p w14:paraId="644171E7">
            <w:pPr>
              <w:pStyle w:val="30"/>
              <w:widowControl w:val="0"/>
              <w:bidi w:val="0"/>
              <w:rPr>
                <w:color w:val="auto"/>
                <w:lang w:val="en-US" w:eastAsia="en-US"/>
              </w:rPr>
            </w:pPr>
            <w:r>
              <w:rPr>
                <w:rFonts w:hint="eastAsia"/>
                <w:color w:val="auto"/>
                <w:lang w:val="en-US" w:eastAsia="zh-CN"/>
              </w:rPr>
              <w:t>“</w:t>
            </w:r>
            <w:r>
              <w:rPr>
                <w:color w:val="auto"/>
                <w:lang w:val="en-US" w:eastAsia="en-US"/>
              </w:rPr>
              <w:t>I金属制品</w:t>
            </w:r>
            <w:r>
              <w:rPr>
                <w:rFonts w:hint="eastAsia"/>
                <w:color w:val="auto"/>
                <w:lang w:val="en-US" w:eastAsia="zh-CN"/>
              </w:rPr>
              <w:t>”“</w:t>
            </w:r>
            <w:r>
              <w:rPr>
                <w:color w:val="auto"/>
                <w:lang w:val="en-US" w:eastAsia="en-US"/>
              </w:rPr>
              <w:t>78、电气机械及器材制造</w:t>
            </w:r>
            <w:r>
              <w:rPr>
                <w:rFonts w:hint="eastAsia"/>
                <w:color w:val="auto"/>
                <w:lang w:val="en-US" w:eastAsia="zh-CN"/>
              </w:rPr>
              <w:t>”</w:t>
            </w:r>
          </w:p>
        </w:tc>
        <w:tc>
          <w:tcPr>
            <w:tcW w:w="1440" w:type="pct"/>
            <w:tcBorders>
              <w:top w:val="single" w:color="auto" w:sz="4" w:space="0"/>
              <w:left w:val="single" w:color="auto" w:sz="4" w:space="0"/>
              <w:bottom w:val="single" w:color="auto" w:sz="4" w:space="0"/>
              <w:right w:val="single" w:color="auto" w:sz="4" w:space="0"/>
            </w:tcBorders>
            <w:vAlign w:val="center"/>
          </w:tcPr>
          <w:p w14:paraId="297C50C1">
            <w:pPr>
              <w:pStyle w:val="30"/>
              <w:widowControl w:val="0"/>
              <w:bidi w:val="0"/>
              <w:rPr>
                <w:color w:val="auto"/>
                <w:lang w:val="en-US" w:eastAsia="en-US"/>
              </w:rPr>
            </w:pPr>
            <w:r>
              <w:rPr>
                <w:color w:val="auto"/>
                <w:lang w:val="en-US" w:eastAsia="en-US"/>
              </w:rPr>
              <w:t>有电镀或喷漆工艺的</w:t>
            </w:r>
            <w:r>
              <w:rPr>
                <w:rFonts w:hint="eastAsia"/>
                <w:color w:val="auto"/>
                <w:lang w:val="en-US" w:eastAsia="zh-CN"/>
              </w:rPr>
              <w:t>；</w:t>
            </w:r>
            <w:r>
              <w:rPr>
                <w:color w:val="auto"/>
                <w:lang w:val="en-US" w:eastAsia="en-US"/>
              </w:rPr>
              <w:t>电池制造（无汞干电池除外）</w:t>
            </w:r>
          </w:p>
        </w:tc>
        <w:tc>
          <w:tcPr>
            <w:tcW w:w="400" w:type="pct"/>
            <w:tcBorders>
              <w:top w:val="single" w:color="auto" w:sz="4" w:space="0"/>
              <w:left w:val="single" w:color="auto" w:sz="4" w:space="0"/>
              <w:bottom w:val="single" w:color="auto" w:sz="4" w:space="0"/>
              <w:right w:val="single" w:color="auto" w:sz="4" w:space="0"/>
            </w:tcBorders>
            <w:vAlign w:val="center"/>
          </w:tcPr>
          <w:p w14:paraId="57DE4169">
            <w:pPr>
              <w:pStyle w:val="30"/>
              <w:widowControl w:val="0"/>
              <w:bidi w:val="0"/>
              <w:rPr>
                <w:color w:val="auto"/>
                <w:lang w:val="en-US" w:eastAsia="en-US"/>
              </w:rPr>
            </w:pPr>
            <w:r>
              <w:rPr>
                <w:color w:val="auto"/>
                <w:lang w:val="en-US" w:eastAsia="en-US"/>
              </w:rPr>
              <w:t>其他</w:t>
            </w:r>
          </w:p>
        </w:tc>
        <w:tc>
          <w:tcPr>
            <w:tcW w:w="878" w:type="pct"/>
            <w:tcBorders>
              <w:top w:val="single" w:color="auto" w:sz="4" w:space="0"/>
              <w:left w:val="single" w:color="auto" w:sz="4" w:space="0"/>
              <w:bottom w:val="single" w:color="auto" w:sz="4" w:space="0"/>
              <w:right w:val="single" w:color="auto" w:sz="4" w:space="0"/>
            </w:tcBorders>
            <w:vAlign w:val="center"/>
          </w:tcPr>
          <w:p w14:paraId="15FE2BFE">
            <w:pPr>
              <w:pStyle w:val="30"/>
              <w:widowControl w:val="0"/>
              <w:bidi w:val="0"/>
              <w:rPr>
                <w:color w:val="auto"/>
                <w:lang w:val="en-US" w:eastAsia="en-US"/>
              </w:rPr>
            </w:pPr>
            <w:r>
              <w:rPr>
                <w:color w:val="auto"/>
                <w:lang w:val="en-US" w:eastAsia="en-US"/>
              </w:rPr>
              <w:t>Ⅲ类</w:t>
            </w:r>
          </w:p>
        </w:tc>
        <w:tc>
          <w:tcPr>
            <w:tcW w:w="642" w:type="pct"/>
            <w:tcBorders>
              <w:top w:val="single" w:color="auto" w:sz="4" w:space="0"/>
              <w:left w:val="single" w:color="auto" w:sz="4" w:space="0"/>
              <w:bottom w:val="single" w:color="auto" w:sz="4" w:space="0"/>
              <w:right w:val="single" w:color="auto" w:sz="4" w:space="0"/>
            </w:tcBorders>
            <w:vAlign w:val="center"/>
          </w:tcPr>
          <w:p w14:paraId="5EF7240F">
            <w:pPr>
              <w:pStyle w:val="30"/>
              <w:widowControl w:val="0"/>
              <w:bidi w:val="0"/>
              <w:rPr>
                <w:color w:val="auto"/>
                <w:lang w:val="en-US" w:eastAsia="en-US"/>
              </w:rPr>
            </w:pPr>
            <w:r>
              <w:rPr>
                <w:color w:val="auto"/>
                <w:lang w:val="en-US" w:eastAsia="en-US"/>
              </w:rPr>
              <w:t>Ⅳ类</w:t>
            </w:r>
          </w:p>
        </w:tc>
        <w:tc>
          <w:tcPr>
            <w:tcW w:w="528" w:type="pct"/>
            <w:tcBorders>
              <w:top w:val="single" w:color="auto" w:sz="4" w:space="0"/>
              <w:left w:val="single" w:color="auto" w:sz="4" w:space="0"/>
              <w:bottom w:val="single" w:color="auto" w:sz="4" w:space="0"/>
              <w:right w:val="single" w:color="auto" w:sz="4" w:space="0"/>
            </w:tcBorders>
            <w:vAlign w:val="center"/>
          </w:tcPr>
          <w:p w14:paraId="08FE00B9">
            <w:pPr>
              <w:pStyle w:val="30"/>
              <w:widowControl w:val="0"/>
              <w:bidi w:val="0"/>
              <w:rPr>
                <w:color w:val="auto"/>
                <w:lang w:val="en-US" w:eastAsia="en-US"/>
              </w:rPr>
            </w:pPr>
            <w:r>
              <w:rPr>
                <w:rFonts w:hint="default"/>
                <w:color w:val="auto"/>
                <w:lang w:val="en-US" w:eastAsia="en-US"/>
              </w:rPr>
              <w:t>属于Ⅲ类项目</w:t>
            </w:r>
          </w:p>
        </w:tc>
      </w:tr>
    </w:tbl>
    <w:p w14:paraId="5792C646">
      <w:pPr>
        <w:bidi w:val="0"/>
        <w:jc w:val="center"/>
        <w:rPr>
          <w:b/>
          <w:bCs/>
        </w:rPr>
      </w:pPr>
      <w:r>
        <w:rPr>
          <w:b/>
          <w:bCs/>
        </w:rPr>
        <w:t>表2.4</w:t>
      </w:r>
      <w:r>
        <w:rPr>
          <w:rFonts w:hint="eastAsia"/>
          <w:b/>
          <w:bCs/>
          <w:lang w:val="en-US" w:eastAsia="zh-CN"/>
        </w:rPr>
        <w:t>.1</w:t>
      </w:r>
      <w:r>
        <w:rPr>
          <w:b/>
          <w:bCs/>
        </w:rPr>
        <w:t>-</w:t>
      </w:r>
      <w:r>
        <w:rPr>
          <w:rFonts w:hint="eastAsia"/>
          <w:b/>
          <w:bCs/>
          <w:lang w:val="en-US" w:eastAsia="zh-CN"/>
        </w:rPr>
        <w:t xml:space="preserve">6 </w:t>
      </w:r>
      <w:r>
        <w:rPr>
          <w:b/>
          <w:bCs/>
        </w:rPr>
        <w:t>地下水敏感程度分级表</w:t>
      </w:r>
    </w:p>
    <w:tbl>
      <w:tblPr>
        <w:tblStyle w:val="25"/>
        <w:tblW w:w="5000"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18"/>
        <w:gridCol w:w="7947"/>
      </w:tblGrid>
      <w:tr w14:paraId="6EE3FC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1381" w:type="dxa"/>
            <w:vAlign w:val="center"/>
          </w:tcPr>
          <w:p w14:paraId="4698D298">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敏感程度</w:t>
            </w:r>
          </w:p>
        </w:tc>
        <w:tc>
          <w:tcPr>
            <w:tcW w:w="7739" w:type="dxa"/>
            <w:vAlign w:val="center"/>
          </w:tcPr>
          <w:p w14:paraId="2EC9FBDA">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地下水环境敏感特征</w:t>
            </w:r>
          </w:p>
        </w:tc>
      </w:tr>
      <w:tr w14:paraId="1D8AAF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9" w:hRule="atLeast"/>
        </w:trPr>
        <w:tc>
          <w:tcPr>
            <w:tcW w:w="1381" w:type="dxa"/>
            <w:vAlign w:val="center"/>
          </w:tcPr>
          <w:p w14:paraId="5BF98D49">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敏感</w:t>
            </w:r>
          </w:p>
        </w:tc>
        <w:tc>
          <w:tcPr>
            <w:tcW w:w="7739" w:type="dxa"/>
            <w:vAlign w:val="center"/>
          </w:tcPr>
          <w:p w14:paraId="64D40A75">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集中式饮用水水源（包括已建成的在用、备用、应急水源，在建和规划的饮用水水源）准保护区；除集中式饮用水水源以外的国家或地方政府设定的与地下水环境</w:t>
            </w:r>
            <w:r>
              <w:rPr>
                <w:rFonts w:hint="eastAsia" w:cs="Times New Roman"/>
                <w:snapToGrid w:val="0"/>
                <w:color w:val="auto"/>
                <w:spacing w:val="6"/>
                <w:kern w:val="0"/>
                <w:sz w:val="21"/>
                <w:szCs w:val="21"/>
                <w:lang w:val="en-US" w:eastAsia="zh-CN" w:bidi="ar-SA"/>
              </w:rPr>
              <w:t>相关的其他</w:t>
            </w:r>
            <w:r>
              <w:rPr>
                <w:rFonts w:ascii="Times New Roman" w:hAnsi="Times New Roman" w:eastAsia="宋体" w:cs="Times New Roman"/>
                <w:snapToGrid w:val="0"/>
                <w:color w:val="auto"/>
                <w:spacing w:val="6"/>
                <w:kern w:val="0"/>
                <w:sz w:val="21"/>
                <w:szCs w:val="21"/>
                <w:lang w:val="en-US" w:eastAsia="en-US" w:bidi="ar-SA"/>
              </w:rPr>
              <w:t>保护区，如热水、矿泉水、温泉等特殊地下水资源保护区。</w:t>
            </w:r>
          </w:p>
        </w:tc>
      </w:tr>
      <w:tr w14:paraId="423A62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1" w:hRule="atLeast"/>
        </w:trPr>
        <w:tc>
          <w:tcPr>
            <w:tcW w:w="1381" w:type="dxa"/>
            <w:vAlign w:val="center"/>
          </w:tcPr>
          <w:p w14:paraId="2E1AAF71">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p>
          <w:p w14:paraId="26898F49">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较敏感</w:t>
            </w:r>
          </w:p>
        </w:tc>
        <w:tc>
          <w:tcPr>
            <w:tcW w:w="7739" w:type="dxa"/>
            <w:vAlign w:val="center"/>
          </w:tcPr>
          <w:p w14:paraId="7F731B42">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集中式饮用水水源（包括已建成的在用、备用、应急水源，在建和规划的饮用水水源）准保护区以外的补给径流区；未划定准保护区的集中式饮用水水源，其保护区以外的补给径流区；分散式饮用水水源地；特殊地下水资源（如矿泉水、温泉等）保护区以外的分布区等其他未列入上述敏感分级的环境敏感区</w:t>
            </w:r>
          </w:p>
        </w:tc>
      </w:tr>
      <w:tr w14:paraId="542034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1" w:hRule="atLeast"/>
        </w:trPr>
        <w:tc>
          <w:tcPr>
            <w:tcW w:w="1381" w:type="dxa"/>
            <w:shd w:val="clear" w:color="auto" w:fill="D7D7D7" w:themeFill="background1" w:themeFillShade="D8"/>
            <w:vAlign w:val="center"/>
          </w:tcPr>
          <w:p w14:paraId="5E1F65D1">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不敏感</w:t>
            </w:r>
          </w:p>
        </w:tc>
        <w:tc>
          <w:tcPr>
            <w:tcW w:w="7739" w:type="dxa"/>
            <w:shd w:val="clear" w:color="auto" w:fill="D7D7D7" w:themeFill="background1" w:themeFillShade="D8"/>
            <w:vAlign w:val="center"/>
          </w:tcPr>
          <w:p w14:paraId="49764015">
            <w:pPr>
              <w:keepNext w:val="0"/>
              <w:keepLines w:val="0"/>
              <w:pageBreakBefore w:val="0"/>
              <w:widowControl/>
              <w:kinsoku w:val="0"/>
              <w:wordWrap/>
              <w:overflowPunct/>
              <w:topLinePunct w:val="0"/>
              <w:autoSpaceDE w:val="0"/>
              <w:autoSpaceDN w:val="0"/>
              <w:bidi w:val="0"/>
              <w:adjustRightInd w:val="0"/>
              <w:snapToGrid w:val="0"/>
              <w:spacing w:line="240" w:lineRule="auto"/>
              <w:ind w:left="0" w:firstLine="0" w:firstLineChars="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上述地区之外的其它地区</w:t>
            </w:r>
          </w:p>
        </w:tc>
      </w:tr>
    </w:tbl>
    <w:p w14:paraId="6946F038">
      <w:pPr>
        <w:bidi w:val="0"/>
        <w:jc w:val="center"/>
        <w:rPr>
          <w:b/>
          <w:bCs/>
        </w:rPr>
      </w:pPr>
      <w:r>
        <w:rPr>
          <w:b/>
          <w:bCs/>
        </w:rPr>
        <w:t>表2.4.1-</w:t>
      </w:r>
      <w:r>
        <w:rPr>
          <w:rFonts w:hint="eastAsia"/>
          <w:b/>
          <w:bCs/>
          <w:lang w:val="en-US" w:eastAsia="zh-CN"/>
        </w:rPr>
        <w:t xml:space="preserve">7 </w:t>
      </w:r>
      <w:r>
        <w:rPr>
          <w:b/>
          <w:bCs/>
        </w:rPr>
        <w:t>地下水环境影响评价工作等级划分表</w:t>
      </w:r>
    </w:p>
    <w:tbl>
      <w:tblPr>
        <w:tblStyle w:val="25"/>
        <w:tblW w:w="5000"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717"/>
        <w:gridCol w:w="1817"/>
        <w:gridCol w:w="1831"/>
        <w:gridCol w:w="3000"/>
      </w:tblGrid>
      <w:tr w14:paraId="039353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53" w:hRule="atLeast"/>
        </w:trPr>
        <w:tc>
          <w:tcPr>
            <w:tcW w:w="2646" w:type="dxa"/>
            <w:tcBorders>
              <w:tl2br w:val="single" w:color="000000" w:sz="6" w:space="0"/>
            </w:tcBorders>
            <w:vAlign w:val="center"/>
          </w:tcPr>
          <w:p w14:paraId="068AB8BF">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项目类别</w:t>
            </w:r>
          </w:p>
          <w:p w14:paraId="6075EE92">
            <w:pPr>
              <w:widowControl w:val="0"/>
              <w:kinsoku w:val="0"/>
              <w:autoSpaceDE w:val="0"/>
              <w:autoSpaceDN w:val="0"/>
              <w:bidi w:val="0"/>
              <w:adjustRightInd w:val="0"/>
              <w:snapToGrid w:val="0"/>
              <w:spacing w:line="240" w:lineRule="auto"/>
              <w:ind w:left="0"/>
              <w:jc w:val="left"/>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环境敏感程度</w:t>
            </w:r>
          </w:p>
        </w:tc>
        <w:tc>
          <w:tcPr>
            <w:tcW w:w="1769" w:type="dxa"/>
            <w:vAlign w:val="center"/>
          </w:tcPr>
          <w:p w14:paraId="1D42E9EB">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Ⅰ类项目</w:t>
            </w:r>
          </w:p>
        </w:tc>
        <w:tc>
          <w:tcPr>
            <w:tcW w:w="1783" w:type="dxa"/>
            <w:vAlign w:val="center"/>
          </w:tcPr>
          <w:p w14:paraId="673DC4B0">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Ⅱ类项目</w:t>
            </w:r>
          </w:p>
        </w:tc>
        <w:tc>
          <w:tcPr>
            <w:tcW w:w="2922" w:type="dxa"/>
            <w:vAlign w:val="center"/>
          </w:tcPr>
          <w:p w14:paraId="62BD6A3D">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Ⅲ类项目</w:t>
            </w:r>
          </w:p>
        </w:tc>
      </w:tr>
      <w:tr w14:paraId="27B3CE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3" w:hRule="atLeast"/>
        </w:trPr>
        <w:tc>
          <w:tcPr>
            <w:tcW w:w="2646" w:type="dxa"/>
            <w:vAlign w:val="center"/>
          </w:tcPr>
          <w:p w14:paraId="41122BBE">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敏感</w:t>
            </w:r>
          </w:p>
        </w:tc>
        <w:tc>
          <w:tcPr>
            <w:tcW w:w="1769" w:type="dxa"/>
            <w:vAlign w:val="center"/>
          </w:tcPr>
          <w:p w14:paraId="23F79684">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一</w:t>
            </w:r>
          </w:p>
        </w:tc>
        <w:tc>
          <w:tcPr>
            <w:tcW w:w="1783" w:type="dxa"/>
            <w:vAlign w:val="center"/>
          </w:tcPr>
          <w:p w14:paraId="7B10484B">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一</w:t>
            </w:r>
          </w:p>
        </w:tc>
        <w:tc>
          <w:tcPr>
            <w:tcW w:w="2922" w:type="dxa"/>
            <w:vAlign w:val="center"/>
          </w:tcPr>
          <w:p w14:paraId="09D46E12">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二</w:t>
            </w:r>
          </w:p>
        </w:tc>
      </w:tr>
      <w:tr w14:paraId="1CE10A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3" w:hRule="atLeast"/>
        </w:trPr>
        <w:tc>
          <w:tcPr>
            <w:tcW w:w="2646" w:type="dxa"/>
            <w:vAlign w:val="center"/>
          </w:tcPr>
          <w:p w14:paraId="5F13A9ED">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较敏感</w:t>
            </w:r>
          </w:p>
        </w:tc>
        <w:tc>
          <w:tcPr>
            <w:tcW w:w="1769" w:type="dxa"/>
            <w:vAlign w:val="center"/>
          </w:tcPr>
          <w:p w14:paraId="64079127">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一</w:t>
            </w:r>
          </w:p>
        </w:tc>
        <w:tc>
          <w:tcPr>
            <w:tcW w:w="1783" w:type="dxa"/>
            <w:shd w:val="clear" w:color="auto" w:fill="auto"/>
            <w:vAlign w:val="center"/>
          </w:tcPr>
          <w:p w14:paraId="1F9F0D27">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二</w:t>
            </w:r>
          </w:p>
        </w:tc>
        <w:tc>
          <w:tcPr>
            <w:tcW w:w="2922" w:type="dxa"/>
            <w:shd w:val="clear" w:color="auto" w:fill="auto"/>
            <w:vAlign w:val="center"/>
          </w:tcPr>
          <w:p w14:paraId="161DF648">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三</w:t>
            </w:r>
          </w:p>
        </w:tc>
      </w:tr>
      <w:tr w14:paraId="66E9DF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2646" w:type="dxa"/>
            <w:vAlign w:val="center"/>
          </w:tcPr>
          <w:p w14:paraId="6867AC81">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不敏感</w:t>
            </w:r>
          </w:p>
        </w:tc>
        <w:tc>
          <w:tcPr>
            <w:tcW w:w="1769" w:type="dxa"/>
            <w:vAlign w:val="center"/>
          </w:tcPr>
          <w:p w14:paraId="66AAED75">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二</w:t>
            </w:r>
          </w:p>
        </w:tc>
        <w:tc>
          <w:tcPr>
            <w:tcW w:w="1783" w:type="dxa"/>
            <w:vAlign w:val="center"/>
          </w:tcPr>
          <w:p w14:paraId="65B8C825">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三</w:t>
            </w:r>
          </w:p>
        </w:tc>
        <w:tc>
          <w:tcPr>
            <w:tcW w:w="2922" w:type="dxa"/>
            <w:shd w:val="clear" w:color="auto" w:fill="D7D7D7" w:themeFill="background1" w:themeFillShade="D8"/>
            <w:vAlign w:val="center"/>
          </w:tcPr>
          <w:p w14:paraId="6663E741">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三</w:t>
            </w:r>
          </w:p>
        </w:tc>
      </w:tr>
    </w:tbl>
    <w:p w14:paraId="7FA279FC">
      <w:pPr>
        <w:bidi w:val="0"/>
        <w:jc w:val="center"/>
        <w:rPr>
          <w:b/>
          <w:bCs/>
        </w:rPr>
      </w:pPr>
      <w:r>
        <w:rPr>
          <w:b/>
          <w:bCs/>
        </w:rPr>
        <w:t>表2.4.1</w:t>
      </w:r>
      <w:r>
        <w:rPr>
          <w:rFonts w:hint="eastAsia"/>
          <w:b/>
          <w:bCs/>
          <w:lang w:val="en-US" w:eastAsia="zh-CN"/>
        </w:rPr>
        <w:t xml:space="preserve">-8 </w:t>
      </w:r>
      <w:r>
        <w:rPr>
          <w:b/>
          <w:bCs/>
        </w:rPr>
        <w:t>项目地下水评价等级判定表</w:t>
      </w:r>
    </w:p>
    <w:tbl>
      <w:tblPr>
        <w:tblStyle w:val="25"/>
        <w:tblW w:w="5000"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34"/>
        <w:gridCol w:w="2709"/>
        <w:gridCol w:w="3322"/>
      </w:tblGrid>
      <w:tr w14:paraId="12F986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5885" w:type="dxa"/>
            <w:gridSpan w:val="2"/>
            <w:vAlign w:val="center"/>
          </w:tcPr>
          <w:p w14:paraId="3223CC77">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判据</w:t>
            </w:r>
          </w:p>
        </w:tc>
        <w:tc>
          <w:tcPr>
            <w:tcW w:w="3235" w:type="dxa"/>
            <w:vAlign w:val="center"/>
          </w:tcPr>
          <w:p w14:paraId="3E8E7D1E">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评价等级</w:t>
            </w:r>
          </w:p>
        </w:tc>
      </w:tr>
      <w:tr w14:paraId="23B509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1" w:hRule="atLeast"/>
        </w:trPr>
        <w:tc>
          <w:tcPr>
            <w:tcW w:w="3247" w:type="dxa"/>
            <w:vAlign w:val="center"/>
          </w:tcPr>
          <w:p w14:paraId="5D06BBCE">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行业类别</w:t>
            </w:r>
          </w:p>
        </w:tc>
        <w:tc>
          <w:tcPr>
            <w:tcW w:w="2638" w:type="dxa"/>
            <w:vAlign w:val="center"/>
          </w:tcPr>
          <w:p w14:paraId="1AD3BE1D">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Ⅲ类项目</w:t>
            </w:r>
          </w:p>
        </w:tc>
        <w:tc>
          <w:tcPr>
            <w:tcW w:w="3235" w:type="dxa"/>
            <w:vMerge w:val="restart"/>
            <w:tcBorders>
              <w:bottom w:val="nil"/>
            </w:tcBorders>
            <w:vAlign w:val="center"/>
          </w:tcPr>
          <w:p w14:paraId="72706788">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三级</w:t>
            </w:r>
          </w:p>
        </w:tc>
      </w:tr>
      <w:tr w14:paraId="625E4F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3247" w:type="dxa"/>
            <w:vAlign w:val="center"/>
          </w:tcPr>
          <w:p w14:paraId="14623734">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环境敏感程度</w:t>
            </w:r>
          </w:p>
        </w:tc>
        <w:tc>
          <w:tcPr>
            <w:tcW w:w="2638" w:type="dxa"/>
            <w:vAlign w:val="center"/>
          </w:tcPr>
          <w:p w14:paraId="28190716">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不敏感</w:t>
            </w:r>
          </w:p>
        </w:tc>
        <w:tc>
          <w:tcPr>
            <w:tcW w:w="3235" w:type="dxa"/>
            <w:vMerge w:val="continue"/>
            <w:tcBorders>
              <w:top w:val="nil"/>
            </w:tcBorders>
            <w:vAlign w:val="center"/>
          </w:tcPr>
          <w:p w14:paraId="43D377AF">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p>
        </w:tc>
      </w:tr>
    </w:tbl>
    <w:p w14:paraId="7D6637A4">
      <w:pPr>
        <w:bidi w:val="0"/>
        <w:ind w:firstLine="480" w:firstLineChars="200"/>
        <w:rPr>
          <w:color w:val="auto"/>
        </w:rPr>
      </w:pPr>
      <w:r>
        <w:rPr>
          <w:color w:val="auto"/>
        </w:rPr>
        <w:t>根据《环境影响评价技术导则地下水环境》（HJ610-2016）附录A地下水环境影响评价行业分类表确定本项目所属的地下水环境影响评价类别为Ⅲ类，对照建设项目地下水敏感程度分级表，项目所处区域地下水敏感程度为不敏感。因此本项目地下水评价等级确定为三级。</w:t>
      </w:r>
    </w:p>
    <w:p w14:paraId="66452FF3">
      <w:pPr>
        <w:bidi w:val="0"/>
        <w:ind w:firstLine="480" w:firstLineChars="200"/>
        <w:rPr>
          <w:color w:val="auto"/>
        </w:rPr>
      </w:pPr>
      <w:r>
        <w:rPr>
          <w:rFonts w:hint="eastAsia"/>
          <w:color w:val="auto"/>
          <w:lang w:eastAsia="zh-CN"/>
        </w:rPr>
        <w:t>（</w:t>
      </w:r>
      <w:r>
        <w:rPr>
          <w:rFonts w:hint="eastAsia"/>
          <w:color w:val="auto"/>
          <w:lang w:val="en-US" w:eastAsia="zh-CN"/>
        </w:rPr>
        <w:t>4</w:t>
      </w:r>
      <w:r>
        <w:rPr>
          <w:rFonts w:hint="eastAsia"/>
          <w:color w:val="auto"/>
          <w:lang w:eastAsia="zh-CN"/>
        </w:rPr>
        <w:t>）</w:t>
      </w:r>
      <w:r>
        <w:rPr>
          <w:color w:val="auto"/>
        </w:rPr>
        <w:t>声环境影响评价工作等级</w:t>
      </w:r>
    </w:p>
    <w:p w14:paraId="210DE7FE">
      <w:pPr>
        <w:bidi w:val="0"/>
        <w:ind w:firstLine="480" w:firstLineChars="200"/>
        <w:rPr>
          <w:color w:val="auto"/>
        </w:rPr>
      </w:pPr>
      <w:r>
        <w:rPr>
          <w:color w:val="auto"/>
        </w:rPr>
        <w:t>本项目所在区域的声环境功能区为《声环境质量标准》（GB3096-2008）中3类区</w:t>
      </w:r>
      <w:r>
        <w:rPr>
          <w:rFonts w:hint="eastAsia"/>
          <w:color w:val="auto"/>
          <w:lang w:eastAsia="zh-CN"/>
        </w:rPr>
        <w:t>，</w:t>
      </w:r>
      <w:r>
        <w:rPr>
          <w:color w:val="auto"/>
        </w:rPr>
        <w:t>根据《环境影响评价技术导则声环境》（HJ2.4-2021）中相关规定，评价范围内声环境保护目标声级增量在3dB（A）以下（不含3dB（A）），且受影响人口数量变化不大时</w:t>
      </w:r>
      <w:r>
        <w:rPr>
          <w:rFonts w:hint="eastAsia"/>
          <w:color w:val="auto"/>
          <w:lang w:eastAsia="zh-CN"/>
        </w:rPr>
        <w:t>，</w:t>
      </w:r>
      <w:r>
        <w:rPr>
          <w:color w:val="auto"/>
        </w:rPr>
        <w:t>则项目声环境影响评价工作等级确定为三级。</w:t>
      </w:r>
    </w:p>
    <w:p w14:paraId="163C97AD">
      <w:pPr>
        <w:bidi w:val="0"/>
        <w:ind w:firstLine="480" w:firstLineChars="200"/>
        <w:rPr>
          <w:color w:val="auto"/>
        </w:rPr>
      </w:pPr>
      <w:r>
        <w:rPr>
          <w:rFonts w:hint="eastAsia"/>
          <w:color w:val="auto"/>
          <w:lang w:eastAsia="zh-CN"/>
        </w:rPr>
        <w:t>（</w:t>
      </w:r>
      <w:r>
        <w:rPr>
          <w:rFonts w:hint="eastAsia"/>
          <w:color w:val="auto"/>
          <w:lang w:val="en-US" w:eastAsia="zh-CN"/>
        </w:rPr>
        <w:t>5</w:t>
      </w:r>
      <w:r>
        <w:rPr>
          <w:rFonts w:hint="eastAsia"/>
          <w:color w:val="auto"/>
          <w:lang w:eastAsia="zh-CN"/>
        </w:rPr>
        <w:t>）</w:t>
      </w:r>
      <w:r>
        <w:rPr>
          <w:color w:val="auto"/>
        </w:rPr>
        <w:t>土壤环境影响评价工作等级</w:t>
      </w:r>
    </w:p>
    <w:p w14:paraId="2BF53BE6">
      <w:pPr>
        <w:bidi w:val="0"/>
        <w:ind w:firstLine="480" w:firstLineChars="200"/>
        <w:rPr>
          <w:color w:val="auto"/>
        </w:rPr>
      </w:pPr>
      <w:r>
        <w:rPr>
          <w:color w:val="auto"/>
        </w:rPr>
        <w:t>根据《环境影响评价技术导则土壤环境（试行）》（HJ964-2018）附录A可知，本项目属于</w:t>
      </w:r>
      <w:r>
        <w:rPr>
          <w:rFonts w:hint="eastAsia"/>
          <w:color w:val="auto"/>
          <w:lang w:eastAsia="zh-CN"/>
        </w:rPr>
        <w:t>“</w:t>
      </w:r>
      <w:r>
        <w:rPr>
          <w:color w:val="auto"/>
        </w:rPr>
        <w:t>制造设备制造、金属制品、汽车制造及其他用品制造有化学处理工艺的</w:t>
      </w:r>
      <w:r>
        <w:rPr>
          <w:rFonts w:hint="eastAsia"/>
          <w:color w:val="auto"/>
          <w:lang w:eastAsia="zh-CN"/>
        </w:rPr>
        <w:t>”</w:t>
      </w:r>
      <w:r>
        <w:rPr>
          <w:color w:val="auto"/>
        </w:rPr>
        <w:t>类别</w:t>
      </w:r>
      <w:r>
        <w:rPr>
          <w:rFonts w:hint="eastAsia"/>
          <w:color w:val="auto"/>
          <w:lang w:eastAsia="zh-CN"/>
        </w:rPr>
        <w:t>，</w:t>
      </w:r>
      <w:r>
        <w:rPr>
          <w:color w:val="auto"/>
        </w:rPr>
        <w:t>属于Ⅱ类项目，</w:t>
      </w:r>
      <w:r>
        <w:rPr>
          <w:rFonts w:hint="eastAsia"/>
          <w:color w:val="auto"/>
          <w:lang w:val="en-US" w:eastAsia="zh-CN"/>
        </w:rPr>
        <w:t>现有工程</w:t>
      </w:r>
      <w:r>
        <w:rPr>
          <w:color w:val="auto"/>
        </w:rPr>
        <w:t>占地457亩（30.47h</w:t>
      </w:r>
      <w:r>
        <w:rPr>
          <w:rFonts w:hint="eastAsia"/>
          <w:color w:val="auto"/>
          <w:lang w:val="en-US" w:eastAsia="zh-CN"/>
        </w:rPr>
        <w:t>m</w:t>
      </w:r>
      <w:r>
        <w:rPr>
          <w:rFonts w:hint="eastAsia"/>
          <w:color w:val="auto"/>
          <w:vertAlign w:val="superscript"/>
          <w:lang w:val="en-US" w:eastAsia="zh-CN"/>
        </w:rPr>
        <w:t>2</w:t>
      </w:r>
      <w:r>
        <w:rPr>
          <w:color w:val="auto"/>
        </w:rPr>
        <w:t>）</w:t>
      </w:r>
      <w:r>
        <w:rPr>
          <w:rFonts w:hint="eastAsia"/>
          <w:color w:val="auto"/>
          <w:lang w:eastAsia="zh-CN"/>
        </w:rPr>
        <w:t>，</w:t>
      </w:r>
      <w:r>
        <w:rPr>
          <w:rFonts w:hint="eastAsia"/>
          <w:color w:val="auto"/>
          <w:lang w:val="en-US" w:eastAsia="zh-CN"/>
        </w:rPr>
        <w:t>本次技改项目不新增用地</w:t>
      </w:r>
      <w:r>
        <w:rPr>
          <w:color w:val="auto"/>
        </w:rPr>
        <w:t>，占地规模为中型，敏感程度为不敏</w:t>
      </w:r>
      <w:r>
        <w:rPr>
          <w:rFonts w:hint="eastAsia"/>
          <w:color w:val="auto"/>
          <w:lang w:val="en-US" w:eastAsia="zh-CN"/>
        </w:rPr>
        <w:t>感。</w:t>
      </w:r>
    </w:p>
    <w:p w14:paraId="44F73304">
      <w:pPr>
        <w:bidi w:val="0"/>
        <w:jc w:val="center"/>
        <w:rPr>
          <w:b/>
          <w:bCs/>
        </w:rPr>
      </w:pPr>
      <w:r>
        <w:rPr>
          <w:b/>
          <w:bCs/>
        </w:rPr>
        <w:t>表2.4.1</w:t>
      </w:r>
      <w:r>
        <w:rPr>
          <w:rFonts w:hint="eastAsia"/>
          <w:b/>
          <w:bCs/>
          <w:lang w:val="en-US" w:eastAsia="zh-CN"/>
        </w:rPr>
        <w:t xml:space="preserve">-9 </w:t>
      </w:r>
      <w:r>
        <w:rPr>
          <w:b/>
          <w:bCs/>
        </w:rPr>
        <w:t>土壤环境影响评价项目类别（部分）</w:t>
      </w:r>
    </w:p>
    <w:tbl>
      <w:tblPr>
        <w:tblStyle w:val="25"/>
        <w:tblW w:w="5005"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18"/>
        <w:gridCol w:w="2942"/>
        <w:gridCol w:w="1214"/>
        <w:gridCol w:w="1217"/>
        <w:gridCol w:w="1048"/>
        <w:gridCol w:w="1135"/>
      </w:tblGrid>
      <w:tr w14:paraId="1DA79FD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1816" w:type="dxa"/>
            <w:vMerge w:val="restart"/>
            <w:tcBorders>
              <w:top w:val="single" w:color="auto" w:sz="4" w:space="0"/>
              <w:left w:val="single" w:color="auto" w:sz="4" w:space="0"/>
              <w:bottom w:val="single" w:color="auto" w:sz="4" w:space="0"/>
              <w:right w:val="single" w:color="auto" w:sz="4" w:space="0"/>
            </w:tcBorders>
            <w:vAlign w:val="center"/>
          </w:tcPr>
          <w:p w14:paraId="124F1FBA">
            <w:pPr>
              <w:pStyle w:val="30"/>
              <w:widowControl w:val="0"/>
              <w:bidi w:val="0"/>
              <w:rPr>
                <w:color w:val="auto"/>
                <w:lang w:val="en-US" w:eastAsia="en-US"/>
              </w:rPr>
            </w:pPr>
            <w:r>
              <w:rPr>
                <w:b/>
                <w:bCs/>
                <w:color w:val="auto"/>
                <w:lang w:val="en-US" w:eastAsia="en-US"/>
              </w:rPr>
              <w:t>行业类别</w:t>
            </w:r>
          </w:p>
        </w:tc>
        <w:tc>
          <w:tcPr>
            <w:tcW w:w="6415" w:type="dxa"/>
            <w:gridSpan w:val="4"/>
            <w:tcBorders>
              <w:top w:val="single" w:color="auto" w:sz="4" w:space="0"/>
              <w:left w:val="single" w:color="auto" w:sz="4" w:space="0"/>
              <w:bottom w:val="single" w:color="auto" w:sz="4" w:space="0"/>
              <w:right w:val="single" w:color="auto" w:sz="4" w:space="0"/>
            </w:tcBorders>
            <w:vAlign w:val="center"/>
          </w:tcPr>
          <w:p w14:paraId="061EA22D">
            <w:pPr>
              <w:pStyle w:val="30"/>
              <w:widowControl w:val="0"/>
              <w:bidi w:val="0"/>
              <w:rPr>
                <w:b/>
                <w:bCs/>
                <w:color w:val="auto"/>
                <w:lang w:val="en-US" w:eastAsia="en-US"/>
              </w:rPr>
            </w:pPr>
            <w:r>
              <w:rPr>
                <w:b/>
                <w:bCs/>
                <w:color w:val="auto"/>
                <w:lang w:val="en-US" w:eastAsia="en-US"/>
              </w:rPr>
              <w:t>项目类别</w:t>
            </w:r>
          </w:p>
        </w:tc>
        <w:tc>
          <w:tcPr>
            <w:tcW w:w="1134" w:type="dxa"/>
            <w:vMerge w:val="restart"/>
            <w:tcBorders>
              <w:top w:val="single" w:color="auto" w:sz="4" w:space="0"/>
              <w:left w:val="single" w:color="auto" w:sz="4" w:space="0"/>
              <w:bottom w:val="single" w:color="auto" w:sz="4" w:space="0"/>
              <w:right w:val="single" w:color="auto" w:sz="4" w:space="0"/>
            </w:tcBorders>
            <w:vAlign w:val="center"/>
          </w:tcPr>
          <w:p w14:paraId="221845C9">
            <w:pPr>
              <w:pStyle w:val="30"/>
              <w:widowControl w:val="0"/>
              <w:bidi w:val="0"/>
              <w:rPr>
                <w:b/>
                <w:bCs/>
                <w:color w:val="auto"/>
                <w:lang w:val="en-US" w:eastAsia="en-US"/>
              </w:rPr>
            </w:pPr>
            <w:r>
              <w:rPr>
                <w:b/>
                <w:bCs/>
                <w:color w:val="auto"/>
                <w:lang w:val="en-US" w:eastAsia="en-US"/>
              </w:rPr>
              <w:t>项目属性</w:t>
            </w:r>
          </w:p>
        </w:tc>
      </w:tr>
      <w:tr w14:paraId="6BE308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1816" w:type="dxa"/>
            <w:vMerge w:val="continue"/>
            <w:tcBorders>
              <w:top w:val="single" w:color="auto" w:sz="4" w:space="0"/>
              <w:left w:val="single" w:color="auto" w:sz="4" w:space="0"/>
              <w:bottom w:val="single" w:color="auto" w:sz="4" w:space="0"/>
              <w:right w:val="single" w:color="auto" w:sz="4" w:space="0"/>
            </w:tcBorders>
            <w:vAlign w:val="center"/>
          </w:tcPr>
          <w:p w14:paraId="768CED64">
            <w:pPr>
              <w:pStyle w:val="30"/>
              <w:widowControl w:val="0"/>
              <w:bidi w:val="0"/>
              <w:rPr>
                <w:color w:val="auto"/>
                <w:lang w:val="en-US" w:eastAsia="en-US"/>
              </w:rPr>
            </w:pPr>
          </w:p>
        </w:tc>
        <w:tc>
          <w:tcPr>
            <w:tcW w:w="2939" w:type="dxa"/>
            <w:tcBorders>
              <w:top w:val="single" w:color="auto" w:sz="4" w:space="0"/>
              <w:left w:val="single" w:color="auto" w:sz="4" w:space="0"/>
              <w:bottom w:val="single" w:color="auto" w:sz="4" w:space="0"/>
              <w:right w:val="single" w:color="auto" w:sz="4" w:space="0"/>
            </w:tcBorders>
            <w:vAlign w:val="center"/>
          </w:tcPr>
          <w:p w14:paraId="24915E3B">
            <w:pPr>
              <w:pStyle w:val="30"/>
              <w:widowControl w:val="0"/>
              <w:bidi w:val="0"/>
              <w:rPr>
                <w:b/>
                <w:bCs/>
                <w:color w:val="auto"/>
                <w:lang w:val="en-US" w:eastAsia="en-US"/>
              </w:rPr>
            </w:pPr>
            <w:r>
              <w:rPr>
                <w:b/>
                <w:bCs/>
                <w:color w:val="auto"/>
                <w:lang w:val="en-US" w:eastAsia="en-US"/>
              </w:rPr>
              <w:t>I类</w:t>
            </w:r>
          </w:p>
        </w:tc>
        <w:tc>
          <w:tcPr>
            <w:tcW w:w="1213" w:type="dxa"/>
            <w:tcBorders>
              <w:top w:val="single" w:color="auto" w:sz="4" w:space="0"/>
              <w:left w:val="single" w:color="auto" w:sz="4" w:space="0"/>
              <w:bottom w:val="single" w:color="auto" w:sz="4" w:space="0"/>
              <w:right w:val="single" w:color="auto" w:sz="4" w:space="0"/>
            </w:tcBorders>
            <w:shd w:val="clear" w:color="auto" w:fill="D7D7D7" w:themeFill="background1" w:themeFillShade="D8"/>
            <w:vAlign w:val="center"/>
          </w:tcPr>
          <w:p w14:paraId="15A60FDE">
            <w:pPr>
              <w:pStyle w:val="30"/>
              <w:widowControl w:val="0"/>
              <w:bidi w:val="0"/>
              <w:rPr>
                <w:b/>
                <w:bCs/>
                <w:color w:val="auto"/>
                <w:lang w:val="en-US" w:eastAsia="en-US"/>
              </w:rPr>
            </w:pPr>
            <w:r>
              <w:rPr>
                <w:rFonts w:hint="eastAsia"/>
                <w:b/>
                <w:bCs/>
                <w:color w:val="auto"/>
                <w:lang w:val="en-US" w:eastAsia="zh-CN"/>
              </w:rPr>
              <w:t>Ⅱ</w:t>
            </w:r>
            <w:r>
              <w:rPr>
                <w:b/>
                <w:bCs/>
                <w:color w:val="auto"/>
                <w:lang w:val="en-US" w:eastAsia="en-US"/>
              </w:rPr>
              <w:t>类</w:t>
            </w:r>
          </w:p>
        </w:tc>
        <w:tc>
          <w:tcPr>
            <w:tcW w:w="1216" w:type="dxa"/>
            <w:tcBorders>
              <w:top w:val="single" w:color="auto" w:sz="4" w:space="0"/>
              <w:left w:val="single" w:color="auto" w:sz="4" w:space="0"/>
              <w:bottom w:val="single" w:color="auto" w:sz="4" w:space="0"/>
              <w:right w:val="single" w:color="auto" w:sz="4" w:space="0"/>
            </w:tcBorders>
            <w:vAlign w:val="center"/>
          </w:tcPr>
          <w:p w14:paraId="56080956">
            <w:pPr>
              <w:pStyle w:val="30"/>
              <w:widowControl w:val="0"/>
              <w:bidi w:val="0"/>
              <w:rPr>
                <w:b/>
                <w:bCs/>
                <w:color w:val="auto"/>
                <w:lang w:val="en-US" w:eastAsia="en-US"/>
              </w:rPr>
            </w:pPr>
            <w:r>
              <w:rPr>
                <w:rFonts w:hint="eastAsia"/>
                <w:b/>
                <w:bCs/>
                <w:color w:val="auto"/>
                <w:lang w:val="en-US" w:eastAsia="zh-CN"/>
              </w:rPr>
              <w:t>Ⅲ</w:t>
            </w:r>
            <w:r>
              <w:rPr>
                <w:b/>
                <w:bCs/>
                <w:color w:val="auto"/>
                <w:lang w:val="en-US" w:eastAsia="en-US"/>
              </w:rPr>
              <w:t>类</w:t>
            </w:r>
          </w:p>
        </w:tc>
        <w:tc>
          <w:tcPr>
            <w:tcW w:w="1047" w:type="dxa"/>
            <w:tcBorders>
              <w:top w:val="single" w:color="auto" w:sz="4" w:space="0"/>
              <w:left w:val="single" w:color="auto" w:sz="4" w:space="0"/>
              <w:bottom w:val="single" w:color="auto" w:sz="4" w:space="0"/>
              <w:right w:val="single" w:color="auto" w:sz="4" w:space="0"/>
            </w:tcBorders>
            <w:vAlign w:val="center"/>
          </w:tcPr>
          <w:p w14:paraId="3947EBB6">
            <w:pPr>
              <w:pStyle w:val="30"/>
              <w:widowControl w:val="0"/>
              <w:bidi w:val="0"/>
              <w:rPr>
                <w:b/>
                <w:bCs/>
                <w:color w:val="auto"/>
                <w:lang w:val="en-US" w:eastAsia="en-US"/>
              </w:rPr>
            </w:pPr>
            <w:r>
              <w:rPr>
                <w:rFonts w:hint="eastAsia"/>
                <w:b/>
                <w:bCs/>
                <w:color w:val="auto"/>
                <w:lang w:val="en-US" w:eastAsia="zh-CN"/>
              </w:rPr>
              <w:t>Ⅳ</w:t>
            </w:r>
            <w:r>
              <w:rPr>
                <w:b/>
                <w:bCs/>
                <w:color w:val="auto"/>
                <w:lang w:val="en-US" w:eastAsia="en-US"/>
              </w:rPr>
              <w:t>类</w:t>
            </w:r>
          </w:p>
        </w:tc>
        <w:tc>
          <w:tcPr>
            <w:tcW w:w="1134" w:type="dxa"/>
            <w:vMerge w:val="continue"/>
            <w:tcBorders>
              <w:top w:val="single" w:color="auto" w:sz="4" w:space="0"/>
              <w:left w:val="single" w:color="auto" w:sz="4" w:space="0"/>
              <w:bottom w:val="single" w:color="auto" w:sz="4" w:space="0"/>
              <w:right w:val="single" w:color="auto" w:sz="4" w:space="0"/>
            </w:tcBorders>
            <w:vAlign w:val="center"/>
          </w:tcPr>
          <w:p w14:paraId="28DF6125">
            <w:pPr>
              <w:pStyle w:val="30"/>
              <w:widowControl w:val="0"/>
              <w:bidi w:val="0"/>
              <w:rPr>
                <w:b/>
                <w:bCs/>
                <w:color w:val="auto"/>
                <w:lang w:val="en-US" w:eastAsia="en-US"/>
              </w:rPr>
            </w:pPr>
          </w:p>
        </w:tc>
      </w:tr>
      <w:tr w14:paraId="2AF36B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jc w:val="center"/>
        </w:trPr>
        <w:tc>
          <w:tcPr>
            <w:tcW w:w="1816" w:type="dxa"/>
            <w:tcBorders>
              <w:top w:val="single" w:color="auto" w:sz="4" w:space="0"/>
              <w:left w:val="single" w:color="auto" w:sz="4" w:space="0"/>
              <w:bottom w:val="single" w:color="auto" w:sz="4" w:space="0"/>
              <w:right w:val="single" w:color="auto" w:sz="4" w:space="0"/>
            </w:tcBorders>
            <w:vAlign w:val="center"/>
          </w:tcPr>
          <w:p w14:paraId="5203A96C">
            <w:pPr>
              <w:pStyle w:val="30"/>
              <w:widowControl w:val="0"/>
              <w:bidi w:val="0"/>
              <w:rPr>
                <w:color w:val="auto"/>
                <w:lang w:val="en-US" w:eastAsia="en-US"/>
              </w:rPr>
            </w:pPr>
            <w:r>
              <w:rPr>
                <w:color w:val="auto"/>
                <w:lang w:val="en-US" w:eastAsia="en-US"/>
              </w:rPr>
              <w:t>制造设备制造、金属制品、汽车制造及其他用品制造</w:t>
            </w:r>
          </w:p>
        </w:tc>
        <w:tc>
          <w:tcPr>
            <w:tcW w:w="2939" w:type="dxa"/>
            <w:tcBorders>
              <w:top w:val="single" w:color="auto" w:sz="4" w:space="0"/>
              <w:left w:val="single" w:color="auto" w:sz="4" w:space="0"/>
              <w:bottom w:val="single" w:color="auto" w:sz="4" w:space="0"/>
              <w:right w:val="single" w:color="auto" w:sz="4" w:space="0"/>
            </w:tcBorders>
            <w:vAlign w:val="center"/>
          </w:tcPr>
          <w:p w14:paraId="6B552E0B">
            <w:pPr>
              <w:pStyle w:val="30"/>
              <w:widowControl w:val="0"/>
              <w:bidi w:val="0"/>
              <w:rPr>
                <w:color w:val="auto"/>
                <w:lang w:val="en-US" w:eastAsia="en-US"/>
              </w:rPr>
            </w:pPr>
            <w:r>
              <w:rPr>
                <w:color w:val="auto"/>
                <w:lang w:val="en-US" w:eastAsia="en-US"/>
              </w:rPr>
              <w:t>有电镀工艺的；金属制品表面处理及热处理加工的；使用有机涂层的（喷粉、喷塑和电泳除外）；有钝化工艺的热镀锌</w:t>
            </w:r>
          </w:p>
        </w:tc>
        <w:tc>
          <w:tcPr>
            <w:tcW w:w="1213" w:type="dxa"/>
            <w:tcBorders>
              <w:top w:val="single" w:color="auto" w:sz="4" w:space="0"/>
              <w:left w:val="single" w:color="auto" w:sz="4" w:space="0"/>
              <w:bottom w:val="single" w:color="auto" w:sz="4" w:space="0"/>
              <w:right w:val="single" w:color="auto" w:sz="4" w:space="0"/>
            </w:tcBorders>
            <w:shd w:val="clear" w:color="auto" w:fill="D7D7D7" w:themeFill="background1" w:themeFillShade="D8"/>
            <w:vAlign w:val="center"/>
          </w:tcPr>
          <w:p w14:paraId="27604E24">
            <w:pPr>
              <w:pStyle w:val="30"/>
              <w:widowControl w:val="0"/>
              <w:bidi w:val="0"/>
              <w:rPr>
                <w:color w:val="auto"/>
                <w:lang w:val="en-US" w:eastAsia="en-US"/>
              </w:rPr>
            </w:pPr>
            <w:r>
              <w:rPr>
                <w:color w:val="auto"/>
                <w:lang w:val="en-US" w:eastAsia="en-US"/>
              </w:rPr>
              <w:t>有化学处理工艺</w:t>
            </w:r>
          </w:p>
        </w:tc>
        <w:tc>
          <w:tcPr>
            <w:tcW w:w="1216" w:type="dxa"/>
            <w:tcBorders>
              <w:top w:val="single" w:color="auto" w:sz="4" w:space="0"/>
              <w:left w:val="single" w:color="auto" w:sz="4" w:space="0"/>
              <w:bottom w:val="single" w:color="auto" w:sz="4" w:space="0"/>
              <w:right w:val="single" w:color="auto" w:sz="4" w:space="0"/>
            </w:tcBorders>
            <w:vAlign w:val="center"/>
          </w:tcPr>
          <w:p w14:paraId="23491678">
            <w:pPr>
              <w:pStyle w:val="30"/>
              <w:widowControl w:val="0"/>
              <w:bidi w:val="0"/>
              <w:rPr>
                <w:color w:val="auto"/>
                <w:lang w:val="en-US" w:eastAsia="en-US"/>
              </w:rPr>
            </w:pPr>
            <w:r>
              <w:rPr>
                <w:color w:val="auto"/>
                <w:lang w:val="en-US" w:eastAsia="en-US"/>
              </w:rPr>
              <w:t>其他</w:t>
            </w:r>
          </w:p>
        </w:tc>
        <w:tc>
          <w:tcPr>
            <w:tcW w:w="1047" w:type="dxa"/>
            <w:tcBorders>
              <w:top w:val="single" w:color="auto" w:sz="4" w:space="0"/>
              <w:left w:val="single" w:color="auto" w:sz="4" w:space="0"/>
              <w:bottom w:val="single" w:color="auto" w:sz="4" w:space="0"/>
              <w:right w:val="single" w:color="auto" w:sz="4" w:space="0"/>
            </w:tcBorders>
            <w:vAlign w:val="center"/>
          </w:tcPr>
          <w:p w14:paraId="301FB827">
            <w:pPr>
              <w:pStyle w:val="30"/>
              <w:widowControl w:val="0"/>
              <w:bidi w:val="0"/>
              <w:rPr>
                <w:color w:val="auto"/>
                <w:lang w:val="en-US" w:eastAsia="en-US"/>
              </w:rPr>
            </w:pPr>
            <w:r>
              <w:rPr>
                <w:color w:val="auto"/>
                <w:lang w:val="en-US" w:eastAsia="en-US"/>
              </w:rPr>
              <w:t>/</w:t>
            </w:r>
          </w:p>
        </w:tc>
        <w:tc>
          <w:tcPr>
            <w:tcW w:w="1134" w:type="dxa"/>
            <w:tcBorders>
              <w:top w:val="single" w:color="auto" w:sz="4" w:space="0"/>
              <w:left w:val="single" w:color="auto" w:sz="4" w:space="0"/>
              <w:bottom w:val="single" w:color="auto" w:sz="4" w:space="0"/>
              <w:right w:val="single" w:color="auto" w:sz="4" w:space="0"/>
            </w:tcBorders>
            <w:vAlign w:val="center"/>
          </w:tcPr>
          <w:p w14:paraId="32D41D12">
            <w:pPr>
              <w:pStyle w:val="30"/>
              <w:widowControl w:val="0"/>
              <w:bidi w:val="0"/>
              <w:rPr>
                <w:color w:val="auto"/>
                <w:lang w:val="en-US" w:eastAsia="en-US"/>
              </w:rPr>
            </w:pPr>
            <w:r>
              <w:rPr>
                <w:color w:val="auto"/>
                <w:lang w:val="en-US" w:eastAsia="en-US"/>
              </w:rPr>
              <w:t>Ⅱ类</w:t>
            </w:r>
          </w:p>
        </w:tc>
      </w:tr>
    </w:tbl>
    <w:p w14:paraId="4BAB2A2F">
      <w:pPr>
        <w:bidi w:val="0"/>
        <w:jc w:val="center"/>
        <w:rPr>
          <w:b/>
          <w:bCs/>
        </w:rPr>
      </w:pPr>
      <w:r>
        <w:rPr>
          <w:b/>
          <w:bCs/>
        </w:rPr>
        <w:t>表2.4.1</w:t>
      </w:r>
      <w:r>
        <w:rPr>
          <w:rFonts w:hint="eastAsia"/>
          <w:b/>
          <w:bCs/>
          <w:lang w:val="en-US" w:eastAsia="zh-CN"/>
        </w:rPr>
        <w:t xml:space="preserve">-10 </w:t>
      </w:r>
      <w:r>
        <w:rPr>
          <w:b/>
          <w:bCs/>
        </w:rPr>
        <w:t>污染影响型敏感程度分级表</w:t>
      </w:r>
    </w:p>
    <w:tbl>
      <w:tblPr>
        <w:tblStyle w:val="25"/>
        <w:tblW w:w="5003" w:type="pct"/>
        <w:tblInd w:w="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95"/>
        <w:gridCol w:w="7193"/>
        <w:gridCol w:w="1079"/>
      </w:tblGrid>
      <w:tr w14:paraId="345ED9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94" w:type="dxa"/>
            <w:vAlign w:val="center"/>
          </w:tcPr>
          <w:p w14:paraId="2956AFB3">
            <w:pPr>
              <w:pStyle w:val="30"/>
              <w:widowControl w:val="0"/>
              <w:bidi w:val="0"/>
              <w:spacing w:line="240" w:lineRule="auto"/>
              <w:rPr>
                <w:b/>
                <w:bCs/>
                <w:color w:val="auto"/>
                <w:lang w:val="en-US" w:eastAsia="en-US"/>
              </w:rPr>
            </w:pPr>
            <w:r>
              <w:rPr>
                <w:b/>
                <w:bCs/>
                <w:color w:val="auto"/>
                <w:lang w:val="en-US" w:eastAsia="en-US"/>
              </w:rPr>
              <w:t>敏感程度</w:t>
            </w:r>
          </w:p>
        </w:tc>
        <w:tc>
          <w:tcPr>
            <w:tcW w:w="7189" w:type="dxa"/>
            <w:vAlign w:val="center"/>
          </w:tcPr>
          <w:p w14:paraId="71FD7982">
            <w:pPr>
              <w:pStyle w:val="30"/>
              <w:widowControl w:val="0"/>
              <w:bidi w:val="0"/>
              <w:spacing w:line="240" w:lineRule="auto"/>
              <w:rPr>
                <w:b/>
                <w:bCs/>
                <w:color w:val="auto"/>
                <w:lang w:val="en-US" w:eastAsia="en-US"/>
              </w:rPr>
            </w:pPr>
            <w:r>
              <w:rPr>
                <w:b/>
                <w:bCs/>
                <w:color w:val="auto"/>
                <w:lang w:val="en-US" w:eastAsia="en-US"/>
              </w:rPr>
              <w:t>判别依据</w:t>
            </w:r>
          </w:p>
        </w:tc>
        <w:tc>
          <w:tcPr>
            <w:tcW w:w="1078" w:type="dxa"/>
            <w:vAlign w:val="center"/>
          </w:tcPr>
          <w:p w14:paraId="6DE4C5EC">
            <w:pPr>
              <w:pStyle w:val="30"/>
              <w:widowControl w:val="0"/>
              <w:bidi w:val="0"/>
              <w:rPr>
                <w:b/>
                <w:bCs/>
                <w:color w:val="auto"/>
                <w:lang w:val="en-US" w:eastAsia="en-US"/>
              </w:rPr>
            </w:pPr>
            <w:r>
              <w:rPr>
                <w:b/>
                <w:bCs/>
                <w:color w:val="auto"/>
                <w:lang w:val="en-US" w:eastAsia="en-US"/>
              </w:rPr>
              <w:t>项目属性</w:t>
            </w:r>
          </w:p>
        </w:tc>
      </w:tr>
      <w:tr w14:paraId="662B25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94" w:type="dxa"/>
            <w:vAlign w:val="center"/>
          </w:tcPr>
          <w:p w14:paraId="6C803006">
            <w:pPr>
              <w:pStyle w:val="30"/>
              <w:widowControl w:val="0"/>
              <w:bidi w:val="0"/>
              <w:spacing w:line="240" w:lineRule="auto"/>
              <w:rPr>
                <w:color w:val="auto"/>
                <w:lang w:val="en-US" w:eastAsia="en-US"/>
              </w:rPr>
            </w:pPr>
            <w:r>
              <w:rPr>
                <w:color w:val="auto"/>
                <w:lang w:val="en-US" w:eastAsia="en-US"/>
              </w:rPr>
              <w:t>敏感</w:t>
            </w:r>
          </w:p>
        </w:tc>
        <w:tc>
          <w:tcPr>
            <w:tcW w:w="7189" w:type="dxa"/>
            <w:vAlign w:val="center"/>
          </w:tcPr>
          <w:p w14:paraId="39DA4168">
            <w:pPr>
              <w:pStyle w:val="30"/>
              <w:widowControl w:val="0"/>
              <w:bidi w:val="0"/>
              <w:spacing w:line="240" w:lineRule="auto"/>
              <w:rPr>
                <w:color w:val="auto"/>
                <w:lang w:val="en-US" w:eastAsia="en-US"/>
              </w:rPr>
            </w:pPr>
            <w:r>
              <w:rPr>
                <w:color w:val="auto"/>
                <w:lang w:val="en-US" w:eastAsia="en-US"/>
              </w:rPr>
              <w:t>建设项目周边存在耕地、园地、牧草地、饮用水水源地或居民区、</w:t>
            </w:r>
            <w:r>
              <w:rPr>
                <w:rFonts w:hint="eastAsia"/>
                <w:color w:val="auto"/>
                <w:lang w:val="en-US" w:eastAsia="zh-CN"/>
              </w:rPr>
              <w:t>学校、</w:t>
            </w:r>
            <w:r>
              <w:rPr>
                <w:color w:val="auto"/>
                <w:lang w:val="en-US" w:eastAsia="en-US"/>
              </w:rPr>
              <w:t>医院、疗养院、养老院等土壤环境敏感目标的</w:t>
            </w:r>
          </w:p>
        </w:tc>
        <w:tc>
          <w:tcPr>
            <w:tcW w:w="1078" w:type="dxa"/>
            <w:vMerge w:val="restart"/>
            <w:tcBorders>
              <w:bottom w:val="nil"/>
            </w:tcBorders>
            <w:vAlign w:val="center"/>
          </w:tcPr>
          <w:p w14:paraId="0CB883F0">
            <w:pPr>
              <w:pStyle w:val="30"/>
              <w:widowControl w:val="0"/>
              <w:bidi w:val="0"/>
              <w:rPr>
                <w:color w:val="auto"/>
                <w:lang w:val="en-US" w:eastAsia="en-US"/>
              </w:rPr>
            </w:pPr>
            <w:r>
              <w:rPr>
                <w:color w:val="auto"/>
                <w:lang w:val="en-US" w:eastAsia="en-US"/>
              </w:rPr>
              <w:t>不敏感</w:t>
            </w:r>
          </w:p>
        </w:tc>
      </w:tr>
      <w:tr w14:paraId="49D185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94" w:type="dxa"/>
            <w:vAlign w:val="center"/>
          </w:tcPr>
          <w:p w14:paraId="19DF322A">
            <w:pPr>
              <w:pStyle w:val="30"/>
              <w:widowControl w:val="0"/>
              <w:bidi w:val="0"/>
              <w:spacing w:line="240" w:lineRule="auto"/>
              <w:rPr>
                <w:color w:val="auto"/>
                <w:lang w:val="en-US" w:eastAsia="en-US"/>
              </w:rPr>
            </w:pPr>
            <w:r>
              <w:rPr>
                <w:color w:val="auto"/>
                <w:lang w:val="en-US" w:eastAsia="en-US"/>
              </w:rPr>
              <w:t>较敏感</w:t>
            </w:r>
          </w:p>
        </w:tc>
        <w:tc>
          <w:tcPr>
            <w:tcW w:w="7189" w:type="dxa"/>
            <w:vAlign w:val="center"/>
          </w:tcPr>
          <w:p w14:paraId="149C1EDA">
            <w:pPr>
              <w:pStyle w:val="30"/>
              <w:widowControl w:val="0"/>
              <w:bidi w:val="0"/>
              <w:spacing w:line="240" w:lineRule="auto"/>
              <w:rPr>
                <w:color w:val="auto"/>
                <w:lang w:val="en-US" w:eastAsia="en-US"/>
              </w:rPr>
            </w:pPr>
            <w:r>
              <w:rPr>
                <w:color w:val="auto"/>
                <w:lang w:val="en-US" w:eastAsia="en-US"/>
              </w:rPr>
              <w:t>建设项目周边存在其他土壤环境敏感目标的</w:t>
            </w:r>
          </w:p>
        </w:tc>
        <w:tc>
          <w:tcPr>
            <w:tcW w:w="1078" w:type="dxa"/>
            <w:vMerge w:val="continue"/>
            <w:tcBorders>
              <w:top w:val="nil"/>
              <w:bottom w:val="nil"/>
            </w:tcBorders>
            <w:vAlign w:val="center"/>
          </w:tcPr>
          <w:p w14:paraId="46F9654A">
            <w:pPr>
              <w:pStyle w:val="30"/>
              <w:widowControl w:val="0"/>
              <w:bidi w:val="0"/>
              <w:rPr>
                <w:color w:val="auto"/>
                <w:lang w:val="en-US" w:eastAsia="en-US"/>
              </w:rPr>
            </w:pPr>
          </w:p>
        </w:tc>
      </w:tr>
      <w:tr w14:paraId="37A0B6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94" w:type="dxa"/>
            <w:shd w:val="clear" w:color="auto" w:fill="D7D7D7" w:themeFill="background1" w:themeFillShade="D8"/>
            <w:vAlign w:val="center"/>
          </w:tcPr>
          <w:p w14:paraId="5D6AF7DA">
            <w:pPr>
              <w:pStyle w:val="30"/>
              <w:widowControl w:val="0"/>
              <w:bidi w:val="0"/>
              <w:spacing w:line="240" w:lineRule="auto"/>
              <w:rPr>
                <w:color w:val="auto"/>
                <w:lang w:val="en-US" w:eastAsia="en-US"/>
              </w:rPr>
            </w:pPr>
            <w:r>
              <w:rPr>
                <w:color w:val="auto"/>
                <w:lang w:val="en-US" w:eastAsia="en-US"/>
              </w:rPr>
              <w:t>不敏感</w:t>
            </w:r>
          </w:p>
        </w:tc>
        <w:tc>
          <w:tcPr>
            <w:tcW w:w="7189" w:type="dxa"/>
            <w:shd w:val="clear" w:color="auto" w:fill="D7D7D7" w:themeFill="background1" w:themeFillShade="D8"/>
            <w:vAlign w:val="center"/>
          </w:tcPr>
          <w:p w14:paraId="1B39F8AC">
            <w:pPr>
              <w:pStyle w:val="30"/>
              <w:widowControl w:val="0"/>
              <w:bidi w:val="0"/>
              <w:spacing w:line="240" w:lineRule="auto"/>
              <w:rPr>
                <w:color w:val="auto"/>
                <w:lang w:val="en-US" w:eastAsia="en-US"/>
              </w:rPr>
            </w:pPr>
            <w:r>
              <w:rPr>
                <w:color w:val="auto"/>
                <w:lang w:val="en-US" w:eastAsia="en-US"/>
              </w:rPr>
              <w:t>其他情况</w:t>
            </w:r>
          </w:p>
        </w:tc>
        <w:tc>
          <w:tcPr>
            <w:tcW w:w="1078" w:type="dxa"/>
            <w:vMerge w:val="continue"/>
            <w:tcBorders>
              <w:top w:val="nil"/>
            </w:tcBorders>
            <w:vAlign w:val="center"/>
          </w:tcPr>
          <w:p w14:paraId="62FA9399">
            <w:pPr>
              <w:pStyle w:val="30"/>
              <w:widowControl w:val="0"/>
              <w:bidi w:val="0"/>
              <w:rPr>
                <w:color w:val="auto"/>
                <w:lang w:val="en-US" w:eastAsia="en-US"/>
              </w:rPr>
            </w:pPr>
          </w:p>
        </w:tc>
      </w:tr>
    </w:tbl>
    <w:p w14:paraId="0625A170">
      <w:pPr>
        <w:bidi w:val="0"/>
        <w:jc w:val="center"/>
        <w:rPr>
          <w:b/>
          <w:bCs/>
        </w:rPr>
      </w:pPr>
      <w:r>
        <w:rPr>
          <w:b/>
          <w:bCs/>
        </w:rPr>
        <w:t>表2.4.1</w:t>
      </w:r>
      <w:r>
        <w:rPr>
          <w:rFonts w:hint="eastAsia"/>
          <w:b/>
          <w:bCs/>
          <w:lang w:val="en-US" w:eastAsia="zh-CN"/>
        </w:rPr>
        <w:t xml:space="preserve">-11 </w:t>
      </w:r>
      <w:r>
        <w:rPr>
          <w:b/>
          <w:bCs/>
        </w:rPr>
        <w:t>土壤环境影响评价工作等级划分表</w:t>
      </w:r>
    </w:p>
    <w:tbl>
      <w:tblPr>
        <w:tblStyle w:val="25"/>
        <w:tblW w:w="5005"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61"/>
        <w:gridCol w:w="1103"/>
        <w:gridCol w:w="752"/>
        <w:gridCol w:w="753"/>
        <w:gridCol w:w="767"/>
        <w:gridCol w:w="735"/>
        <w:gridCol w:w="755"/>
        <w:gridCol w:w="758"/>
        <w:gridCol w:w="753"/>
        <w:gridCol w:w="755"/>
        <w:gridCol w:w="784"/>
      </w:tblGrid>
      <w:tr w14:paraId="7B08AD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460" w:type="dxa"/>
            <w:vMerge w:val="restart"/>
            <w:tcBorders>
              <w:bottom w:val="nil"/>
              <w:right w:val="nil"/>
            </w:tcBorders>
            <w:vAlign w:val="top"/>
          </w:tcPr>
          <w:p w14:paraId="3A3DA855">
            <w:pPr>
              <w:keepNext w:val="0"/>
              <w:keepLines w:val="0"/>
              <w:pageBreakBefore w:val="0"/>
              <w:widowControl/>
              <w:kinsoku w:val="0"/>
              <w:wordWrap/>
              <w:overflowPunct/>
              <w:topLinePunct w:val="0"/>
              <w:autoSpaceDE w:val="0"/>
              <w:autoSpaceDN w:val="0"/>
              <w:bidi w:val="0"/>
              <w:adjustRightInd w:val="0"/>
              <w:snapToGrid w:val="0"/>
              <w:spacing w:before="36" w:line="253" w:lineRule="auto"/>
              <w:ind w:left="116" w:right="151"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kern w:val="0"/>
                <w:sz w:val="21"/>
                <w:szCs w:val="21"/>
                <w:lang w:val="en-US" w:eastAsia="en-US" w:bidi="ar-SA"/>
              </w:rPr>
              <w:drawing>
                <wp:anchor distT="0" distB="0" distL="0" distR="0" simplePos="0" relativeHeight="251659264" behindDoc="1" locked="0" layoutInCell="1" allowOverlap="1">
                  <wp:simplePos x="0" y="0"/>
                  <wp:positionH relativeFrom="column">
                    <wp:posOffset>-1270</wp:posOffset>
                  </wp:positionH>
                  <wp:positionV relativeFrom="paragraph">
                    <wp:posOffset>-1270</wp:posOffset>
                  </wp:positionV>
                  <wp:extent cx="1580515" cy="707390"/>
                  <wp:effectExtent l="0" t="0" r="635" b="16510"/>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3"/>
                          <a:stretch>
                            <a:fillRect/>
                          </a:stretch>
                        </pic:blipFill>
                        <pic:spPr>
                          <a:xfrm>
                            <a:off x="0" y="0"/>
                            <a:ext cx="1580832" cy="707707"/>
                          </a:xfrm>
                          <a:prstGeom prst="rect">
                            <a:avLst/>
                          </a:prstGeom>
                        </pic:spPr>
                      </pic:pic>
                    </a:graphicData>
                  </a:graphic>
                </wp:anchor>
              </w:drawing>
            </w:r>
            <w:r>
              <w:rPr>
                <w:rFonts w:ascii="宋体" w:hAnsi="宋体" w:eastAsia="宋体" w:cs="宋体"/>
                <w:b/>
                <w:bCs/>
                <w:snapToGrid w:val="0"/>
                <w:color w:val="auto"/>
                <w:spacing w:val="28"/>
                <w:kern w:val="0"/>
                <w:sz w:val="21"/>
                <w:szCs w:val="21"/>
                <w:lang w:val="en-US" w:eastAsia="en-US" w:bidi="ar-SA"/>
              </w:rPr>
              <w:t>评价工作等</w:t>
            </w:r>
            <w:r>
              <w:rPr>
                <w:rFonts w:ascii="宋体" w:hAnsi="宋体" w:eastAsia="宋体" w:cs="宋体"/>
                <w:b/>
                <w:bCs/>
                <w:snapToGrid w:val="0"/>
                <w:color w:val="auto"/>
                <w:spacing w:val="-3"/>
                <w:kern w:val="0"/>
                <w:sz w:val="21"/>
                <w:szCs w:val="21"/>
                <w:lang w:val="en-US" w:eastAsia="en-US" w:bidi="ar-SA"/>
              </w:rPr>
              <w:t>级</w:t>
            </w:r>
          </w:p>
          <w:p w14:paraId="0CAD8D20">
            <w:pPr>
              <w:keepNext w:val="0"/>
              <w:keepLines w:val="0"/>
              <w:pageBreakBefore w:val="0"/>
              <w:widowControl/>
              <w:kinsoku w:val="0"/>
              <w:wordWrap/>
              <w:overflowPunct/>
              <w:topLinePunct w:val="0"/>
              <w:autoSpaceDE w:val="0"/>
              <w:autoSpaceDN w:val="0"/>
              <w:bidi w:val="0"/>
              <w:adjustRightInd w:val="0"/>
              <w:snapToGrid w:val="0"/>
              <w:spacing w:before="280" w:line="222" w:lineRule="auto"/>
              <w:ind w:left="301"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占地面积</w:t>
            </w:r>
          </w:p>
        </w:tc>
        <w:tc>
          <w:tcPr>
            <w:tcW w:w="1102" w:type="dxa"/>
            <w:vMerge w:val="restart"/>
            <w:tcBorders>
              <w:left w:val="nil"/>
              <w:bottom w:val="nil"/>
            </w:tcBorders>
            <w:vAlign w:val="top"/>
          </w:tcPr>
          <w:p w14:paraId="79FE67E3">
            <w:pPr>
              <w:keepNext w:val="0"/>
              <w:keepLines w:val="0"/>
              <w:pageBreakBefore w:val="0"/>
              <w:widowControl/>
              <w:kinsoku w:val="0"/>
              <w:wordWrap/>
              <w:overflowPunct/>
              <w:topLinePunct w:val="0"/>
              <w:autoSpaceDE w:val="0"/>
              <w:autoSpaceDN w:val="0"/>
              <w:bidi w:val="0"/>
              <w:adjustRightInd w:val="0"/>
              <w:snapToGrid w:val="0"/>
              <w:spacing w:before="36" w:line="252" w:lineRule="auto"/>
              <w:ind w:left="445" w:right="108"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kern w:val="0"/>
                <w:sz w:val="21"/>
                <w:szCs w:val="21"/>
                <w:lang w:val="en-US" w:eastAsia="en-US" w:bidi="ar-SA"/>
              </w:rPr>
              <w:t>敏感程</w:t>
            </w:r>
            <w:r>
              <w:rPr>
                <w:rFonts w:ascii="宋体" w:hAnsi="宋体" w:eastAsia="宋体" w:cs="宋体"/>
                <w:b/>
                <w:bCs/>
                <w:snapToGrid w:val="0"/>
                <w:color w:val="auto"/>
                <w:spacing w:val="-1"/>
                <w:kern w:val="0"/>
                <w:sz w:val="21"/>
                <w:szCs w:val="21"/>
                <w:lang w:val="en-US" w:eastAsia="en-US" w:bidi="ar-SA"/>
              </w:rPr>
              <w:t>度</w:t>
            </w:r>
          </w:p>
        </w:tc>
        <w:tc>
          <w:tcPr>
            <w:tcW w:w="2269" w:type="dxa"/>
            <w:gridSpan w:val="3"/>
            <w:vAlign w:val="top"/>
          </w:tcPr>
          <w:p w14:paraId="1BDAF172">
            <w:pPr>
              <w:keepNext w:val="0"/>
              <w:keepLines w:val="0"/>
              <w:pageBreakBefore w:val="0"/>
              <w:widowControl/>
              <w:kinsoku w:val="0"/>
              <w:wordWrap/>
              <w:overflowPunct/>
              <w:topLinePunct w:val="0"/>
              <w:autoSpaceDE w:val="0"/>
              <w:autoSpaceDN w:val="0"/>
              <w:bidi w:val="0"/>
              <w:adjustRightInd w:val="0"/>
              <w:snapToGrid w:val="0"/>
              <w:spacing w:before="86" w:line="228" w:lineRule="auto"/>
              <w:ind w:left="956" w:firstLine="0" w:firstLineChars="0"/>
              <w:jc w:val="left"/>
              <w:textAlignment w:val="baseline"/>
              <w:rPr>
                <w:rFonts w:ascii="宋体" w:hAnsi="宋体" w:eastAsia="宋体" w:cs="宋体"/>
                <w:snapToGrid w:val="0"/>
                <w:color w:val="auto"/>
                <w:kern w:val="0"/>
                <w:sz w:val="21"/>
                <w:szCs w:val="21"/>
                <w:lang w:val="en-US" w:eastAsia="en-US" w:bidi="ar-SA"/>
              </w:rPr>
            </w:pPr>
            <w:r>
              <w:rPr>
                <w:rFonts w:ascii="Times New Roman" w:hAnsi="Times New Roman" w:eastAsia="Times New Roman" w:cs="Times New Roman"/>
                <w:b/>
                <w:bCs/>
                <w:snapToGrid w:val="0"/>
                <w:color w:val="auto"/>
                <w:spacing w:val="1"/>
                <w:kern w:val="0"/>
                <w:sz w:val="21"/>
                <w:szCs w:val="21"/>
                <w:lang w:val="en-US" w:eastAsia="en-US" w:bidi="ar-SA"/>
              </w:rPr>
              <w:t>Ⅰ</w:t>
            </w:r>
            <w:r>
              <w:rPr>
                <w:rFonts w:ascii="宋体" w:hAnsi="宋体" w:eastAsia="宋体" w:cs="宋体"/>
                <w:b/>
                <w:bCs/>
                <w:snapToGrid w:val="0"/>
                <w:color w:val="auto"/>
                <w:spacing w:val="1"/>
                <w:kern w:val="0"/>
                <w:sz w:val="21"/>
                <w:szCs w:val="21"/>
                <w:lang w:val="en-US" w:eastAsia="en-US" w:bidi="ar-SA"/>
              </w:rPr>
              <w:t>类</w:t>
            </w:r>
          </w:p>
        </w:tc>
        <w:tc>
          <w:tcPr>
            <w:tcW w:w="2245" w:type="dxa"/>
            <w:gridSpan w:val="3"/>
            <w:vAlign w:val="top"/>
          </w:tcPr>
          <w:p w14:paraId="4B4782FC">
            <w:pPr>
              <w:keepNext w:val="0"/>
              <w:keepLines w:val="0"/>
              <w:pageBreakBefore w:val="0"/>
              <w:widowControl/>
              <w:kinsoku w:val="0"/>
              <w:wordWrap/>
              <w:overflowPunct/>
              <w:topLinePunct w:val="0"/>
              <w:autoSpaceDE w:val="0"/>
              <w:autoSpaceDN w:val="0"/>
              <w:bidi w:val="0"/>
              <w:adjustRightInd w:val="0"/>
              <w:snapToGrid w:val="0"/>
              <w:spacing w:before="86" w:line="228" w:lineRule="auto"/>
              <w:ind w:left="909" w:firstLine="0" w:firstLineChars="0"/>
              <w:jc w:val="left"/>
              <w:textAlignment w:val="baseline"/>
              <w:rPr>
                <w:rFonts w:ascii="宋体" w:hAnsi="宋体" w:eastAsia="宋体" w:cs="宋体"/>
                <w:snapToGrid w:val="0"/>
                <w:color w:val="auto"/>
                <w:kern w:val="0"/>
                <w:sz w:val="21"/>
                <w:szCs w:val="21"/>
                <w:lang w:val="en-US" w:eastAsia="en-US" w:bidi="ar-SA"/>
              </w:rPr>
            </w:pPr>
            <w:r>
              <w:rPr>
                <w:rFonts w:ascii="Times New Roman" w:hAnsi="Times New Roman" w:eastAsia="Times New Roman" w:cs="Times New Roman"/>
                <w:b/>
                <w:bCs/>
                <w:snapToGrid w:val="0"/>
                <w:color w:val="auto"/>
                <w:spacing w:val="3"/>
                <w:kern w:val="0"/>
                <w:sz w:val="21"/>
                <w:szCs w:val="21"/>
                <w:lang w:val="en-US" w:eastAsia="en-US" w:bidi="ar-SA"/>
              </w:rPr>
              <w:t>Ⅱ</w:t>
            </w:r>
            <w:r>
              <w:rPr>
                <w:rFonts w:ascii="宋体" w:hAnsi="宋体" w:eastAsia="宋体" w:cs="宋体"/>
                <w:b/>
                <w:bCs/>
                <w:snapToGrid w:val="0"/>
                <w:color w:val="auto"/>
                <w:spacing w:val="3"/>
                <w:kern w:val="0"/>
                <w:sz w:val="21"/>
                <w:szCs w:val="21"/>
                <w:lang w:val="en-US" w:eastAsia="en-US" w:bidi="ar-SA"/>
              </w:rPr>
              <w:t>类</w:t>
            </w:r>
          </w:p>
        </w:tc>
        <w:tc>
          <w:tcPr>
            <w:tcW w:w="2289" w:type="dxa"/>
            <w:gridSpan w:val="3"/>
            <w:vAlign w:val="top"/>
          </w:tcPr>
          <w:p w14:paraId="4107CF16">
            <w:pPr>
              <w:keepNext w:val="0"/>
              <w:keepLines w:val="0"/>
              <w:pageBreakBefore w:val="0"/>
              <w:widowControl/>
              <w:kinsoku w:val="0"/>
              <w:wordWrap/>
              <w:overflowPunct/>
              <w:topLinePunct w:val="0"/>
              <w:autoSpaceDE w:val="0"/>
              <w:autoSpaceDN w:val="0"/>
              <w:bidi w:val="0"/>
              <w:adjustRightInd w:val="0"/>
              <w:snapToGrid w:val="0"/>
              <w:spacing w:before="86" w:line="228" w:lineRule="auto"/>
              <w:ind w:left="888" w:firstLine="0" w:firstLineChars="0"/>
              <w:jc w:val="left"/>
              <w:textAlignment w:val="baseline"/>
              <w:rPr>
                <w:rFonts w:ascii="宋体" w:hAnsi="宋体" w:eastAsia="宋体" w:cs="宋体"/>
                <w:snapToGrid w:val="0"/>
                <w:color w:val="auto"/>
                <w:kern w:val="0"/>
                <w:sz w:val="21"/>
                <w:szCs w:val="21"/>
                <w:lang w:val="en-US" w:eastAsia="en-US" w:bidi="ar-SA"/>
              </w:rPr>
            </w:pPr>
            <w:r>
              <w:rPr>
                <w:rFonts w:ascii="Times New Roman" w:hAnsi="Times New Roman" w:eastAsia="Times New Roman" w:cs="Times New Roman"/>
                <w:b/>
                <w:bCs/>
                <w:snapToGrid w:val="0"/>
                <w:color w:val="auto"/>
                <w:spacing w:val="7"/>
                <w:kern w:val="0"/>
                <w:sz w:val="21"/>
                <w:szCs w:val="21"/>
                <w:lang w:val="en-US" w:eastAsia="en-US" w:bidi="ar-SA"/>
              </w:rPr>
              <w:t>Ⅲ</w:t>
            </w:r>
            <w:r>
              <w:rPr>
                <w:rFonts w:ascii="宋体" w:hAnsi="宋体" w:eastAsia="宋体" w:cs="宋体"/>
                <w:b/>
                <w:bCs/>
                <w:snapToGrid w:val="0"/>
                <w:color w:val="auto"/>
                <w:spacing w:val="7"/>
                <w:kern w:val="0"/>
                <w:sz w:val="21"/>
                <w:szCs w:val="21"/>
                <w:lang w:val="en-US" w:eastAsia="en-US" w:bidi="ar-SA"/>
              </w:rPr>
              <w:t>类</w:t>
            </w:r>
          </w:p>
        </w:tc>
      </w:tr>
      <w:tr w14:paraId="4A147C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460" w:type="dxa"/>
            <w:vMerge w:val="continue"/>
            <w:tcBorders>
              <w:top w:val="nil"/>
              <w:right w:val="nil"/>
            </w:tcBorders>
            <w:vAlign w:val="top"/>
          </w:tcPr>
          <w:p w14:paraId="6D0D2989">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left"/>
              <w:textAlignment w:val="baseline"/>
              <w:rPr>
                <w:rFonts w:ascii="Arial" w:hAnsi="Arial" w:eastAsia="Arial" w:cs="Arial"/>
                <w:color w:val="auto"/>
                <w:sz w:val="21"/>
                <w:szCs w:val="21"/>
              </w:rPr>
            </w:pPr>
          </w:p>
        </w:tc>
        <w:tc>
          <w:tcPr>
            <w:tcW w:w="1102" w:type="dxa"/>
            <w:vMerge w:val="continue"/>
            <w:tcBorders>
              <w:top w:val="nil"/>
              <w:left w:val="nil"/>
            </w:tcBorders>
            <w:vAlign w:val="top"/>
          </w:tcPr>
          <w:p w14:paraId="1F035A72">
            <w:pPr>
              <w:keepNext w:val="0"/>
              <w:keepLines w:val="0"/>
              <w:pageBreakBefore w:val="0"/>
              <w:widowControl/>
              <w:kinsoku w:val="0"/>
              <w:wordWrap/>
              <w:overflowPunct/>
              <w:topLinePunct w:val="0"/>
              <w:autoSpaceDE w:val="0"/>
              <w:autoSpaceDN w:val="0"/>
              <w:bidi w:val="0"/>
              <w:adjustRightInd w:val="0"/>
              <w:snapToGrid w:val="0"/>
              <w:spacing w:line="240" w:lineRule="auto"/>
              <w:ind w:firstLine="0" w:firstLineChars="0"/>
              <w:jc w:val="left"/>
              <w:textAlignment w:val="baseline"/>
              <w:rPr>
                <w:rFonts w:ascii="Arial" w:hAnsi="Arial" w:eastAsia="Arial" w:cs="Arial"/>
                <w:color w:val="auto"/>
                <w:sz w:val="21"/>
                <w:szCs w:val="21"/>
              </w:rPr>
            </w:pPr>
          </w:p>
        </w:tc>
        <w:tc>
          <w:tcPr>
            <w:tcW w:w="751" w:type="dxa"/>
            <w:vAlign w:val="top"/>
          </w:tcPr>
          <w:p w14:paraId="7708DFA3">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61"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大</w:t>
            </w:r>
          </w:p>
        </w:tc>
        <w:tc>
          <w:tcPr>
            <w:tcW w:w="752" w:type="dxa"/>
            <w:vAlign w:val="top"/>
          </w:tcPr>
          <w:p w14:paraId="304CB09E">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82"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中</w:t>
            </w:r>
          </w:p>
        </w:tc>
        <w:tc>
          <w:tcPr>
            <w:tcW w:w="766" w:type="dxa"/>
            <w:vAlign w:val="top"/>
          </w:tcPr>
          <w:p w14:paraId="3142D6A9">
            <w:pPr>
              <w:keepNext w:val="0"/>
              <w:keepLines w:val="0"/>
              <w:pageBreakBefore w:val="0"/>
              <w:widowControl/>
              <w:kinsoku w:val="0"/>
              <w:wordWrap/>
              <w:overflowPunct/>
              <w:topLinePunct w:val="0"/>
              <w:autoSpaceDE w:val="0"/>
              <w:autoSpaceDN w:val="0"/>
              <w:bidi w:val="0"/>
              <w:adjustRightInd w:val="0"/>
              <w:snapToGrid w:val="0"/>
              <w:spacing w:before="251" w:line="230" w:lineRule="auto"/>
              <w:ind w:left="27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小</w:t>
            </w:r>
          </w:p>
        </w:tc>
        <w:tc>
          <w:tcPr>
            <w:tcW w:w="734" w:type="dxa"/>
            <w:vAlign w:val="top"/>
          </w:tcPr>
          <w:p w14:paraId="5D0A420F">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58"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大</w:t>
            </w:r>
          </w:p>
        </w:tc>
        <w:tc>
          <w:tcPr>
            <w:tcW w:w="754" w:type="dxa"/>
            <w:vAlign w:val="top"/>
          </w:tcPr>
          <w:p w14:paraId="61FD8900">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8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中</w:t>
            </w:r>
          </w:p>
        </w:tc>
        <w:tc>
          <w:tcPr>
            <w:tcW w:w="757" w:type="dxa"/>
            <w:vAlign w:val="top"/>
          </w:tcPr>
          <w:p w14:paraId="5D52F68D">
            <w:pPr>
              <w:keepNext w:val="0"/>
              <w:keepLines w:val="0"/>
              <w:pageBreakBefore w:val="0"/>
              <w:widowControl/>
              <w:kinsoku w:val="0"/>
              <w:wordWrap/>
              <w:overflowPunct/>
              <w:topLinePunct w:val="0"/>
              <w:autoSpaceDE w:val="0"/>
              <w:autoSpaceDN w:val="0"/>
              <w:bidi w:val="0"/>
              <w:adjustRightInd w:val="0"/>
              <w:snapToGrid w:val="0"/>
              <w:spacing w:before="251" w:line="230" w:lineRule="auto"/>
              <w:ind w:left="27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小</w:t>
            </w:r>
          </w:p>
        </w:tc>
        <w:tc>
          <w:tcPr>
            <w:tcW w:w="752" w:type="dxa"/>
            <w:vAlign w:val="top"/>
          </w:tcPr>
          <w:p w14:paraId="4573A1D9">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70"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大</w:t>
            </w:r>
          </w:p>
        </w:tc>
        <w:tc>
          <w:tcPr>
            <w:tcW w:w="754" w:type="dxa"/>
            <w:vAlign w:val="top"/>
          </w:tcPr>
          <w:p w14:paraId="0E632D9D">
            <w:pPr>
              <w:keepNext w:val="0"/>
              <w:keepLines w:val="0"/>
              <w:pageBreakBefore w:val="0"/>
              <w:widowControl/>
              <w:kinsoku w:val="0"/>
              <w:wordWrap/>
              <w:overflowPunct/>
              <w:topLinePunct w:val="0"/>
              <w:autoSpaceDE w:val="0"/>
              <w:autoSpaceDN w:val="0"/>
              <w:bidi w:val="0"/>
              <w:adjustRightInd w:val="0"/>
              <w:snapToGrid w:val="0"/>
              <w:spacing w:before="251" w:line="228" w:lineRule="auto"/>
              <w:ind w:left="287"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中</w:t>
            </w:r>
          </w:p>
        </w:tc>
        <w:tc>
          <w:tcPr>
            <w:tcW w:w="783" w:type="dxa"/>
            <w:vAlign w:val="top"/>
          </w:tcPr>
          <w:p w14:paraId="1BC4FB27">
            <w:pPr>
              <w:keepNext w:val="0"/>
              <w:keepLines w:val="0"/>
              <w:pageBreakBefore w:val="0"/>
              <w:widowControl/>
              <w:kinsoku w:val="0"/>
              <w:wordWrap/>
              <w:overflowPunct/>
              <w:topLinePunct w:val="0"/>
              <w:autoSpaceDE w:val="0"/>
              <w:autoSpaceDN w:val="0"/>
              <w:bidi w:val="0"/>
              <w:adjustRightInd w:val="0"/>
              <w:snapToGrid w:val="0"/>
              <w:spacing w:before="251" w:line="230" w:lineRule="auto"/>
              <w:ind w:left="286"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b/>
                <w:bCs/>
                <w:snapToGrid w:val="0"/>
                <w:color w:val="auto"/>
                <w:spacing w:val="-3"/>
                <w:kern w:val="0"/>
                <w:sz w:val="21"/>
                <w:szCs w:val="21"/>
                <w:lang w:val="en-US" w:eastAsia="en-US" w:bidi="ar-SA"/>
              </w:rPr>
              <w:t>小</w:t>
            </w:r>
          </w:p>
        </w:tc>
      </w:tr>
      <w:tr w14:paraId="60C3DB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562" w:type="dxa"/>
            <w:gridSpan w:val="2"/>
            <w:vAlign w:val="top"/>
          </w:tcPr>
          <w:p w14:paraId="206E34A2">
            <w:pPr>
              <w:keepNext w:val="0"/>
              <w:keepLines w:val="0"/>
              <w:pageBreakBefore w:val="0"/>
              <w:widowControl/>
              <w:kinsoku w:val="0"/>
              <w:wordWrap/>
              <w:overflowPunct/>
              <w:topLinePunct w:val="0"/>
              <w:autoSpaceDE w:val="0"/>
              <w:autoSpaceDN w:val="0"/>
              <w:bidi w:val="0"/>
              <w:adjustRightInd w:val="0"/>
              <w:snapToGrid w:val="0"/>
              <w:spacing w:before="65" w:line="228" w:lineRule="auto"/>
              <w:ind w:left="1040"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敏感</w:t>
            </w:r>
          </w:p>
        </w:tc>
        <w:tc>
          <w:tcPr>
            <w:tcW w:w="751" w:type="dxa"/>
            <w:vAlign w:val="top"/>
          </w:tcPr>
          <w:p w14:paraId="222094EC">
            <w:pPr>
              <w:keepNext w:val="0"/>
              <w:keepLines w:val="0"/>
              <w:pageBreakBefore w:val="0"/>
              <w:widowControl/>
              <w:kinsoku w:val="0"/>
              <w:wordWrap/>
              <w:overflowPunct/>
              <w:topLinePunct w:val="0"/>
              <w:autoSpaceDE w:val="0"/>
              <w:autoSpaceDN w:val="0"/>
              <w:bidi w:val="0"/>
              <w:adjustRightInd w:val="0"/>
              <w:snapToGrid w:val="0"/>
              <w:spacing w:before="65" w:line="230" w:lineRule="auto"/>
              <w:ind w:left="159"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52" w:type="dxa"/>
            <w:vAlign w:val="top"/>
          </w:tcPr>
          <w:p w14:paraId="1CD75AF2">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0"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66" w:type="dxa"/>
            <w:vAlign w:val="top"/>
          </w:tcPr>
          <w:p w14:paraId="6495EFE5">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7"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34" w:type="dxa"/>
            <w:vAlign w:val="top"/>
          </w:tcPr>
          <w:p w14:paraId="02E684A3">
            <w:pPr>
              <w:keepNext w:val="0"/>
              <w:keepLines w:val="0"/>
              <w:pageBreakBefore w:val="0"/>
              <w:widowControl/>
              <w:kinsoku w:val="0"/>
              <w:wordWrap/>
              <w:overflowPunct/>
              <w:topLinePunct w:val="0"/>
              <w:autoSpaceDE w:val="0"/>
              <w:autoSpaceDN w:val="0"/>
              <w:bidi w:val="0"/>
              <w:adjustRightInd w:val="0"/>
              <w:snapToGrid w:val="0"/>
              <w:spacing w:before="65" w:line="230" w:lineRule="auto"/>
              <w:ind w:left="15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4" w:type="dxa"/>
            <w:vAlign w:val="top"/>
          </w:tcPr>
          <w:p w14:paraId="08CAC691">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7" w:type="dxa"/>
            <w:vAlign w:val="top"/>
          </w:tcPr>
          <w:p w14:paraId="3F4E69CC">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8"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2" w:type="dxa"/>
            <w:vAlign w:val="top"/>
          </w:tcPr>
          <w:p w14:paraId="7F883A7A">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2"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4" w:type="dxa"/>
            <w:vAlign w:val="top"/>
          </w:tcPr>
          <w:p w14:paraId="62D2D3D1">
            <w:pPr>
              <w:keepNext w:val="0"/>
              <w:keepLines w:val="0"/>
              <w:pageBreakBefore w:val="0"/>
              <w:widowControl/>
              <w:kinsoku w:val="0"/>
              <w:wordWrap/>
              <w:overflowPunct/>
              <w:topLinePunct w:val="0"/>
              <w:autoSpaceDE w:val="0"/>
              <w:autoSpaceDN w:val="0"/>
              <w:bidi w:val="0"/>
              <w:adjustRightInd w:val="0"/>
              <w:snapToGrid w:val="0"/>
              <w:spacing w:before="65" w:line="230" w:lineRule="auto"/>
              <w:ind w:left="164"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83" w:type="dxa"/>
            <w:vAlign w:val="top"/>
          </w:tcPr>
          <w:p w14:paraId="121593C7">
            <w:pPr>
              <w:keepNext w:val="0"/>
              <w:keepLines w:val="0"/>
              <w:pageBreakBefore w:val="0"/>
              <w:widowControl/>
              <w:kinsoku w:val="0"/>
              <w:wordWrap/>
              <w:overflowPunct/>
              <w:topLinePunct w:val="0"/>
              <w:autoSpaceDE w:val="0"/>
              <w:autoSpaceDN w:val="0"/>
              <w:bidi w:val="0"/>
              <w:adjustRightInd w:val="0"/>
              <w:snapToGrid w:val="0"/>
              <w:spacing w:before="65" w:line="230" w:lineRule="auto"/>
              <w:ind w:left="174"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r>
      <w:tr w14:paraId="0B9CA3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562" w:type="dxa"/>
            <w:gridSpan w:val="2"/>
            <w:vAlign w:val="top"/>
          </w:tcPr>
          <w:p w14:paraId="2B150E4A">
            <w:pPr>
              <w:keepNext w:val="0"/>
              <w:keepLines w:val="0"/>
              <w:pageBreakBefore w:val="0"/>
              <w:widowControl/>
              <w:kinsoku w:val="0"/>
              <w:wordWrap/>
              <w:overflowPunct/>
              <w:topLinePunct w:val="0"/>
              <w:autoSpaceDE w:val="0"/>
              <w:autoSpaceDN w:val="0"/>
              <w:bidi w:val="0"/>
              <w:adjustRightInd w:val="0"/>
              <w:snapToGrid w:val="0"/>
              <w:spacing w:before="67" w:line="228" w:lineRule="auto"/>
              <w:ind w:left="93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6"/>
                <w:kern w:val="0"/>
                <w:sz w:val="21"/>
                <w:szCs w:val="21"/>
                <w:lang w:val="en-US" w:eastAsia="en-US" w:bidi="ar-SA"/>
              </w:rPr>
              <w:t>较敏感</w:t>
            </w:r>
          </w:p>
        </w:tc>
        <w:tc>
          <w:tcPr>
            <w:tcW w:w="751" w:type="dxa"/>
            <w:vAlign w:val="top"/>
          </w:tcPr>
          <w:p w14:paraId="3258D77B">
            <w:pPr>
              <w:keepNext w:val="0"/>
              <w:keepLines w:val="0"/>
              <w:pageBreakBefore w:val="0"/>
              <w:widowControl/>
              <w:kinsoku w:val="0"/>
              <w:wordWrap/>
              <w:overflowPunct/>
              <w:topLinePunct w:val="0"/>
              <w:autoSpaceDE w:val="0"/>
              <w:autoSpaceDN w:val="0"/>
              <w:bidi w:val="0"/>
              <w:adjustRightInd w:val="0"/>
              <w:snapToGrid w:val="0"/>
              <w:spacing w:before="68" w:line="230" w:lineRule="auto"/>
              <w:ind w:left="159"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52" w:type="dxa"/>
            <w:vAlign w:val="top"/>
          </w:tcPr>
          <w:p w14:paraId="4124D6B9">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0"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66" w:type="dxa"/>
            <w:vAlign w:val="top"/>
          </w:tcPr>
          <w:p w14:paraId="7B299F93">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7"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34" w:type="dxa"/>
            <w:vAlign w:val="top"/>
          </w:tcPr>
          <w:p w14:paraId="6BF06FF8">
            <w:pPr>
              <w:keepNext w:val="0"/>
              <w:keepLines w:val="0"/>
              <w:pageBreakBefore w:val="0"/>
              <w:widowControl/>
              <w:kinsoku w:val="0"/>
              <w:wordWrap/>
              <w:overflowPunct/>
              <w:topLinePunct w:val="0"/>
              <w:autoSpaceDE w:val="0"/>
              <w:autoSpaceDN w:val="0"/>
              <w:bidi w:val="0"/>
              <w:adjustRightInd w:val="0"/>
              <w:snapToGrid w:val="0"/>
              <w:spacing w:before="68" w:line="230" w:lineRule="auto"/>
              <w:ind w:left="15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4" w:type="dxa"/>
            <w:shd w:val="clear" w:color="auto" w:fill="auto"/>
            <w:vAlign w:val="top"/>
          </w:tcPr>
          <w:p w14:paraId="5C66FD91">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7" w:type="dxa"/>
            <w:shd w:val="clear" w:color="auto" w:fill="auto"/>
            <w:vAlign w:val="top"/>
          </w:tcPr>
          <w:p w14:paraId="5CBC240A">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2" w:type="dxa"/>
            <w:vAlign w:val="top"/>
          </w:tcPr>
          <w:p w14:paraId="51BC2CEC">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2"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4" w:type="dxa"/>
            <w:vAlign w:val="top"/>
          </w:tcPr>
          <w:p w14:paraId="660BA18B">
            <w:pPr>
              <w:keepNext w:val="0"/>
              <w:keepLines w:val="0"/>
              <w:pageBreakBefore w:val="0"/>
              <w:widowControl/>
              <w:kinsoku w:val="0"/>
              <w:wordWrap/>
              <w:overflowPunct/>
              <w:topLinePunct w:val="0"/>
              <w:autoSpaceDE w:val="0"/>
              <w:autoSpaceDN w:val="0"/>
              <w:bidi w:val="0"/>
              <w:adjustRightInd w:val="0"/>
              <w:snapToGrid w:val="0"/>
              <w:spacing w:before="68" w:line="230" w:lineRule="auto"/>
              <w:ind w:left="164"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83" w:type="dxa"/>
            <w:vAlign w:val="top"/>
          </w:tcPr>
          <w:p w14:paraId="7A64A0CC">
            <w:pPr>
              <w:widowControl w:val="0"/>
              <w:bidi w:val="0"/>
              <w:spacing w:line="240" w:lineRule="auto"/>
              <w:jc w:val="center"/>
              <w:rPr>
                <w:rFonts w:hint="eastAsia" w:ascii="Times New Roman" w:hAnsi="Times New Roman" w:eastAsia="宋体" w:cs="Times New Roman"/>
                <w:color w:val="auto"/>
                <w:szCs w:val="21"/>
                <w:lang w:eastAsia="zh-CN"/>
              </w:rPr>
            </w:pPr>
            <w:r>
              <w:rPr>
                <w:rFonts w:hint="eastAsia"/>
                <w:sz w:val="21"/>
                <w:szCs w:val="21"/>
                <w:lang w:eastAsia="zh-CN"/>
              </w:rPr>
              <w:t>-</w:t>
            </w:r>
          </w:p>
        </w:tc>
      </w:tr>
      <w:tr w14:paraId="50F5DD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2562" w:type="dxa"/>
            <w:gridSpan w:val="2"/>
            <w:vAlign w:val="top"/>
          </w:tcPr>
          <w:p w14:paraId="2503506F">
            <w:pPr>
              <w:keepNext w:val="0"/>
              <w:keepLines w:val="0"/>
              <w:pageBreakBefore w:val="0"/>
              <w:widowControl/>
              <w:kinsoku w:val="0"/>
              <w:wordWrap/>
              <w:overflowPunct/>
              <w:topLinePunct w:val="0"/>
              <w:autoSpaceDE w:val="0"/>
              <w:autoSpaceDN w:val="0"/>
              <w:bidi w:val="0"/>
              <w:adjustRightInd w:val="0"/>
              <w:snapToGrid w:val="0"/>
              <w:spacing w:before="70" w:line="228" w:lineRule="auto"/>
              <w:ind w:left="937"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5"/>
                <w:kern w:val="0"/>
                <w:sz w:val="21"/>
                <w:szCs w:val="21"/>
                <w:lang w:val="en-US" w:eastAsia="en-US" w:bidi="ar-SA"/>
              </w:rPr>
              <w:t>不敏感</w:t>
            </w:r>
          </w:p>
        </w:tc>
        <w:tc>
          <w:tcPr>
            <w:tcW w:w="751" w:type="dxa"/>
            <w:vAlign w:val="top"/>
          </w:tcPr>
          <w:p w14:paraId="731FFAE4">
            <w:pPr>
              <w:keepNext w:val="0"/>
              <w:keepLines w:val="0"/>
              <w:pageBreakBefore w:val="0"/>
              <w:widowControl/>
              <w:kinsoku w:val="0"/>
              <w:wordWrap/>
              <w:overflowPunct/>
              <w:topLinePunct w:val="0"/>
              <w:autoSpaceDE w:val="0"/>
              <w:autoSpaceDN w:val="0"/>
              <w:bidi w:val="0"/>
              <w:adjustRightInd w:val="0"/>
              <w:snapToGrid w:val="0"/>
              <w:spacing w:before="70" w:line="230" w:lineRule="auto"/>
              <w:ind w:left="159"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一级</w:t>
            </w:r>
          </w:p>
        </w:tc>
        <w:tc>
          <w:tcPr>
            <w:tcW w:w="752" w:type="dxa"/>
            <w:vAlign w:val="top"/>
          </w:tcPr>
          <w:p w14:paraId="5873D918">
            <w:pPr>
              <w:keepNext w:val="0"/>
              <w:keepLines w:val="0"/>
              <w:pageBreakBefore w:val="0"/>
              <w:widowControl/>
              <w:kinsoku w:val="0"/>
              <w:wordWrap/>
              <w:overflowPunct/>
              <w:topLinePunct w:val="0"/>
              <w:autoSpaceDE w:val="0"/>
              <w:autoSpaceDN w:val="0"/>
              <w:bidi w:val="0"/>
              <w:adjustRightInd w:val="0"/>
              <w:snapToGrid w:val="0"/>
              <w:spacing w:before="70" w:line="230" w:lineRule="auto"/>
              <w:ind w:left="160"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66" w:type="dxa"/>
            <w:vAlign w:val="top"/>
          </w:tcPr>
          <w:p w14:paraId="410EF29A">
            <w:pPr>
              <w:keepNext w:val="0"/>
              <w:keepLines w:val="0"/>
              <w:pageBreakBefore w:val="0"/>
              <w:widowControl/>
              <w:kinsoku w:val="0"/>
              <w:wordWrap/>
              <w:overflowPunct/>
              <w:topLinePunct w:val="0"/>
              <w:autoSpaceDE w:val="0"/>
              <w:autoSpaceDN w:val="0"/>
              <w:bidi w:val="0"/>
              <w:adjustRightInd w:val="0"/>
              <w:snapToGrid w:val="0"/>
              <w:spacing w:before="70" w:line="230" w:lineRule="auto"/>
              <w:ind w:left="167"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34" w:type="dxa"/>
            <w:vAlign w:val="top"/>
          </w:tcPr>
          <w:p w14:paraId="40F9DDF5">
            <w:pPr>
              <w:keepNext w:val="0"/>
              <w:keepLines w:val="0"/>
              <w:pageBreakBefore w:val="0"/>
              <w:widowControl/>
              <w:kinsoku w:val="0"/>
              <w:wordWrap/>
              <w:overflowPunct/>
              <w:topLinePunct w:val="0"/>
              <w:autoSpaceDE w:val="0"/>
              <w:autoSpaceDN w:val="0"/>
              <w:bidi w:val="0"/>
              <w:adjustRightInd w:val="0"/>
              <w:snapToGrid w:val="0"/>
              <w:spacing w:before="70" w:line="230" w:lineRule="auto"/>
              <w:ind w:left="15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3"/>
                <w:kern w:val="0"/>
                <w:sz w:val="21"/>
                <w:szCs w:val="21"/>
                <w:lang w:val="en-US" w:eastAsia="en-US" w:bidi="ar-SA"/>
              </w:rPr>
              <w:t>二级</w:t>
            </w:r>
          </w:p>
        </w:tc>
        <w:tc>
          <w:tcPr>
            <w:tcW w:w="754" w:type="dxa"/>
            <w:shd w:val="clear" w:color="auto" w:fill="D7D7D7" w:themeFill="background1" w:themeFillShade="D8"/>
            <w:vAlign w:val="top"/>
          </w:tcPr>
          <w:p w14:paraId="09A17330">
            <w:pPr>
              <w:keepNext w:val="0"/>
              <w:keepLines w:val="0"/>
              <w:pageBreakBefore w:val="0"/>
              <w:widowControl/>
              <w:kinsoku w:val="0"/>
              <w:wordWrap/>
              <w:overflowPunct/>
              <w:topLinePunct w:val="0"/>
              <w:autoSpaceDE w:val="0"/>
              <w:autoSpaceDN w:val="0"/>
              <w:bidi w:val="0"/>
              <w:adjustRightInd w:val="0"/>
              <w:snapToGrid w:val="0"/>
              <w:spacing w:before="70" w:line="230" w:lineRule="auto"/>
              <w:ind w:left="162"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7" w:type="dxa"/>
            <w:vAlign w:val="top"/>
          </w:tcPr>
          <w:p w14:paraId="16B13D88">
            <w:pPr>
              <w:keepNext w:val="0"/>
              <w:keepLines w:val="0"/>
              <w:pageBreakBefore w:val="0"/>
              <w:widowControl/>
              <w:kinsoku w:val="0"/>
              <w:wordWrap/>
              <w:overflowPunct/>
              <w:topLinePunct w:val="0"/>
              <w:autoSpaceDE w:val="0"/>
              <w:autoSpaceDN w:val="0"/>
              <w:bidi w:val="0"/>
              <w:adjustRightInd w:val="0"/>
              <w:snapToGrid w:val="0"/>
              <w:spacing w:before="70" w:line="230" w:lineRule="auto"/>
              <w:ind w:left="165"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2" w:type="dxa"/>
            <w:vAlign w:val="top"/>
          </w:tcPr>
          <w:p w14:paraId="041F1490">
            <w:pPr>
              <w:keepNext w:val="0"/>
              <w:keepLines w:val="0"/>
              <w:pageBreakBefore w:val="0"/>
              <w:widowControl/>
              <w:kinsoku w:val="0"/>
              <w:wordWrap/>
              <w:overflowPunct/>
              <w:topLinePunct w:val="0"/>
              <w:autoSpaceDE w:val="0"/>
              <w:autoSpaceDN w:val="0"/>
              <w:bidi w:val="0"/>
              <w:adjustRightInd w:val="0"/>
              <w:snapToGrid w:val="0"/>
              <w:spacing w:before="70" w:line="230" w:lineRule="auto"/>
              <w:ind w:left="162"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4"/>
                <w:kern w:val="0"/>
                <w:sz w:val="21"/>
                <w:szCs w:val="21"/>
                <w:lang w:val="en-US" w:eastAsia="en-US" w:bidi="ar-SA"/>
              </w:rPr>
              <w:t>三级</w:t>
            </w:r>
          </w:p>
        </w:tc>
        <w:tc>
          <w:tcPr>
            <w:tcW w:w="754" w:type="dxa"/>
            <w:vAlign w:val="top"/>
          </w:tcPr>
          <w:p w14:paraId="1B30C1DE">
            <w:pPr>
              <w:widowControl w:val="0"/>
              <w:bidi w:val="0"/>
              <w:spacing w:line="240" w:lineRule="auto"/>
              <w:jc w:val="center"/>
              <w:rPr>
                <w:rFonts w:hint="eastAsia" w:ascii="Times New Roman" w:hAnsi="Times New Roman" w:eastAsia="宋体" w:cs="宋体"/>
                <w:sz w:val="21"/>
                <w:szCs w:val="21"/>
                <w:lang w:eastAsia="zh-CN"/>
              </w:rPr>
            </w:pPr>
            <w:r>
              <w:rPr>
                <w:rFonts w:hint="eastAsia" w:ascii="Times New Roman" w:hAnsi="Times New Roman" w:eastAsia="宋体" w:cs="宋体"/>
                <w:sz w:val="21"/>
                <w:szCs w:val="21"/>
                <w:lang w:eastAsia="zh-CN"/>
              </w:rPr>
              <w:t>-</w:t>
            </w:r>
          </w:p>
        </w:tc>
        <w:tc>
          <w:tcPr>
            <w:tcW w:w="783" w:type="dxa"/>
            <w:vAlign w:val="top"/>
          </w:tcPr>
          <w:p w14:paraId="3F474C36">
            <w:pPr>
              <w:widowControl w:val="0"/>
              <w:bidi w:val="0"/>
              <w:spacing w:line="240" w:lineRule="auto"/>
              <w:jc w:val="center"/>
              <w:rPr>
                <w:rFonts w:hint="eastAsia" w:ascii="Times New Roman" w:hAnsi="Times New Roman" w:eastAsia="宋体" w:cs="宋体"/>
                <w:sz w:val="21"/>
                <w:szCs w:val="21"/>
                <w:lang w:eastAsia="zh-CN"/>
              </w:rPr>
            </w:pPr>
            <w:r>
              <w:rPr>
                <w:rFonts w:hint="eastAsia" w:ascii="Times New Roman" w:hAnsi="Times New Roman" w:eastAsia="宋体" w:cs="宋体"/>
                <w:sz w:val="21"/>
                <w:szCs w:val="21"/>
                <w:lang w:eastAsia="zh-CN"/>
              </w:rPr>
              <w:t>-</w:t>
            </w:r>
          </w:p>
        </w:tc>
      </w:tr>
      <w:tr w14:paraId="3FF1A0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9365" w:type="dxa"/>
            <w:gridSpan w:val="11"/>
            <w:vAlign w:val="top"/>
          </w:tcPr>
          <w:p w14:paraId="45C3F8A9">
            <w:pPr>
              <w:keepNext w:val="0"/>
              <w:keepLines w:val="0"/>
              <w:pageBreakBefore w:val="0"/>
              <w:widowControl/>
              <w:kinsoku w:val="0"/>
              <w:wordWrap/>
              <w:overflowPunct/>
              <w:topLinePunct w:val="0"/>
              <w:autoSpaceDE w:val="0"/>
              <w:autoSpaceDN w:val="0"/>
              <w:bidi w:val="0"/>
              <w:adjustRightInd w:val="0"/>
              <w:snapToGrid w:val="0"/>
              <w:spacing w:before="71" w:line="226" w:lineRule="auto"/>
              <w:ind w:left="113" w:firstLine="0" w:firstLineChars="0"/>
              <w:jc w:val="left"/>
              <w:textAlignment w:val="baseline"/>
              <w:rPr>
                <w:rFonts w:ascii="宋体" w:hAnsi="宋体" w:eastAsia="宋体" w:cs="宋体"/>
                <w:snapToGrid w:val="0"/>
                <w:color w:val="auto"/>
                <w:kern w:val="0"/>
                <w:sz w:val="21"/>
                <w:szCs w:val="21"/>
                <w:lang w:val="en-US" w:eastAsia="en-US" w:bidi="ar-SA"/>
              </w:rPr>
            </w:pPr>
            <w:r>
              <w:rPr>
                <w:rFonts w:ascii="宋体" w:hAnsi="宋体" w:eastAsia="宋体" w:cs="宋体"/>
                <w:snapToGrid w:val="0"/>
                <w:color w:val="auto"/>
                <w:spacing w:val="8"/>
                <w:kern w:val="0"/>
                <w:sz w:val="21"/>
                <w:szCs w:val="21"/>
                <w:lang w:val="en-US" w:eastAsia="en-US" w:bidi="ar-SA"/>
              </w:rPr>
              <w:t>注：</w:t>
            </w:r>
            <w:r>
              <w:rPr>
                <w:rFonts w:ascii="Times New Roman" w:hAnsi="Times New Roman" w:eastAsia="Times New Roman" w:cs="Times New Roman"/>
                <w:snapToGrid w:val="0"/>
                <w:color w:val="auto"/>
                <w:spacing w:val="8"/>
                <w:kern w:val="0"/>
                <w:sz w:val="21"/>
                <w:szCs w:val="21"/>
                <w:lang w:val="en-US" w:eastAsia="en-US" w:bidi="ar-SA"/>
              </w:rPr>
              <w:t>“</w:t>
            </w:r>
            <w:r>
              <w:rPr>
                <w:rFonts w:hint="eastAsia" w:eastAsia="宋体" w:cs="Times New Roman"/>
                <w:snapToGrid w:val="0"/>
                <w:color w:val="auto"/>
                <w:spacing w:val="8"/>
                <w:kern w:val="0"/>
                <w:sz w:val="21"/>
                <w:szCs w:val="21"/>
                <w:lang w:val="en-US" w:eastAsia="zh-CN" w:bidi="ar-SA"/>
              </w:rPr>
              <w:t>－</w:t>
            </w:r>
            <w:r>
              <w:rPr>
                <w:rFonts w:ascii="Times New Roman" w:hAnsi="Times New Roman" w:eastAsia="Times New Roman" w:cs="Times New Roman"/>
                <w:snapToGrid w:val="0"/>
                <w:color w:val="auto"/>
                <w:spacing w:val="8"/>
                <w:kern w:val="0"/>
                <w:sz w:val="21"/>
                <w:szCs w:val="21"/>
                <w:lang w:val="en-US" w:eastAsia="en-US" w:bidi="ar-SA"/>
              </w:rPr>
              <w:t>”</w:t>
            </w:r>
            <w:r>
              <w:rPr>
                <w:rFonts w:ascii="宋体" w:hAnsi="宋体" w:eastAsia="宋体" w:cs="宋体"/>
                <w:snapToGrid w:val="0"/>
                <w:color w:val="auto"/>
                <w:spacing w:val="8"/>
                <w:kern w:val="0"/>
                <w:sz w:val="21"/>
                <w:szCs w:val="21"/>
                <w:lang w:val="en-US" w:eastAsia="en-US" w:bidi="ar-SA"/>
              </w:rPr>
              <w:t>表示可不开展土壤环境影响评价工作</w:t>
            </w:r>
          </w:p>
        </w:tc>
      </w:tr>
    </w:tbl>
    <w:p w14:paraId="5189B279">
      <w:pPr>
        <w:bidi w:val="0"/>
        <w:jc w:val="center"/>
        <w:rPr>
          <w:b/>
          <w:bCs/>
        </w:rPr>
      </w:pPr>
      <w:r>
        <w:rPr>
          <w:b/>
          <w:bCs/>
        </w:rPr>
        <w:t>表2.4.1</w:t>
      </w:r>
      <w:r>
        <w:rPr>
          <w:rFonts w:hint="eastAsia"/>
          <w:b/>
          <w:bCs/>
          <w:lang w:val="en-US" w:eastAsia="zh-CN"/>
        </w:rPr>
        <w:t xml:space="preserve">-12 </w:t>
      </w:r>
      <w:r>
        <w:rPr>
          <w:b/>
          <w:bCs/>
        </w:rPr>
        <w:t>项目土壤评价等级判定表</w:t>
      </w:r>
    </w:p>
    <w:tbl>
      <w:tblPr>
        <w:tblStyle w:val="25"/>
        <w:tblW w:w="5000" w:type="pct"/>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334"/>
        <w:gridCol w:w="2709"/>
        <w:gridCol w:w="3322"/>
      </w:tblGrid>
      <w:tr w14:paraId="740CF1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885" w:type="dxa"/>
            <w:gridSpan w:val="2"/>
            <w:vAlign w:val="center"/>
          </w:tcPr>
          <w:p w14:paraId="2592C956">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判据</w:t>
            </w:r>
          </w:p>
        </w:tc>
        <w:tc>
          <w:tcPr>
            <w:tcW w:w="3235" w:type="dxa"/>
            <w:vAlign w:val="center"/>
          </w:tcPr>
          <w:p w14:paraId="11B2FA79">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b/>
                <w:bCs/>
                <w:snapToGrid w:val="0"/>
                <w:color w:val="auto"/>
                <w:spacing w:val="6"/>
                <w:kern w:val="0"/>
                <w:sz w:val="21"/>
                <w:szCs w:val="21"/>
                <w:lang w:val="en-US" w:eastAsia="en-US" w:bidi="ar-SA"/>
              </w:rPr>
            </w:pPr>
            <w:r>
              <w:rPr>
                <w:rFonts w:ascii="Times New Roman" w:hAnsi="Times New Roman" w:eastAsia="宋体" w:cs="Times New Roman"/>
                <w:b/>
                <w:bCs/>
                <w:snapToGrid w:val="0"/>
                <w:color w:val="auto"/>
                <w:spacing w:val="6"/>
                <w:kern w:val="0"/>
                <w:sz w:val="21"/>
                <w:szCs w:val="21"/>
                <w:lang w:val="en-US" w:eastAsia="en-US" w:bidi="ar-SA"/>
              </w:rPr>
              <w:t>评价等级</w:t>
            </w:r>
          </w:p>
        </w:tc>
      </w:tr>
      <w:tr w14:paraId="4EBDC5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247" w:type="dxa"/>
            <w:vAlign w:val="center"/>
          </w:tcPr>
          <w:p w14:paraId="64E7601E">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行业类别</w:t>
            </w:r>
          </w:p>
        </w:tc>
        <w:tc>
          <w:tcPr>
            <w:tcW w:w="2638" w:type="dxa"/>
            <w:vAlign w:val="center"/>
          </w:tcPr>
          <w:p w14:paraId="3B0ACF98">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Ⅱ类项目</w:t>
            </w:r>
          </w:p>
        </w:tc>
        <w:tc>
          <w:tcPr>
            <w:tcW w:w="3235" w:type="dxa"/>
            <w:vMerge w:val="restart"/>
            <w:tcBorders>
              <w:bottom w:val="nil"/>
            </w:tcBorders>
            <w:vAlign w:val="center"/>
          </w:tcPr>
          <w:p w14:paraId="34129A41">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三级</w:t>
            </w:r>
          </w:p>
        </w:tc>
      </w:tr>
      <w:tr w14:paraId="4DE351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247" w:type="dxa"/>
            <w:vAlign w:val="center"/>
          </w:tcPr>
          <w:p w14:paraId="60905DAC">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占地面积</w:t>
            </w:r>
          </w:p>
        </w:tc>
        <w:tc>
          <w:tcPr>
            <w:tcW w:w="2638" w:type="dxa"/>
            <w:vAlign w:val="center"/>
          </w:tcPr>
          <w:p w14:paraId="11080A8C">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中型</w:t>
            </w:r>
          </w:p>
        </w:tc>
        <w:tc>
          <w:tcPr>
            <w:tcW w:w="3235" w:type="dxa"/>
            <w:vMerge w:val="continue"/>
            <w:tcBorders>
              <w:top w:val="nil"/>
              <w:bottom w:val="nil"/>
            </w:tcBorders>
            <w:vAlign w:val="center"/>
          </w:tcPr>
          <w:p w14:paraId="29F130C2">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p>
        </w:tc>
      </w:tr>
      <w:tr w14:paraId="7C652C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3247" w:type="dxa"/>
            <w:vAlign w:val="center"/>
          </w:tcPr>
          <w:p w14:paraId="51333787">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环境敏感程度</w:t>
            </w:r>
          </w:p>
        </w:tc>
        <w:tc>
          <w:tcPr>
            <w:tcW w:w="2638" w:type="dxa"/>
            <w:vAlign w:val="center"/>
          </w:tcPr>
          <w:p w14:paraId="645B2BE2">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r>
              <w:rPr>
                <w:rFonts w:ascii="Times New Roman" w:hAnsi="Times New Roman" w:eastAsia="宋体" w:cs="Times New Roman"/>
                <w:snapToGrid w:val="0"/>
                <w:color w:val="auto"/>
                <w:spacing w:val="6"/>
                <w:kern w:val="0"/>
                <w:sz w:val="21"/>
                <w:szCs w:val="21"/>
                <w:lang w:val="en-US" w:eastAsia="en-US" w:bidi="ar-SA"/>
              </w:rPr>
              <w:t>不敏感</w:t>
            </w:r>
          </w:p>
        </w:tc>
        <w:tc>
          <w:tcPr>
            <w:tcW w:w="3235" w:type="dxa"/>
            <w:vMerge w:val="continue"/>
            <w:tcBorders>
              <w:top w:val="nil"/>
            </w:tcBorders>
            <w:vAlign w:val="center"/>
          </w:tcPr>
          <w:p w14:paraId="0E1D5411">
            <w:pPr>
              <w:widowControl w:val="0"/>
              <w:kinsoku w:val="0"/>
              <w:autoSpaceDE w:val="0"/>
              <w:autoSpaceDN w:val="0"/>
              <w:bidi w:val="0"/>
              <w:adjustRightInd w:val="0"/>
              <w:snapToGrid w:val="0"/>
              <w:spacing w:line="240" w:lineRule="auto"/>
              <w:ind w:left="0"/>
              <w:jc w:val="center"/>
              <w:textAlignment w:val="baseline"/>
              <w:rPr>
                <w:rFonts w:ascii="Times New Roman" w:hAnsi="Times New Roman" w:eastAsia="宋体" w:cs="Times New Roman"/>
                <w:snapToGrid w:val="0"/>
                <w:color w:val="auto"/>
                <w:spacing w:val="6"/>
                <w:kern w:val="0"/>
                <w:sz w:val="21"/>
                <w:szCs w:val="21"/>
                <w:lang w:val="en-US" w:eastAsia="en-US" w:bidi="ar-SA"/>
              </w:rPr>
            </w:pPr>
          </w:p>
        </w:tc>
      </w:tr>
    </w:tbl>
    <w:p w14:paraId="15FD847C">
      <w:pPr>
        <w:bidi w:val="0"/>
        <w:ind w:firstLine="480" w:firstLineChars="200"/>
        <w:rPr>
          <w:color w:val="auto"/>
        </w:rPr>
      </w:pPr>
      <w:r>
        <w:rPr>
          <w:color w:val="auto"/>
        </w:rPr>
        <w:t>根据上表，可确定本项目土壤环境影响评价等级为三级。</w:t>
      </w:r>
    </w:p>
    <w:p w14:paraId="1BAD3F58">
      <w:pPr>
        <w:bidi w:val="0"/>
        <w:ind w:firstLine="480" w:firstLineChars="200"/>
        <w:rPr>
          <w:color w:val="auto"/>
        </w:rPr>
      </w:pPr>
      <w:r>
        <w:rPr>
          <w:rFonts w:hint="eastAsia"/>
          <w:color w:val="auto"/>
          <w:lang w:eastAsia="zh-CN"/>
        </w:rPr>
        <w:t>（</w:t>
      </w:r>
      <w:r>
        <w:rPr>
          <w:rFonts w:hint="eastAsia"/>
          <w:color w:val="auto"/>
          <w:lang w:val="en-US" w:eastAsia="zh-CN"/>
        </w:rPr>
        <w:t>6</w:t>
      </w:r>
      <w:r>
        <w:rPr>
          <w:rFonts w:hint="eastAsia"/>
          <w:color w:val="auto"/>
          <w:lang w:eastAsia="zh-CN"/>
        </w:rPr>
        <w:t>）</w:t>
      </w:r>
      <w:r>
        <w:rPr>
          <w:color w:val="auto"/>
        </w:rPr>
        <w:t>生态环境影响评价工作等级</w:t>
      </w:r>
    </w:p>
    <w:p w14:paraId="3C1900C4">
      <w:pPr>
        <w:bidi w:val="0"/>
        <w:ind w:firstLine="480" w:firstLineChars="200"/>
        <w:rPr>
          <w:color w:val="auto"/>
        </w:rPr>
      </w:pPr>
      <w:r>
        <w:rPr>
          <w:color w:val="auto"/>
        </w:rPr>
        <w:t>本项目位于已批准规划环评的合肥循环经济示范园且符合规划环评要求，项目为技改项目，且不涉及生态敏感区的污染影响类建设项目，不新增用地，对照《环境影响评价技术导则生态影响》（HJ19-2022），本项目可不确定评价等级，直接进行生态影响简单分析。</w:t>
      </w:r>
    </w:p>
    <w:p w14:paraId="485FC022">
      <w:pPr>
        <w:bidi w:val="0"/>
        <w:ind w:firstLine="480" w:firstLineChars="200"/>
        <w:rPr>
          <w:color w:val="auto"/>
        </w:rPr>
      </w:pPr>
      <w:r>
        <w:rPr>
          <w:rFonts w:hint="eastAsia"/>
          <w:color w:val="auto"/>
          <w:lang w:eastAsia="zh-CN"/>
        </w:rPr>
        <w:t>（</w:t>
      </w:r>
      <w:r>
        <w:rPr>
          <w:rFonts w:hint="eastAsia"/>
          <w:color w:val="auto"/>
          <w:lang w:val="en-US" w:eastAsia="zh-CN"/>
        </w:rPr>
        <w:t>7</w:t>
      </w:r>
      <w:r>
        <w:rPr>
          <w:rFonts w:hint="eastAsia"/>
          <w:color w:val="auto"/>
          <w:lang w:eastAsia="zh-CN"/>
        </w:rPr>
        <w:t>）</w:t>
      </w:r>
      <w:r>
        <w:rPr>
          <w:color w:val="auto"/>
        </w:rPr>
        <w:t>环境风险</w:t>
      </w:r>
    </w:p>
    <w:p w14:paraId="7B5DBF3E">
      <w:pPr>
        <w:bidi w:val="0"/>
        <w:ind w:firstLine="480" w:firstLineChars="200"/>
        <w:rPr>
          <w:color w:val="auto"/>
        </w:rPr>
      </w:pPr>
      <w:r>
        <w:rPr>
          <w:rFonts w:hint="eastAsia"/>
          <w:color w:val="auto"/>
          <w:lang w:val="en-US" w:eastAsia="zh-CN"/>
        </w:rPr>
        <w:t>1、</w:t>
      </w:r>
      <w:r>
        <w:rPr>
          <w:color w:val="auto"/>
        </w:rPr>
        <w:t>环境风险潜势初判</w:t>
      </w:r>
    </w:p>
    <w:p w14:paraId="5C6AEFE3">
      <w:pPr>
        <w:bidi w:val="0"/>
        <w:ind w:firstLine="480" w:firstLineChars="200"/>
        <w:rPr>
          <w:rFonts w:hint="default" w:eastAsia="宋体"/>
          <w:color w:val="auto"/>
          <w:lang w:val="en-US" w:eastAsia="zh-CN"/>
        </w:rPr>
      </w:pPr>
      <w:r>
        <w:rPr>
          <w:rFonts w:hint="eastAsia"/>
          <w:color w:val="auto"/>
          <w:lang w:val="en-US" w:eastAsia="zh-CN"/>
        </w:rPr>
        <w:t>本次技改项目主要位于电池片1车间，同时依托现有工程1车间辅料仓（银浆、银包铜浆料）、特气房（三甲基铝）等储运单元以及污水处理站和危废暂存间等环保单元。</w:t>
      </w:r>
      <w:r>
        <w:rPr>
          <w:color w:val="auto"/>
        </w:rPr>
        <w:t>根据《建设项目环境风险评价技术导则HJ169-2018》附表B和附录C突发环境事件风险物质及临界量表，</w:t>
      </w:r>
      <w:r>
        <w:rPr>
          <w:rFonts w:hint="eastAsia"/>
          <w:color w:val="auto"/>
          <w:lang w:val="en-US" w:eastAsia="zh-CN"/>
        </w:rPr>
        <w:t>本次技改项目涉及的</w:t>
      </w:r>
      <w:r>
        <w:rPr>
          <w:color w:val="auto"/>
        </w:rPr>
        <w:t>环境风险物质</w:t>
      </w:r>
      <w:r>
        <w:rPr>
          <w:rFonts w:hint="eastAsia"/>
          <w:color w:val="auto"/>
          <w:lang w:val="en-US" w:eastAsia="zh-CN"/>
        </w:rPr>
        <w:t>主要为银浆、银包铜浆料、</w:t>
      </w:r>
      <w:r>
        <w:rPr>
          <w:color w:val="auto"/>
        </w:rPr>
        <w:t>三甲基铝</w:t>
      </w:r>
      <w:r>
        <w:rPr>
          <w:rFonts w:hint="eastAsia"/>
          <w:color w:val="auto"/>
          <w:lang w:val="en-US" w:eastAsia="zh-CN"/>
        </w:rPr>
        <w:t>和危险废物等。本次评价对技改完成后全厂的</w:t>
      </w:r>
      <w:r>
        <w:rPr>
          <w:rFonts w:hint="eastAsia"/>
          <w:color w:val="auto"/>
          <w:lang w:eastAsia="zh-CN"/>
        </w:rPr>
        <w:t>涉及</w:t>
      </w:r>
      <w:r>
        <w:rPr>
          <w:color w:val="auto"/>
        </w:rPr>
        <w:t>的环境风险物质</w:t>
      </w:r>
      <w:r>
        <w:rPr>
          <w:rFonts w:hint="eastAsia"/>
          <w:color w:val="auto"/>
          <w:lang w:eastAsia="zh-CN"/>
        </w:rPr>
        <w:t>（</w:t>
      </w:r>
      <w:r>
        <w:rPr>
          <w:rFonts w:hint="eastAsia"/>
          <w:color w:val="auto"/>
          <w:lang w:val="en-US" w:eastAsia="zh-CN"/>
        </w:rPr>
        <w:t>还包含</w:t>
      </w:r>
      <w:r>
        <w:rPr>
          <w:color w:val="auto"/>
        </w:rPr>
        <w:t>液氨、三氯化硼、三氯氧磷、硅烷、盐酸、氢氟酸、无水乙醇和</w:t>
      </w:r>
      <w:r>
        <w:rPr>
          <w:rFonts w:hint="eastAsia"/>
          <w:color w:val="auto"/>
          <w:lang w:val="en-US" w:eastAsia="zh-CN"/>
        </w:rPr>
        <w:t>危险废物等</w:t>
      </w:r>
      <w:r>
        <w:rPr>
          <w:rFonts w:hint="eastAsia"/>
          <w:color w:val="auto"/>
          <w:lang w:eastAsia="zh-CN"/>
        </w:rPr>
        <w:t>）</w:t>
      </w:r>
      <w:r>
        <w:rPr>
          <w:rFonts w:hint="eastAsia"/>
          <w:color w:val="auto"/>
          <w:lang w:val="en-US" w:eastAsia="zh-CN"/>
        </w:rPr>
        <w:t>进行核算。</w:t>
      </w:r>
    </w:p>
    <w:p w14:paraId="4E563A5E">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①危险物质数量与临界量比值（Q）</w:t>
      </w:r>
    </w:p>
    <w:p w14:paraId="2C395259">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参考《建设项目环境风险评价技术导则》（HJ169-2018）附录B和附录C，计算所涉及的每种危险物质在厂界内的最大存在总量与其对应临界量的比值Q。</w:t>
      </w:r>
    </w:p>
    <w:p w14:paraId="56840C14">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在不同厂区的同一种物质，按其在厂界内的最大存在总量计算。</w:t>
      </w:r>
    </w:p>
    <w:p w14:paraId="21CC1D85">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当只涉及一种危险物质时，计算该物质的总量与其临界量比值，即为Q；</w:t>
      </w:r>
    </w:p>
    <w:p w14:paraId="0B5BB618">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当存在多种危险物质时，则按式5.1计算物质总量与其临界量比值（Q）：</w:t>
      </w:r>
    </w:p>
    <w:p w14:paraId="444E3CCD">
      <w:pPr>
        <w:keepNext w:val="0"/>
        <w:keepLines w:val="0"/>
        <w:pageBreakBefore w:val="0"/>
        <w:widowControl/>
        <w:kinsoku/>
        <w:wordWrap/>
        <w:overflowPunct/>
        <w:topLinePunct w:val="0"/>
        <w:autoSpaceDE/>
        <w:autoSpaceDN/>
        <w:bidi w:val="0"/>
        <w:adjustRightInd/>
        <w:snapToGrid/>
        <w:ind w:firstLine="480" w:firstLineChars="200"/>
        <w:jc w:val="center"/>
        <w:textAlignment w:val="auto"/>
        <w:rPr>
          <w:color w:val="auto"/>
        </w:rPr>
      </w:pPr>
      <w:r>
        <w:rPr>
          <w:color w:val="auto"/>
        </w:rPr>
        <w:t>Q=q1/Q1+q2/Q2+…+q2/Q1</w:t>
      </w:r>
      <w:r>
        <w:rPr>
          <w:rFonts w:hint="eastAsia"/>
          <w:color w:val="auto"/>
          <w:lang w:val="en-US" w:eastAsia="zh-CN"/>
        </w:rPr>
        <w:t xml:space="preserve">             </w:t>
      </w:r>
      <w:r>
        <w:rPr>
          <w:color w:val="auto"/>
        </w:rPr>
        <w:t>（式5.1）</w:t>
      </w:r>
    </w:p>
    <w:p w14:paraId="0E908F40">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式中：q1，q2</w:t>
      </w:r>
      <w:r>
        <w:rPr>
          <w:rFonts w:hint="eastAsia"/>
          <w:color w:val="auto"/>
          <w:lang w:eastAsia="zh-CN"/>
        </w:rPr>
        <w:t>，</w:t>
      </w:r>
      <w:r>
        <w:rPr>
          <w:color w:val="auto"/>
        </w:rPr>
        <w:t>qn——每种危险物质的最大存在总量，t；</w:t>
      </w:r>
    </w:p>
    <w:p w14:paraId="59E73726">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Q1,Q2,...,Qn——每种危险物质的临界量，t。</w:t>
      </w:r>
    </w:p>
    <w:p w14:paraId="102873CF">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当Q＜1时，该项目环境风险潜势为Ⅰ。</w:t>
      </w:r>
    </w:p>
    <w:p w14:paraId="6608C7B2">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sectPr>
          <w:pgSz w:w="11906" w:h="16838"/>
          <w:pgMar w:top="1417" w:right="1134" w:bottom="1134" w:left="1417" w:header="851" w:footer="992" w:gutter="0"/>
          <w:pgNumType w:fmt="decimal"/>
          <w:cols w:space="0" w:num="1"/>
          <w:rtlGutter w:val="0"/>
          <w:docGrid w:type="lines" w:linePitch="312" w:charSpace="0"/>
        </w:sectPr>
      </w:pPr>
      <w:r>
        <w:rPr>
          <w:color w:val="auto"/>
        </w:rPr>
        <w:t>当Q≥1时，将Q值划分为：（1）1≤Q＜10；（2）10≤Q＜100；（3）Q≥100。</w:t>
      </w:r>
    </w:p>
    <w:p w14:paraId="73D5629E">
      <w:pPr>
        <w:bidi w:val="0"/>
        <w:jc w:val="center"/>
        <w:rPr>
          <w:b/>
          <w:bCs/>
        </w:rPr>
      </w:pPr>
      <w:r>
        <w:rPr>
          <w:b/>
          <w:bCs/>
        </w:rPr>
        <w:t>表2.4-1</w:t>
      </w:r>
      <w:r>
        <w:rPr>
          <w:rFonts w:hint="eastAsia"/>
          <w:b/>
          <w:bCs/>
          <w:lang w:val="en-US" w:eastAsia="zh-CN"/>
        </w:rPr>
        <w:t>3 本次技改完成后</w:t>
      </w:r>
      <w:r>
        <w:rPr>
          <w:b/>
          <w:bCs/>
        </w:rPr>
        <w:t>全厂危险物质数量与临界量比值（q/Q）</w:t>
      </w:r>
    </w:p>
    <w:tbl>
      <w:tblPr>
        <w:tblStyle w:val="25"/>
        <w:tblW w:w="5004"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4"/>
        <w:gridCol w:w="814"/>
        <w:gridCol w:w="1374"/>
        <w:gridCol w:w="1488"/>
        <w:gridCol w:w="1114"/>
        <w:gridCol w:w="1575"/>
        <w:gridCol w:w="1076"/>
        <w:gridCol w:w="1632"/>
        <w:gridCol w:w="1318"/>
        <w:gridCol w:w="1473"/>
        <w:gridCol w:w="1622"/>
      </w:tblGrid>
      <w:tr w14:paraId="4D59FC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restart"/>
            <w:vAlign w:val="center"/>
          </w:tcPr>
          <w:p w14:paraId="18DA5429">
            <w:pPr>
              <w:pStyle w:val="30"/>
              <w:widowControl w:val="0"/>
              <w:bidi w:val="0"/>
              <w:rPr>
                <w:rFonts w:hint="default" w:eastAsia="宋体"/>
                <w:b/>
                <w:bCs/>
                <w:color w:val="auto"/>
                <w:lang w:val="en-US" w:eastAsia="zh-CN"/>
              </w:rPr>
            </w:pPr>
            <w:r>
              <w:rPr>
                <w:rFonts w:hint="eastAsia"/>
                <w:b/>
                <w:bCs/>
                <w:color w:val="auto"/>
                <w:lang w:val="en-US" w:eastAsia="zh-CN"/>
              </w:rPr>
              <w:t>危险单元</w:t>
            </w:r>
          </w:p>
        </w:tc>
        <w:tc>
          <w:tcPr>
            <w:tcW w:w="814" w:type="dxa"/>
            <w:vMerge w:val="restart"/>
            <w:shd w:val="clear" w:color="auto" w:fill="auto"/>
            <w:vAlign w:val="center"/>
          </w:tcPr>
          <w:p w14:paraId="62543065">
            <w:pPr>
              <w:pStyle w:val="30"/>
              <w:widowControl w:val="0"/>
              <w:bidi w:val="0"/>
              <w:ind w:firstLine="0" w:firstLineChars="0"/>
              <w:rPr>
                <w:rFonts w:hint="default" w:ascii="Times New Roman" w:hAnsi="Times New Roman" w:eastAsia="宋体" w:cs="宋体"/>
                <w:b/>
                <w:bCs/>
                <w:color w:val="auto"/>
                <w:kern w:val="0"/>
                <w:sz w:val="21"/>
                <w:szCs w:val="21"/>
                <w:lang w:val="en-US" w:eastAsia="zh-CN" w:bidi="ar-SA"/>
              </w:rPr>
            </w:pPr>
            <w:r>
              <w:rPr>
                <w:rFonts w:hint="eastAsia" w:cs="宋体"/>
                <w:b/>
                <w:bCs/>
                <w:color w:val="auto"/>
                <w:kern w:val="0"/>
                <w:sz w:val="21"/>
                <w:szCs w:val="21"/>
                <w:lang w:val="en-US" w:eastAsia="zh-CN" w:bidi="ar-SA"/>
              </w:rPr>
              <w:t>生产装置</w:t>
            </w:r>
          </w:p>
        </w:tc>
        <w:tc>
          <w:tcPr>
            <w:tcW w:w="1374" w:type="dxa"/>
            <w:vMerge w:val="restart"/>
            <w:shd w:val="clear" w:color="auto" w:fill="auto"/>
            <w:vAlign w:val="center"/>
          </w:tcPr>
          <w:p w14:paraId="4D83AB81">
            <w:pPr>
              <w:pStyle w:val="30"/>
              <w:widowControl w:val="0"/>
              <w:bidi w:val="0"/>
              <w:ind w:firstLine="0" w:firstLineChars="0"/>
              <w:rPr>
                <w:rFonts w:hint="eastAsia" w:ascii="Times New Roman" w:hAnsi="Times New Roman" w:eastAsia="宋体" w:cs="宋体"/>
                <w:b/>
                <w:bCs/>
                <w:color w:val="auto"/>
                <w:kern w:val="0"/>
                <w:sz w:val="21"/>
                <w:szCs w:val="21"/>
                <w:lang w:val="en-US" w:eastAsia="zh-CN" w:bidi="ar-SA"/>
              </w:rPr>
            </w:pPr>
            <w:r>
              <w:rPr>
                <w:b/>
                <w:bCs/>
                <w:color w:val="auto"/>
                <w:lang w:val="en-US" w:eastAsia="en-US"/>
              </w:rPr>
              <w:t>危险物质</w:t>
            </w:r>
          </w:p>
        </w:tc>
        <w:tc>
          <w:tcPr>
            <w:tcW w:w="1488" w:type="dxa"/>
            <w:vMerge w:val="restart"/>
            <w:tcBorders>
              <w:bottom w:val="nil"/>
            </w:tcBorders>
            <w:vAlign w:val="center"/>
          </w:tcPr>
          <w:p w14:paraId="45714780">
            <w:pPr>
              <w:pStyle w:val="30"/>
              <w:widowControl w:val="0"/>
              <w:bidi w:val="0"/>
              <w:rPr>
                <w:b/>
                <w:bCs/>
                <w:color w:val="auto"/>
                <w:lang w:val="en-US" w:eastAsia="en-US"/>
              </w:rPr>
            </w:pPr>
            <w:r>
              <w:rPr>
                <w:b/>
                <w:bCs/>
                <w:color w:val="auto"/>
                <w:lang w:val="en-US" w:eastAsia="en-US"/>
              </w:rPr>
              <w:t>CAS号</w:t>
            </w:r>
          </w:p>
        </w:tc>
        <w:tc>
          <w:tcPr>
            <w:tcW w:w="1114" w:type="dxa"/>
            <w:vMerge w:val="restart"/>
            <w:tcBorders>
              <w:bottom w:val="nil"/>
            </w:tcBorders>
            <w:vAlign w:val="center"/>
          </w:tcPr>
          <w:p w14:paraId="76227496">
            <w:pPr>
              <w:pStyle w:val="30"/>
              <w:widowControl w:val="0"/>
              <w:bidi w:val="0"/>
              <w:rPr>
                <w:b/>
                <w:bCs/>
                <w:color w:val="auto"/>
                <w:lang w:val="en-US" w:eastAsia="en-US"/>
              </w:rPr>
            </w:pPr>
            <w:r>
              <w:rPr>
                <w:b/>
                <w:bCs/>
                <w:color w:val="auto"/>
                <w:lang w:val="en-US" w:eastAsia="en-US"/>
              </w:rPr>
              <w:t>临界量（t）</w:t>
            </w:r>
          </w:p>
        </w:tc>
        <w:tc>
          <w:tcPr>
            <w:tcW w:w="2651" w:type="dxa"/>
            <w:gridSpan w:val="2"/>
            <w:vAlign w:val="center"/>
          </w:tcPr>
          <w:p w14:paraId="6AADEA22">
            <w:pPr>
              <w:pStyle w:val="30"/>
              <w:widowControl w:val="0"/>
              <w:bidi w:val="0"/>
              <w:rPr>
                <w:b/>
                <w:bCs/>
                <w:color w:val="auto"/>
                <w:lang w:val="en-US" w:eastAsia="en-US"/>
              </w:rPr>
            </w:pPr>
            <w:r>
              <w:rPr>
                <w:b/>
                <w:bCs/>
                <w:color w:val="auto"/>
                <w:lang w:val="en-US" w:eastAsia="en-US"/>
              </w:rPr>
              <w:t>本</w:t>
            </w:r>
            <w:r>
              <w:rPr>
                <w:rFonts w:hint="eastAsia"/>
                <w:b/>
                <w:bCs/>
                <w:color w:val="auto"/>
                <w:lang w:val="en-US" w:eastAsia="zh-CN"/>
              </w:rPr>
              <w:t>次技改</w:t>
            </w:r>
            <w:r>
              <w:rPr>
                <w:b/>
                <w:bCs/>
                <w:color w:val="auto"/>
                <w:lang w:val="en-US" w:eastAsia="en-US"/>
              </w:rPr>
              <w:t>项目实施前</w:t>
            </w:r>
          </w:p>
        </w:tc>
        <w:tc>
          <w:tcPr>
            <w:tcW w:w="2950" w:type="dxa"/>
            <w:gridSpan w:val="2"/>
            <w:vAlign w:val="center"/>
          </w:tcPr>
          <w:p w14:paraId="1AD12D6A">
            <w:pPr>
              <w:pStyle w:val="30"/>
              <w:widowControl w:val="0"/>
              <w:bidi w:val="0"/>
              <w:rPr>
                <w:rFonts w:hint="eastAsia" w:eastAsia="宋体"/>
                <w:b/>
                <w:bCs/>
                <w:color w:val="auto"/>
                <w:lang w:val="en-US" w:eastAsia="zh-CN"/>
              </w:rPr>
            </w:pPr>
            <w:r>
              <w:rPr>
                <w:b/>
                <w:bCs/>
                <w:color w:val="auto"/>
                <w:lang w:val="en-US" w:eastAsia="en-US"/>
              </w:rPr>
              <w:t>本</w:t>
            </w:r>
            <w:r>
              <w:rPr>
                <w:rFonts w:hint="eastAsia"/>
                <w:b/>
                <w:bCs/>
                <w:color w:val="auto"/>
                <w:lang w:val="en-US" w:eastAsia="zh-CN"/>
              </w:rPr>
              <w:t>次技改</w:t>
            </w:r>
            <w:r>
              <w:rPr>
                <w:b/>
                <w:bCs/>
                <w:color w:val="auto"/>
                <w:lang w:val="en-US" w:eastAsia="en-US"/>
              </w:rPr>
              <w:t>项目</w:t>
            </w:r>
            <w:r>
              <w:rPr>
                <w:rFonts w:hint="eastAsia"/>
                <w:b/>
                <w:bCs/>
                <w:color w:val="auto"/>
                <w:lang w:val="en-US" w:eastAsia="zh-CN"/>
              </w:rPr>
              <w:t>变化情况</w:t>
            </w:r>
          </w:p>
        </w:tc>
        <w:tc>
          <w:tcPr>
            <w:tcW w:w="3095" w:type="dxa"/>
            <w:gridSpan w:val="2"/>
            <w:vAlign w:val="center"/>
          </w:tcPr>
          <w:p w14:paraId="22468D7E">
            <w:pPr>
              <w:pStyle w:val="30"/>
              <w:widowControl w:val="0"/>
              <w:bidi w:val="0"/>
              <w:rPr>
                <w:rFonts w:hint="default" w:eastAsia="宋体"/>
                <w:b/>
                <w:bCs/>
                <w:color w:val="auto"/>
                <w:lang w:val="en-US" w:eastAsia="zh-CN"/>
              </w:rPr>
            </w:pPr>
            <w:r>
              <w:rPr>
                <w:b/>
                <w:bCs/>
                <w:color w:val="auto"/>
                <w:lang w:val="en-US" w:eastAsia="en-US"/>
              </w:rPr>
              <w:t>本</w:t>
            </w:r>
            <w:r>
              <w:rPr>
                <w:rFonts w:hint="eastAsia"/>
                <w:b/>
                <w:bCs/>
                <w:color w:val="auto"/>
                <w:lang w:val="en-US" w:eastAsia="zh-CN"/>
              </w:rPr>
              <w:t>次技改</w:t>
            </w:r>
            <w:r>
              <w:rPr>
                <w:b/>
                <w:bCs/>
                <w:color w:val="auto"/>
                <w:lang w:val="en-US" w:eastAsia="en-US"/>
              </w:rPr>
              <w:t>项目</w:t>
            </w:r>
            <w:r>
              <w:rPr>
                <w:rFonts w:hint="eastAsia"/>
                <w:b/>
                <w:bCs/>
                <w:color w:val="auto"/>
                <w:lang w:val="en-US" w:eastAsia="zh-CN"/>
              </w:rPr>
              <w:t>实施后全厂Q</w:t>
            </w:r>
          </w:p>
        </w:tc>
      </w:tr>
      <w:tr w14:paraId="78935E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21499217">
            <w:pPr>
              <w:pStyle w:val="30"/>
              <w:widowControl w:val="0"/>
              <w:bidi w:val="0"/>
              <w:rPr>
                <w:b/>
                <w:bCs/>
                <w:color w:val="auto"/>
                <w:lang w:val="en-US" w:eastAsia="en-US"/>
              </w:rPr>
            </w:pPr>
          </w:p>
        </w:tc>
        <w:tc>
          <w:tcPr>
            <w:tcW w:w="814" w:type="dxa"/>
            <w:vMerge w:val="continue"/>
            <w:shd w:val="clear" w:color="auto" w:fill="auto"/>
            <w:vAlign w:val="center"/>
          </w:tcPr>
          <w:p w14:paraId="6CB1F544">
            <w:pPr>
              <w:pStyle w:val="30"/>
              <w:widowControl w:val="0"/>
              <w:bidi w:val="0"/>
              <w:ind w:firstLine="0" w:firstLineChars="0"/>
              <w:rPr>
                <w:rFonts w:ascii="Times New Roman" w:hAnsi="Times New Roman" w:eastAsia="宋体" w:cs="宋体"/>
                <w:b/>
                <w:bCs/>
                <w:color w:val="auto"/>
                <w:kern w:val="0"/>
                <w:sz w:val="21"/>
                <w:szCs w:val="21"/>
                <w:lang w:val="en-US" w:eastAsia="en-US" w:bidi="ar-SA"/>
              </w:rPr>
            </w:pPr>
          </w:p>
        </w:tc>
        <w:tc>
          <w:tcPr>
            <w:tcW w:w="1374" w:type="dxa"/>
            <w:vMerge w:val="continue"/>
            <w:shd w:val="clear" w:color="auto" w:fill="auto"/>
            <w:vAlign w:val="center"/>
          </w:tcPr>
          <w:p w14:paraId="208E6E0B">
            <w:pPr>
              <w:pStyle w:val="30"/>
              <w:widowControl w:val="0"/>
              <w:bidi w:val="0"/>
              <w:ind w:firstLine="0" w:firstLineChars="0"/>
              <w:rPr>
                <w:rFonts w:ascii="Times New Roman" w:hAnsi="Times New Roman" w:eastAsia="宋体" w:cs="宋体"/>
                <w:b/>
                <w:bCs/>
                <w:color w:val="auto"/>
                <w:kern w:val="0"/>
                <w:sz w:val="21"/>
                <w:szCs w:val="21"/>
                <w:lang w:val="en-US" w:eastAsia="en-US" w:bidi="ar-SA"/>
              </w:rPr>
            </w:pPr>
          </w:p>
        </w:tc>
        <w:tc>
          <w:tcPr>
            <w:tcW w:w="1488" w:type="dxa"/>
            <w:vMerge w:val="continue"/>
            <w:tcBorders>
              <w:top w:val="nil"/>
            </w:tcBorders>
            <w:vAlign w:val="center"/>
          </w:tcPr>
          <w:p w14:paraId="0BA73C53">
            <w:pPr>
              <w:pStyle w:val="30"/>
              <w:widowControl w:val="0"/>
              <w:bidi w:val="0"/>
              <w:rPr>
                <w:b/>
                <w:bCs/>
                <w:color w:val="auto"/>
                <w:lang w:val="en-US" w:eastAsia="en-US"/>
              </w:rPr>
            </w:pPr>
          </w:p>
        </w:tc>
        <w:tc>
          <w:tcPr>
            <w:tcW w:w="1114" w:type="dxa"/>
            <w:vMerge w:val="continue"/>
            <w:tcBorders>
              <w:top w:val="nil"/>
            </w:tcBorders>
            <w:vAlign w:val="center"/>
          </w:tcPr>
          <w:p w14:paraId="3D6EF653">
            <w:pPr>
              <w:pStyle w:val="30"/>
              <w:widowControl w:val="0"/>
              <w:bidi w:val="0"/>
              <w:rPr>
                <w:b/>
                <w:bCs/>
                <w:color w:val="auto"/>
                <w:lang w:val="en-US" w:eastAsia="en-US"/>
              </w:rPr>
            </w:pPr>
          </w:p>
        </w:tc>
        <w:tc>
          <w:tcPr>
            <w:tcW w:w="1575" w:type="dxa"/>
            <w:vAlign w:val="center"/>
          </w:tcPr>
          <w:p w14:paraId="55281027">
            <w:pPr>
              <w:pStyle w:val="30"/>
              <w:widowControl w:val="0"/>
              <w:bidi w:val="0"/>
              <w:rPr>
                <w:b/>
                <w:bCs/>
                <w:color w:val="auto"/>
                <w:lang w:val="en-US" w:eastAsia="en-US"/>
              </w:rPr>
            </w:pPr>
            <w:r>
              <w:rPr>
                <w:rFonts w:hint="eastAsia"/>
                <w:b/>
                <w:bCs/>
                <w:color w:val="auto"/>
                <w:lang w:val="en-US" w:eastAsia="zh-CN"/>
              </w:rPr>
              <w:t>折纯后最大</w:t>
            </w:r>
            <w:r>
              <w:rPr>
                <w:b/>
                <w:bCs/>
                <w:color w:val="auto"/>
                <w:lang w:val="en-US" w:eastAsia="en-US"/>
              </w:rPr>
              <w:t>存在量</w:t>
            </w:r>
            <w:r>
              <w:rPr>
                <w:rFonts w:hint="eastAsia"/>
                <w:b/>
                <w:bCs/>
                <w:color w:val="auto"/>
                <w:lang w:val="en-US" w:eastAsia="zh-CN"/>
              </w:rPr>
              <w:t>（t）</w:t>
            </w:r>
          </w:p>
        </w:tc>
        <w:tc>
          <w:tcPr>
            <w:tcW w:w="1076" w:type="dxa"/>
            <w:vAlign w:val="center"/>
          </w:tcPr>
          <w:p w14:paraId="0548EE6C">
            <w:pPr>
              <w:pStyle w:val="30"/>
              <w:widowControl w:val="0"/>
              <w:bidi w:val="0"/>
              <w:rPr>
                <w:b/>
                <w:bCs/>
                <w:color w:val="auto"/>
                <w:lang w:val="en-US" w:eastAsia="en-US"/>
              </w:rPr>
            </w:pPr>
            <w:r>
              <w:rPr>
                <w:b/>
                <w:bCs/>
                <w:color w:val="auto"/>
                <w:lang w:val="en-US" w:eastAsia="en-US"/>
              </w:rPr>
              <w:t>Q</w:t>
            </w:r>
          </w:p>
        </w:tc>
        <w:tc>
          <w:tcPr>
            <w:tcW w:w="1632" w:type="dxa"/>
            <w:vAlign w:val="center"/>
          </w:tcPr>
          <w:p w14:paraId="06BEA244">
            <w:pPr>
              <w:pStyle w:val="30"/>
              <w:widowControl w:val="0"/>
              <w:bidi w:val="0"/>
              <w:rPr>
                <w:b/>
                <w:bCs/>
                <w:color w:val="auto"/>
                <w:lang w:val="en-US" w:eastAsia="en-US"/>
              </w:rPr>
            </w:pPr>
            <w:r>
              <w:rPr>
                <w:rFonts w:hint="eastAsia"/>
                <w:b/>
                <w:bCs/>
                <w:color w:val="auto"/>
                <w:lang w:val="en-US" w:eastAsia="zh-CN"/>
              </w:rPr>
              <w:t>折纯后最大</w:t>
            </w:r>
            <w:r>
              <w:rPr>
                <w:b/>
                <w:bCs/>
                <w:color w:val="auto"/>
                <w:lang w:val="en-US" w:eastAsia="en-US"/>
              </w:rPr>
              <w:t>存在量</w:t>
            </w:r>
            <w:r>
              <w:rPr>
                <w:rFonts w:hint="eastAsia"/>
                <w:b/>
                <w:bCs/>
                <w:color w:val="auto"/>
                <w:lang w:val="en-US" w:eastAsia="zh-CN"/>
              </w:rPr>
              <w:t>（t）</w:t>
            </w:r>
          </w:p>
        </w:tc>
        <w:tc>
          <w:tcPr>
            <w:tcW w:w="1318" w:type="dxa"/>
            <w:vAlign w:val="center"/>
          </w:tcPr>
          <w:p w14:paraId="7DD7EC3D">
            <w:pPr>
              <w:pStyle w:val="30"/>
              <w:widowControl w:val="0"/>
              <w:bidi w:val="0"/>
              <w:rPr>
                <w:b/>
                <w:bCs/>
                <w:color w:val="auto"/>
                <w:lang w:val="en-US" w:eastAsia="en-US"/>
              </w:rPr>
            </w:pPr>
            <w:r>
              <w:rPr>
                <w:b/>
                <w:bCs/>
                <w:color w:val="auto"/>
                <w:lang w:val="en-US" w:eastAsia="en-US"/>
              </w:rPr>
              <w:t>Q</w:t>
            </w:r>
          </w:p>
        </w:tc>
        <w:tc>
          <w:tcPr>
            <w:tcW w:w="1473" w:type="dxa"/>
            <w:vAlign w:val="center"/>
          </w:tcPr>
          <w:p w14:paraId="75FE4516">
            <w:pPr>
              <w:pStyle w:val="30"/>
              <w:widowControl w:val="0"/>
              <w:bidi w:val="0"/>
              <w:rPr>
                <w:b/>
                <w:bCs/>
                <w:color w:val="auto"/>
                <w:lang w:val="en-US" w:eastAsia="en-US"/>
              </w:rPr>
            </w:pPr>
            <w:r>
              <w:rPr>
                <w:b/>
                <w:bCs/>
                <w:color w:val="auto"/>
                <w:lang w:val="en-US" w:eastAsia="en-US"/>
              </w:rPr>
              <w:t>实施后</w:t>
            </w:r>
          </w:p>
        </w:tc>
        <w:tc>
          <w:tcPr>
            <w:tcW w:w="1622" w:type="dxa"/>
            <w:vAlign w:val="center"/>
          </w:tcPr>
          <w:p w14:paraId="3FC08583">
            <w:pPr>
              <w:pStyle w:val="30"/>
              <w:widowControl w:val="0"/>
              <w:bidi w:val="0"/>
              <w:rPr>
                <w:b/>
                <w:bCs/>
                <w:color w:val="auto"/>
                <w:lang w:val="en-US" w:eastAsia="en-US"/>
              </w:rPr>
            </w:pPr>
            <w:r>
              <w:rPr>
                <w:b/>
                <w:bCs/>
                <w:color w:val="auto"/>
                <w:lang w:val="en-US" w:eastAsia="en-US"/>
              </w:rPr>
              <w:t>变化量</w:t>
            </w:r>
          </w:p>
        </w:tc>
      </w:tr>
      <w:tr w14:paraId="76652D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restart"/>
            <w:vAlign w:val="center"/>
          </w:tcPr>
          <w:p w14:paraId="2BAB9C19">
            <w:pPr>
              <w:pStyle w:val="30"/>
              <w:widowControl w:val="0"/>
              <w:bidi w:val="0"/>
              <w:rPr>
                <w:rFonts w:hint="default" w:eastAsia="宋体"/>
                <w:color w:val="auto"/>
                <w:lang w:val="en-US" w:eastAsia="zh-CN"/>
              </w:rPr>
            </w:pPr>
            <w:r>
              <w:rPr>
                <w:rFonts w:hint="eastAsia"/>
                <w:color w:val="auto"/>
                <w:lang w:val="en-US" w:eastAsia="zh-CN"/>
              </w:rPr>
              <w:t>生产单元</w:t>
            </w:r>
          </w:p>
        </w:tc>
        <w:tc>
          <w:tcPr>
            <w:tcW w:w="814" w:type="dxa"/>
            <w:vMerge w:val="restart"/>
            <w:shd w:val="clear" w:color="auto" w:fill="auto"/>
            <w:vAlign w:val="center"/>
          </w:tcPr>
          <w:p w14:paraId="3493386F">
            <w:pPr>
              <w:pStyle w:val="30"/>
              <w:widowControl w:val="0"/>
              <w:bidi w:val="0"/>
              <w:ind w:firstLine="0" w:firstLineChars="0"/>
              <w:rPr>
                <w:rFonts w:hint="default" w:ascii="Times New Roman" w:hAnsi="Times New Roman" w:eastAsia="宋体" w:cs="宋体"/>
                <w:b w:val="0"/>
                <w:color w:val="auto"/>
                <w:kern w:val="0"/>
                <w:sz w:val="21"/>
                <w:szCs w:val="21"/>
                <w:lang w:val="en-US" w:eastAsia="zh-CN" w:bidi="ar-SA"/>
              </w:rPr>
            </w:pPr>
            <w:r>
              <w:rPr>
                <w:rFonts w:hint="eastAsia" w:cs="宋体"/>
                <w:b w:val="0"/>
                <w:color w:val="auto"/>
                <w:kern w:val="0"/>
                <w:sz w:val="21"/>
                <w:szCs w:val="21"/>
                <w:lang w:val="en-US" w:eastAsia="zh-CN" w:bidi="ar-SA"/>
              </w:rPr>
              <w:t>电池车间1（生产线在线量）</w:t>
            </w:r>
          </w:p>
        </w:tc>
        <w:tc>
          <w:tcPr>
            <w:tcW w:w="1374" w:type="dxa"/>
            <w:shd w:val="clear" w:color="auto" w:fill="auto"/>
            <w:vAlign w:val="center"/>
          </w:tcPr>
          <w:p w14:paraId="39933B18">
            <w:pPr>
              <w:pStyle w:val="30"/>
              <w:widowControl w:val="0"/>
              <w:bidi w:val="0"/>
              <w:ind w:firstLine="0" w:firstLineChars="0"/>
              <w:rPr>
                <w:rFonts w:hint="default" w:ascii="Times New Roman" w:hAnsi="Times New Roman" w:eastAsia="宋体" w:cs="宋体"/>
                <w:b w:val="0"/>
                <w:color w:val="auto"/>
                <w:kern w:val="0"/>
                <w:sz w:val="21"/>
                <w:szCs w:val="21"/>
                <w:lang w:val="en-US" w:eastAsia="zh-CN" w:bidi="ar-SA"/>
              </w:rPr>
            </w:pPr>
            <w:r>
              <w:rPr>
                <w:color w:val="auto"/>
                <w:lang w:val="en-US" w:eastAsia="en-US"/>
              </w:rPr>
              <w:t>银</w:t>
            </w:r>
            <w:r>
              <w:rPr>
                <w:rFonts w:hint="eastAsia"/>
                <w:color w:val="auto"/>
                <w:lang w:val="en-US" w:eastAsia="zh-CN"/>
              </w:rPr>
              <w:t>及其化合物（以银计）</w:t>
            </w:r>
          </w:p>
        </w:tc>
        <w:tc>
          <w:tcPr>
            <w:tcW w:w="1488" w:type="dxa"/>
            <w:vAlign w:val="center"/>
          </w:tcPr>
          <w:p w14:paraId="7CEF038A">
            <w:pPr>
              <w:pStyle w:val="30"/>
              <w:widowControl w:val="0"/>
              <w:bidi w:val="0"/>
              <w:rPr>
                <w:color w:val="auto"/>
                <w:lang w:val="en-US" w:eastAsia="en-US"/>
              </w:rPr>
            </w:pPr>
            <w:r>
              <w:rPr>
                <w:color w:val="auto"/>
                <w:lang w:val="en-US" w:eastAsia="en-US"/>
              </w:rPr>
              <w:t>/</w:t>
            </w:r>
          </w:p>
        </w:tc>
        <w:tc>
          <w:tcPr>
            <w:tcW w:w="1114" w:type="dxa"/>
            <w:vAlign w:val="center"/>
          </w:tcPr>
          <w:p w14:paraId="5BDD2C6F">
            <w:pPr>
              <w:pStyle w:val="30"/>
              <w:widowControl w:val="0"/>
              <w:bidi w:val="0"/>
              <w:rPr>
                <w:rFonts w:hint="default" w:eastAsia="宋体"/>
                <w:color w:val="auto"/>
                <w:lang w:val="en-US" w:eastAsia="zh-CN"/>
              </w:rPr>
            </w:pPr>
            <w:r>
              <w:rPr>
                <w:rFonts w:hint="eastAsia"/>
                <w:color w:val="auto"/>
                <w:lang w:val="en-US" w:eastAsia="zh-CN"/>
              </w:rPr>
              <w:t>0.25</w:t>
            </w:r>
          </w:p>
        </w:tc>
        <w:tc>
          <w:tcPr>
            <w:tcW w:w="1575" w:type="dxa"/>
            <w:vAlign w:val="center"/>
          </w:tcPr>
          <w:p w14:paraId="5E13B3ED">
            <w:pPr>
              <w:pStyle w:val="30"/>
              <w:widowControl w:val="0"/>
              <w:bidi w:val="0"/>
              <w:rPr>
                <w:rFonts w:hint="default" w:eastAsia="宋体"/>
                <w:color w:val="auto"/>
                <w:lang w:val="en-US" w:eastAsia="zh-CN"/>
              </w:rPr>
            </w:pPr>
            <w:r>
              <w:rPr>
                <w:rFonts w:hint="eastAsia"/>
                <w:color w:val="auto"/>
                <w:lang w:val="en-US" w:eastAsia="zh-CN"/>
              </w:rPr>
              <w:t>0.075</w:t>
            </w:r>
          </w:p>
        </w:tc>
        <w:tc>
          <w:tcPr>
            <w:tcW w:w="1076" w:type="dxa"/>
            <w:shd w:val="clear" w:color="auto" w:fill="auto"/>
            <w:vAlign w:val="center"/>
          </w:tcPr>
          <w:p w14:paraId="08154929">
            <w:pPr>
              <w:keepNext w:val="0"/>
              <w:keepLines w:val="0"/>
              <w:widowControl/>
              <w:suppressLineNumbers w:val="0"/>
              <w:jc w:val="center"/>
              <w:textAlignment w:val="center"/>
              <w:rPr>
                <w:rFonts w:hint="eastAsia" w:ascii="Times New Roman" w:hAnsi="Times New Roman" w:eastAsia="宋体" w:cs="宋体"/>
                <w:b w:val="0"/>
                <w:color w:val="auto"/>
                <w:kern w:val="0"/>
                <w:sz w:val="21"/>
                <w:szCs w:val="21"/>
                <w:lang w:val="en-US" w:eastAsia="en-US" w:bidi="ar-SA"/>
              </w:rPr>
            </w:pPr>
            <w:r>
              <w:rPr>
                <w:rFonts w:hint="eastAsia" w:ascii="Times New Roman" w:hAnsi="Times New Roman" w:eastAsia="宋体" w:cs="宋体"/>
                <w:b w:val="0"/>
                <w:color w:val="auto"/>
                <w:kern w:val="0"/>
                <w:sz w:val="21"/>
                <w:szCs w:val="21"/>
                <w:lang w:val="en-US" w:eastAsia="zh-CN" w:bidi="ar-SA"/>
              </w:rPr>
              <w:t>0.3</w:t>
            </w:r>
          </w:p>
        </w:tc>
        <w:tc>
          <w:tcPr>
            <w:tcW w:w="1632" w:type="dxa"/>
            <w:vAlign w:val="center"/>
          </w:tcPr>
          <w:p w14:paraId="32B0AE31">
            <w:pPr>
              <w:pStyle w:val="30"/>
              <w:widowControl w:val="0"/>
              <w:bidi w:val="0"/>
              <w:rPr>
                <w:rFonts w:hint="default" w:eastAsia="宋体"/>
                <w:color w:val="auto"/>
                <w:lang w:val="en-US" w:eastAsia="zh-CN"/>
              </w:rPr>
            </w:pPr>
            <w:r>
              <w:rPr>
                <w:rFonts w:hint="eastAsia"/>
                <w:color w:val="auto"/>
                <w:lang w:val="en-US" w:eastAsia="zh-CN"/>
              </w:rPr>
              <w:t>0.1625</w:t>
            </w:r>
          </w:p>
        </w:tc>
        <w:tc>
          <w:tcPr>
            <w:tcW w:w="1318" w:type="dxa"/>
            <w:vAlign w:val="center"/>
          </w:tcPr>
          <w:p w14:paraId="05869C9F">
            <w:pPr>
              <w:pStyle w:val="30"/>
              <w:widowControl w:val="0"/>
              <w:bidi w:val="0"/>
              <w:rPr>
                <w:rFonts w:hint="default" w:eastAsia="宋体"/>
                <w:color w:val="auto"/>
                <w:lang w:val="en-US" w:eastAsia="zh-CN"/>
              </w:rPr>
            </w:pPr>
            <w:r>
              <w:rPr>
                <w:rFonts w:hint="eastAsia"/>
                <w:color w:val="auto"/>
                <w:lang w:val="en-US" w:eastAsia="zh-CN"/>
              </w:rPr>
              <w:t>0.65</w:t>
            </w:r>
          </w:p>
        </w:tc>
        <w:tc>
          <w:tcPr>
            <w:tcW w:w="1473" w:type="dxa"/>
            <w:shd w:val="clear" w:color="auto" w:fill="auto"/>
            <w:vAlign w:val="center"/>
          </w:tcPr>
          <w:p w14:paraId="16A09F1D">
            <w:pPr>
              <w:keepNext w:val="0"/>
              <w:keepLines w:val="0"/>
              <w:widowControl/>
              <w:suppressLineNumbers w:val="0"/>
              <w:jc w:val="center"/>
              <w:textAlignment w:val="center"/>
              <w:rPr>
                <w:rFonts w:hint="default" w:ascii="Times New Roman" w:hAnsi="Times New Roman" w:eastAsia="宋体" w:cs="Times New Roman"/>
                <w:i w:val="0"/>
                <w:iCs w:val="0"/>
                <w:color w:val="000000"/>
                <w:sz w:val="21"/>
                <w:szCs w:val="21"/>
                <w:u w:val="none"/>
                <w:lang w:val="en-US" w:eastAsia="en-US" w:bidi="ar-SA"/>
              </w:rPr>
            </w:pPr>
            <w:r>
              <w:rPr>
                <w:rFonts w:hint="default" w:ascii="Times New Roman" w:hAnsi="Times New Roman" w:eastAsia="宋体" w:cs="Times New Roman"/>
                <w:i w:val="0"/>
                <w:iCs w:val="0"/>
                <w:color w:val="000000"/>
                <w:kern w:val="0"/>
                <w:sz w:val="21"/>
                <w:szCs w:val="21"/>
                <w:u w:val="none"/>
                <w:lang w:val="en-US" w:eastAsia="zh-CN" w:bidi="ar"/>
              </w:rPr>
              <w:t>0.95</w:t>
            </w:r>
          </w:p>
        </w:tc>
        <w:tc>
          <w:tcPr>
            <w:tcW w:w="1622" w:type="dxa"/>
            <w:shd w:val="clear" w:color="auto" w:fill="auto"/>
            <w:vAlign w:val="center"/>
          </w:tcPr>
          <w:p w14:paraId="1AA57CCE">
            <w:pPr>
              <w:keepNext w:val="0"/>
              <w:keepLines w:val="0"/>
              <w:widowControl/>
              <w:suppressLineNumbers w:val="0"/>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eastAsia" w:cs="Times New Roman"/>
                <w:i w:val="0"/>
                <w:iCs w:val="0"/>
                <w:color w:val="000000"/>
                <w:kern w:val="0"/>
                <w:sz w:val="21"/>
                <w:szCs w:val="21"/>
                <w:u w:val="none"/>
                <w:lang w:val="en-US" w:eastAsia="zh-CN" w:bidi="ar"/>
              </w:rPr>
              <w:t>+</w:t>
            </w:r>
            <w:r>
              <w:rPr>
                <w:rFonts w:hint="default" w:ascii="Times New Roman" w:hAnsi="Times New Roman" w:eastAsia="宋体" w:cs="Times New Roman"/>
                <w:i w:val="0"/>
                <w:iCs w:val="0"/>
                <w:color w:val="000000"/>
                <w:kern w:val="0"/>
                <w:sz w:val="21"/>
                <w:szCs w:val="21"/>
                <w:u w:val="none"/>
                <w:lang w:val="en-US" w:eastAsia="zh-CN" w:bidi="ar"/>
              </w:rPr>
              <w:t>0.65</w:t>
            </w:r>
          </w:p>
        </w:tc>
      </w:tr>
      <w:tr w14:paraId="26D078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723B598F">
            <w:pPr>
              <w:pStyle w:val="30"/>
              <w:widowControl w:val="0"/>
              <w:bidi w:val="0"/>
              <w:rPr>
                <w:color w:val="auto"/>
                <w:lang w:val="en-US" w:eastAsia="en-US"/>
              </w:rPr>
            </w:pPr>
          </w:p>
        </w:tc>
        <w:tc>
          <w:tcPr>
            <w:tcW w:w="814" w:type="dxa"/>
            <w:vMerge w:val="continue"/>
            <w:shd w:val="clear" w:color="auto" w:fill="auto"/>
            <w:vAlign w:val="center"/>
          </w:tcPr>
          <w:p w14:paraId="30A1F287">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12FA1734">
            <w:pPr>
              <w:pStyle w:val="30"/>
              <w:widowControl w:val="0"/>
              <w:bidi w:val="0"/>
              <w:ind w:firstLine="0" w:firstLineChars="0"/>
              <w:rPr>
                <w:rFonts w:hint="eastAsia" w:ascii="Times New Roman" w:hAnsi="Times New Roman" w:eastAsia="宋体" w:cs="宋体"/>
                <w:b w:val="0"/>
                <w:color w:val="auto"/>
                <w:kern w:val="0"/>
                <w:sz w:val="21"/>
                <w:szCs w:val="21"/>
                <w:lang w:val="en-US" w:eastAsia="zh-CN" w:bidi="ar-SA"/>
              </w:rPr>
            </w:pPr>
            <w:r>
              <w:rPr>
                <w:color w:val="auto"/>
                <w:lang w:val="en-US" w:eastAsia="en-US"/>
              </w:rPr>
              <w:t>三甲基铝</w:t>
            </w:r>
          </w:p>
        </w:tc>
        <w:tc>
          <w:tcPr>
            <w:tcW w:w="1488" w:type="dxa"/>
            <w:shd w:val="clear" w:color="auto" w:fill="auto"/>
            <w:vAlign w:val="center"/>
          </w:tcPr>
          <w:p w14:paraId="753B9E2C">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75-24-1</w:t>
            </w:r>
          </w:p>
        </w:tc>
        <w:tc>
          <w:tcPr>
            <w:tcW w:w="1114" w:type="dxa"/>
            <w:vAlign w:val="center"/>
          </w:tcPr>
          <w:p w14:paraId="37577CAA">
            <w:pPr>
              <w:pStyle w:val="30"/>
              <w:widowControl w:val="0"/>
              <w:bidi w:val="0"/>
              <w:rPr>
                <w:rFonts w:hint="default"/>
                <w:color w:val="auto"/>
                <w:lang w:val="en-US" w:eastAsia="zh-CN"/>
              </w:rPr>
            </w:pPr>
            <w:r>
              <w:rPr>
                <w:rFonts w:hint="eastAsia"/>
                <w:color w:val="auto"/>
                <w:lang w:val="en-US" w:eastAsia="zh-CN"/>
              </w:rPr>
              <w:t>50</w:t>
            </w:r>
          </w:p>
        </w:tc>
        <w:tc>
          <w:tcPr>
            <w:tcW w:w="1575" w:type="dxa"/>
            <w:vAlign w:val="center"/>
          </w:tcPr>
          <w:p w14:paraId="35688E16">
            <w:pPr>
              <w:pStyle w:val="30"/>
              <w:widowControl w:val="0"/>
              <w:bidi w:val="0"/>
              <w:rPr>
                <w:rFonts w:hint="default"/>
                <w:color w:val="auto"/>
                <w:lang w:val="en-US" w:eastAsia="zh-CN"/>
              </w:rPr>
            </w:pPr>
            <w:r>
              <w:rPr>
                <w:rFonts w:hint="eastAsia"/>
                <w:color w:val="auto"/>
                <w:lang w:val="en-US" w:eastAsia="zh-CN"/>
              </w:rPr>
              <w:t>0</w:t>
            </w:r>
          </w:p>
        </w:tc>
        <w:tc>
          <w:tcPr>
            <w:tcW w:w="1076" w:type="dxa"/>
            <w:shd w:val="clear" w:color="auto" w:fill="auto"/>
            <w:vAlign w:val="center"/>
          </w:tcPr>
          <w:p w14:paraId="3A85D04C">
            <w:pPr>
              <w:pStyle w:val="30"/>
              <w:widowControl w:val="0"/>
              <w:bidi w:val="0"/>
              <w:rPr>
                <w:rFonts w:hint="eastAsia"/>
                <w:color w:val="auto"/>
                <w:lang w:val="en-US" w:eastAsia="zh-CN"/>
              </w:rPr>
            </w:pPr>
            <w:r>
              <w:rPr>
                <w:rFonts w:hint="eastAsia"/>
                <w:color w:val="auto"/>
                <w:lang w:val="en-US" w:eastAsia="zh-CN"/>
              </w:rPr>
              <w:t>0</w:t>
            </w:r>
          </w:p>
        </w:tc>
        <w:tc>
          <w:tcPr>
            <w:tcW w:w="1632" w:type="dxa"/>
            <w:vAlign w:val="center"/>
          </w:tcPr>
          <w:p w14:paraId="5FB19D46">
            <w:pPr>
              <w:pStyle w:val="30"/>
              <w:widowControl w:val="0"/>
              <w:bidi w:val="0"/>
              <w:rPr>
                <w:rFonts w:hint="default"/>
                <w:color w:val="auto"/>
                <w:lang w:val="en-US" w:eastAsia="zh-CN"/>
              </w:rPr>
            </w:pPr>
            <w:r>
              <w:rPr>
                <w:rFonts w:hint="eastAsia"/>
                <w:color w:val="auto"/>
                <w:lang w:val="en-US" w:eastAsia="zh-CN"/>
              </w:rPr>
              <w:t>0.12</w:t>
            </w:r>
          </w:p>
        </w:tc>
        <w:tc>
          <w:tcPr>
            <w:tcW w:w="1318" w:type="dxa"/>
            <w:vAlign w:val="center"/>
          </w:tcPr>
          <w:p w14:paraId="2BC5EFD9">
            <w:pPr>
              <w:pStyle w:val="30"/>
              <w:widowControl w:val="0"/>
              <w:bidi w:val="0"/>
              <w:rPr>
                <w:rFonts w:hint="default"/>
                <w:color w:val="auto"/>
                <w:lang w:val="en-US" w:eastAsia="zh-CN"/>
              </w:rPr>
            </w:pPr>
            <w:r>
              <w:rPr>
                <w:rFonts w:hint="eastAsia"/>
                <w:color w:val="auto"/>
                <w:lang w:val="en-US" w:eastAsia="zh-CN"/>
              </w:rPr>
              <w:t>0.0024</w:t>
            </w:r>
          </w:p>
        </w:tc>
        <w:tc>
          <w:tcPr>
            <w:tcW w:w="1473" w:type="dxa"/>
            <w:shd w:val="clear" w:color="auto" w:fill="auto"/>
            <w:vAlign w:val="center"/>
          </w:tcPr>
          <w:p w14:paraId="0760E102">
            <w:pPr>
              <w:pStyle w:val="30"/>
              <w:widowControl w:val="0"/>
              <w:bidi w:val="0"/>
              <w:rPr>
                <w:rFonts w:hint="default"/>
                <w:color w:val="auto"/>
                <w:lang w:val="en-US" w:eastAsia="en-US"/>
              </w:rPr>
            </w:pPr>
            <w:r>
              <w:rPr>
                <w:rFonts w:hint="default"/>
                <w:color w:val="auto"/>
                <w:lang w:val="en-US" w:eastAsia="zh-CN"/>
              </w:rPr>
              <w:t>0.0024</w:t>
            </w:r>
          </w:p>
        </w:tc>
        <w:tc>
          <w:tcPr>
            <w:tcW w:w="1622" w:type="dxa"/>
            <w:shd w:val="clear" w:color="auto" w:fill="auto"/>
            <w:vAlign w:val="center"/>
          </w:tcPr>
          <w:p w14:paraId="68D8A56C">
            <w:pPr>
              <w:pStyle w:val="30"/>
              <w:widowControl w:val="0"/>
              <w:bidi w:val="0"/>
              <w:rPr>
                <w:rFonts w:hint="eastAsia"/>
                <w:color w:val="auto"/>
                <w:lang w:val="en-US" w:eastAsia="zh-CN"/>
              </w:rPr>
            </w:pPr>
            <w:r>
              <w:rPr>
                <w:rFonts w:hint="eastAsia" w:cs="Times New Roman"/>
                <w:i w:val="0"/>
                <w:iCs w:val="0"/>
                <w:color w:val="000000"/>
                <w:kern w:val="0"/>
                <w:sz w:val="21"/>
                <w:szCs w:val="21"/>
                <w:u w:val="none"/>
                <w:lang w:val="en-US" w:eastAsia="zh-CN" w:bidi="ar"/>
              </w:rPr>
              <w:t>+</w:t>
            </w:r>
            <w:r>
              <w:rPr>
                <w:rFonts w:hint="default"/>
                <w:color w:val="auto"/>
                <w:lang w:val="en-US" w:eastAsia="zh-CN"/>
              </w:rPr>
              <w:t>0.0024</w:t>
            </w:r>
          </w:p>
        </w:tc>
      </w:tr>
      <w:tr w14:paraId="77BF9A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976C83C">
            <w:pPr>
              <w:pStyle w:val="30"/>
              <w:widowControl w:val="0"/>
              <w:bidi w:val="0"/>
              <w:rPr>
                <w:color w:val="auto"/>
                <w:lang w:val="en-US" w:eastAsia="en-US"/>
              </w:rPr>
            </w:pPr>
          </w:p>
        </w:tc>
        <w:tc>
          <w:tcPr>
            <w:tcW w:w="814" w:type="dxa"/>
            <w:vMerge w:val="restart"/>
            <w:shd w:val="clear" w:color="auto" w:fill="auto"/>
            <w:vAlign w:val="center"/>
          </w:tcPr>
          <w:p w14:paraId="1B4D9D54">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rFonts w:hint="eastAsia" w:cs="宋体"/>
                <w:b w:val="0"/>
                <w:color w:val="auto"/>
                <w:kern w:val="0"/>
                <w:sz w:val="21"/>
                <w:szCs w:val="21"/>
                <w:lang w:val="en-US" w:eastAsia="zh-CN" w:bidi="ar-SA"/>
              </w:rPr>
              <w:t>电池车间2（生产线在线量）</w:t>
            </w:r>
          </w:p>
        </w:tc>
        <w:tc>
          <w:tcPr>
            <w:tcW w:w="1374" w:type="dxa"/>
            <w:shd w:val="clear" w:color="auto" w:fill="auto"/>
            <w:vAlign w:val="center"/>
          </w:tcPr>
          <w:p w14:paraId="04E04FAA">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液氨</w:t>
            </w:r>
          </w:p>
        </w:tc>
        <w:tc>
          <w:tcPr>
            <w:tcW w:w="1488" w:type="dxa"/>
            <w:shd w:val="clear" w:color="auto" w:fill="auto"/>
            <w:vAlign w:val="center"/>
          </w:tcPr>
          <w:p w14:paraId="53784D0A">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1336-21-6</w:t>
            </w:r>
          </w:p>
        </w:tc>
        <w:tc>
          <w:tcPr>
            <w:tcW w:w="1114" w:type="dxa"/>
            <w:vAlign w:val="center"/>
          </w:tcPr>
          <w:p w14:paraId="2CFE8AEB">
            <w:pPr>
              <w:pStyle w:val="30"/>
              <w:widowControl w:val="0"/>
              <w:bidi w:val="0"/>
              <w:rPr>
                <w:rFonts w:hint="eastAsia"/>
                <w:color w:val="auto"/>
                <w:lang w:val="en-US" w:eastAsia="zh-CN"/>
              </w:rPr>
            </w:pPr>
            <w:r>
              <w:rPr>
                <w:rFonts w:hint="eastAsia"/>
                <w:color w:val="auto"/>
                <w:lang w:val="en-US" w:eastAsia="zh-CN"/>
              </w:rPr>
              <w:t>5</w:t>
            </w:r>
          </w:p>
        </w:tc>
        <w:tc>
          <w:tcPr>
            <w:tcW w:w="1575" w:type="dxa"/>
            <w:vAlign w:val="center"/>
          </w:tcPr>
          <w:p w14:paraId="6DBC3FC0">
            <w:pPr>
              <w:pStyle w:val="30"/>
              <w:widowControl w:val="0"/>
              <w:bidi w:val="0"/>
              <w:rPr>
                <w:rFonts w:hint="default"/>
                <w:color w:val="auto"/>
                <w:lang w:val="en-US" w:eastAsia="zh-CN"/>
              </w:rPr>
            </w:pPr>
            <w:r>
              <w:rPr>
                <w:rFonts w:hint="eastAsia"/>
                <w:color w:val="auto"/>
                <w:lang w:val="en-US" w:eastAsia="zh-CN"/>
              </w:rPr>
              <w:t>5.3528</w:t>
            </w:r>
          </w:p>
        </w:tc>
        <w:tc>
          <w:tcPr>
            <w:tcW w:w="1076" w:type="dxa"/>
            <w:shd w:val="clear" w:color="auto" w:fill="auto"/>
            <w:vAlign w:val="center"/>
          </w:tcPr>
          <w:p w14:paraId="3A0A5ADB">
            <w:pPr>
              <w:pStyle w:val="30"/>
              <w:widowControl w:val="0"/>
              <w:bidi w:val="0"/>
              <w:rPr>
                <w:rFonts w:hint="eastAsia"/>
                <w:color w:val="auto"/>
                <w:lang w:val="en-US" w:eastAsia="en-US"/>
              </w:rPr>
            </w:pPr>
            <w:r>
              <w:rPr>
                <w:rFonts w:hint="eastAsia"/>
                <w:color w:val="auto"/>
                <w:lang w:val="en-US" w:eastAsia="zh-CN"/>
              </w:rPr>
              <w:t>1.07056</w:t>
            </w:r>
          </w:p>
        </w:tc>
        <w:tc>
          <w:tcPr>
            <w:tcW w:w="1632" w:type="dxa"/>
            <w:vAlign w:val="center"/>
          </w:tcPr>
          <w:p w14:paraId="32ED8865">
            <w:pPr>
              <w:pStyle w:val="30"/>
              <w:widowControl w:val="0"/>
              <w:bidi w:val="0"/>
              <w:rPr>
                <w:rFonts w:hint="eastAsia"/>
                <w:color w:val="auto"/>
                <w:lang w:val="en-US" w:eastAsia="zh-CN"/>
              </w:rPr>
            </w:pPr>
            <w:r>
              <w:rPr>
                <w:rFonts w:hint="eastAsia"/>
                <w:color w:val="auto"/>
                <w:lang w:val="en-US" w:eastAsia="zh-CN"/>
              </w:rPr>
              <w:t>0</w:t>
            </w:r>
          </w:p>
        </w:tc>
        <w:tc>
          <w:tcPr>
            <w:tcW w:w="1318" w:type="dxa"/>
            <w:vAlign w:val="center"/>
          </w:tcPr>
          <w:p w14:paraId="39DDC97D">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0923C149">
            <w:pPr>
              <w:pStyle w:val="30"/>
              <w:widowControl w:val="0"/>
              <w:bidi w:val="0"/>
              <w:rPr>
                <w:rFonts w:hint="default"/>
                <w:color w:val="auto"/>
                <w:lang w:val="en-US" w:eastAsia="en-US"/>
              </w:rPr>
            </w:pPr>
            <w:r>
              <w:rPr>
                <w:rFonts w:hint="default"/>
                <w:color w:val="auto"/>
                <w:lang w:val="en-US" w:eastAsia="zh-CN"/>
              </w:rPr>
              <w:t>1.07056</w:t>
            </w:r>
          </w:p>
        </w:tc>
        <w:tc>
          <w:tcPr>
            <w:tcW w:w="1622" w:type="dxa"/>
            <w:shd w:val="clear" w:color="auto" w:fill="auto"/>
            <w:vAlign w:val="center"/>
          </w:tcPr>
          <w:p w14:paraId="514E88B5">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470012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7D5FA6C3">
            <w:pPr>
              <w:pStyle w:val="30"/>
              <w:widowControl w:val="0"/>
              <w:bidi w:val="0"/>
              <w:rPr>
                <w:color w:val="auto"/>
                <w:lang w:val="en-US" w:eastAsia="en-US"/>
              </w:rPr>
            </w:pPr>
          </w:p>
        </w:tc>
        <w:tc>
          <w:tcPr>
            <w:tcW w:w="814" w:type="dxa"/>
            <w:vMerge w:val="continue"/>
            <w:shd w:val="clear" w:color="auto" w:fill="auto"/>
            <w:vAlign w:val="center"/>
          </w:tcPr>
          <w:p w14:paraId="425893DA">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563460A6">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三氯化硼</w:t>
            </w:r>
          </w:p>
        </w:tc>
        <w:tc>
          <w:tcPr>
            <w:tcW w:w="1488" w:type="dxa"/>
            <w:shd w:val="clear" w:color="auto" w:fill="auto"/>
            <w:vAlign w:val="center"/>
          </w:tcPr>
          <w:p w14:paraId="404208B3">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10294-34-5</w:t>
            </w:r>
          </w:p>
        </w:tc>
        <w:tc>
          <w:tcPr>
            <w:tcW w:w="1114" w:type="dxa"/>
            <w:shd w:val="clear" w:color="auto" w:fill="auto"/>
            <w:vAlign w:val="center"/>
          </w:tcPr>
          <w:p w14:paraId="25BA1E72">
            <w:pPr>
              <w:pStyle w:val="30"/>
              <w:widowControl w:val="0"/>
              <w:bidi w:val="0"/>
              <w:rPr>
                <w:rFonts w:hint="eastAsia"/>
                <w:color w:val="auto"/>
                <w:lang w:val="en-US" w:eastAsia="en-US"/>
              </w:rPr>
            </w:pPr>
            <w:r>
              <w:rPr>
                <w:rFonts w:hint="eastAsia"/>
                <w:color w:val="auto"/>
                <w:lang w:val="en-US" w:eastAsia="en-US"/>
              </w:rPr>
              <w:t>2.5</w:t>
            </w:r>
          </w:p>
        </w:tc>
        <w:tc>
          <w:tcPr>
            <w:tcW w:w="1575" w:type="dxa"/>
            <w:vAlign w:val="center"/>
          </w:tcPr>
          <w:p w14:paraId="4A110361">
            <w:pPr>
              <w:pStyle w:val="30"/>
              <w:widowControl w:val="0"/>
              <w:bidi w:val="0"/>
              <w:rPr>
                <w:rFonts w:hint="default"/>
                <w:color w:val="auto"/>
                <w:lang w:val="en-US" w:eastAsia="zh-CN"/>
              </w:rPr>
            </w:pPr>
            <w:r>
              <w:rPr>
                <w:rFonts w:hint="eastAsia"/>
                <w:color w:val="auto"/>
                <w:lang w:val="en-US" w:eastAsia="zh-CN"/>
              </w:rPr>
              <w:t>0.015</w:t>
            </w:r>
          </w:p>
        </w:tc>
        <w:tc>
          <w:tcPr>
            <w:tcW w:w="1076" w:type="dxa"/>
            <w:shd w:val="clear" w:color="auto" w:fill="auto"/>
            <w:vAlign w:val="center"/>
          </w:tcPr>
          <w:p w14:paraId="1767C8FA">
            <w:pPr>
              <w:pStyle w:val="30"/>
              <w:widowControl w:val="0"/>
              <w:bidi w:val="0"/>
              <w:rPr>
                <w:rFonts w:hint="eastAsia"/>
                <w:color w:val="auto"/>
                <w:lang w:val="en-US" w:eastAsia="en-US"/>
              </w:rPr>
            </w:pPr>
            <w:r>
              <w:rPr>
                <w:rFonts w:hint="eastAsia"/>
                <w:color w:val="auto"/>
                <w:lang w:val="en-US" w:eastAsia="zh-CN"/>
              </w:rPr>
              <w:t>0.006</w:t>
            </w:r>
          </w:p>
        </w:tc>
        <w:tc>
          <w:tcPr>
            <w:tcW w:w="1632" w:type="dxa"/>
            <w:vAlign w:val="center"/>
          </w:tcPr>
          <w:p w14:paraId="237B88BF">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4B4CD75C">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31B87F01">
            <w:pPr>
              <w:pStyle w:val="30"/>
              <w:widowControl w:val="0"/>
              <w:bidi w:val="0"/>
              <w:rPr>
                <w:rFonts w:hint="default"/>
                <w:color w:val="auto"/>
                <w:lang w:val="en-US" w:eastAsia="en-US"/>
              </w:rPr>
            </w:pPr>
            <w:r>
              <w:rPr>
                <w:rFonts w:hint="default"/>
                <w:color w:val="auto"/>
                <w:lang w:val="en-US" w:eastAsia="zh-CN"/>
              </w:rPr>
              <w:t>0.006</w:t>
            </w:r>
          </w:p>
        </w:tc>
        <w:tc>
          <w:tcPr>
            <w:tcW w:w="1622" w:type="dxa"/>
            <w:shd w:val="clear" w:color="auto" w:fill="auto"/>
            <w:vAlign w:val="center"/>
          </w:tcPr>
          <w:p w14:paraId="15F023B2">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27B2DD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54862698">
            <w:pPr>
              <w:pStyle w:val="30"/>
              <w:widowControl w:val="0"/>
              <w:bidi w:val="0"/>
              <w:rPr>
                <w:color w:val="auto"/>
                <w:lang w:val="en-US" w:eastAsia="en-US"/>
              </w:rPr>
            </w:pPr>
          </w:p>
        </w:tc>
        <w:tc>
          <w:tcPr>
            <w:tcW w:w="814" w:type="dxa"/>
            <w:vMerge w:val="continue"/>
            <w:shd w:val="clear" w:color="auto" w:fill="auto"/>
            <w:vAlign w:val="center"/>
          </w:tcPr>
          <w:p w14:paraId="2090CFBA">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5DF681AD">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硅烷</w:t>
            </w:r>
          </w:p>
        </w:tc>
        <w:tc>
          <w:tcPr>
            <w:tcW w:w="1488" w:type="dxa"/>
            <w:shd w:val="clear" w:color="auto" w:fill="auto"/>
            <w:vAlign w:val="center"/>
          </w:tcPr>
          <w:p w14:paraId="6C7E3A99">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7803-62-5</w:t>
            </w:r>
          </w:p>
        </w:tc>
        <w:tc>
          <w:tcPr>
            <w:tcW w:w="1114" w:type="dxa"/>
            <w:vAlign w:val="center"/>
          </w:tcPr>
          <w:p w14:paraId="26640022">
            <w:pPr>
              <w:pStyle w:val="30"/>
              <w:widowControl w:val="0"/>
              <w:bidi w:val="0"/>
              <w:rPr>
                <w:rFonts w:hint="default"/>
                <w:color w:val="auto"/>
                <w:lang w:val="en-US" w:eastAsia="zh-CN"/>
              </w:rPr>
            </w:pPr>
            <w:r>
              <w:rPr>
                <w:rFonts w:hint="eastAsia"/>
                <w:color w:val="auto"/>
                <w:lang w:val="en-US" w:eastAsia="zh-CN"/>
              </w:rPr>
              <w:t>2.5</w:t>
            </w:r>
          </w:p>
        </w:tc>
        <w:tc>
          <w:tcPr>
            <w:tcW w:w="1575" w:type="dxa"/>
            <w:vAlign w:val="center"/>
          </w:tcPr>
          <w:p w14:paraId="33EB6280">
            <w:pPr>
              <w:pStyle w:val="30"/>
              <w:widowControl w:val="0"/>
              <w:bidi w:val="0"/>
              <w:rPr>
                <w:rFonts w:hint="default"/>
                <w:color w:val="auto"/>
                <w:lang w:val="en-US" w:eastAsia="zh-CN"/>
              </w:rPr>
            </w:pPr>
            <w:r>
              <w:rPr>
                <w:rFonts w:hint="eastAsia"/>
                <w:color w:val="auto"/>
                <w:lang w:val="en-US" w:eastAsia="zh-CN"/>
              </w:rPr>
              <w:t>0.00748</w:t>
            </w:r>
          </w:p>
        </w:tc>
        <w:tc>
          <w:tcPr>
            <w:tcW w:w="1076" w:type="dxa"/>
            <w:shd w:val="clear" w:color="auto" w:fill="auto"/>
            <w:vAlign w:val="center"/>
          </w:tcPr>
          <w:p w14:paraId="485753A8">
            <w:pPr>
              <w:pStyle w:val="30"/>
              <w:widowControl w:val="0"/>
              <w:bidi w:val="0"/>
              <w:rPr>
                <w:rFonts w:hint="eastAsia"/>
                <w:color w:val="auto"/>
                <w:lang w:val="en-US" w:eastAsia="en-US"/>
              </w:rPr>
            </w:pPr>
            <w:r>
              <w:rPr>
                <w:rFonts w:hint="eastAsia"/>
                <w:color w:val="auto"/>
                <w:lang w:val="en-US" w:eastAsia="zh-CN"/>
              </w:rPr>
              <w:t>0.002992</w:t>
            </w:r>
          </w:p>
        </w:tc>
        <w:tc>
          <w:tcPr>
            <w:tcW w:w="1632" w:type="dxa"/>
            <w:vAlign w:val="center"/>
          </w:tcPr>
          <w:p w14:paraId="24D2E18D">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7EFFDB1E">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7D0DF162">
            <w:pPr>
              <w:pStyle w:val="30"/>
              <w:widowControl w:val="0"/>
              <w:bidi w:val="0"/>
              <w:rPr>
                <w:rFonts w:hint="default"/>
                <w:color w:val="auto"/>
                <w:lang w:val="en-US" w:eastAsia="en-US"/>
              </w:rPr>
            </w:pPr>
            <w:r>
              <w:rPr>
                <w:rFonts w:hint="default"/>
                <w:color w:val="auto"/>
                <w:lang w:val="en-US" w:eastAsia="zh-CN"/>
              </w:rPr>
              <w:t>0.002992</w:t>
            </w:r>
          </w:p>
        </w:tc>
        <w:tc>
          <w:tcPr>
            <w:tcW w:w="1622" w:type="dxa"/>
            <w:shd w:val="clear" w:color="auto" w:fill="auto"/>
            <w:vAlign w:val="center"/>
          </w:tcPr>
          <w:p w14:paraId="52C1B3E9">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738B45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DE4663F">
            <w:pPr>
              <w:pStyle w:val="30"/>
              <w:widowControl w:val="0"/>
              <w:bidi w:val="0"/>
              <w:rPr>
                <w:color w:val="auto"/>
                <w:lang w:val="en-US" w:eastAsia="en-US"/>
              </w:rPr>
            </w:pPr>
          </w:p>
        </w:tc>
        <w:tc>
          <w:tcPr>
            <w:tcW w:w="814" w:type="dxa"/>
            <w:vMerge w:val="continue"/>
            <w:shd w:val="clear" w:color="auto" w:fill="auto"/>
            <w:vAlign w:val="center"/>
          </w:tcPr>
          <w:p w14:paraId="77779644">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3E7161C4">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sz w:val="21"/>
                <w:szCs w:val="21"/>
              </w:rPr>
              <w:t>盐酸（37%）</w:t>
            </w:r>
          </w:p>
        </w:tc>
        <w:tc>
          <w:tcPr>
            <w:tcW w:w="1488" w:type="dxa"/>
            <w:shd w:val="clear" w:color="auto" w:fill="auto"/>
            <w:vAlign w:val="center"/>
          </w:tcPr>
          <w:p w14:paraId="65975383">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647-01-0</w:t>
            </w:r>
          </w:p>
        </w:tc>
        <w:tc>
          <w:tcPr>
            <w:tcW w:w="1114" w:type="dxa"/>
            <w:shd w:val="clear" w:color="auto" w:fill="auto"/>
            <w:vAlign w:val="center"/>
          </w:tcPr>
          <w:p w14:paraId="43A86238">
            <w:pPr>
              <w:pStyle w:val="30"/>
              <w:widowControl w:val="0"/>
              <w:bidi w:val="0"/>
              <w:rPr>
                <w:rFonts w:hint="default"/>
                <w:color w:val="auto"/>
                <w:lang w:val="en-US" w:eastAsia="zh-CN"/>
              </w:rPr>
            </w:pPr>
            <w:r>
              <w:rPr>
                <w:rFonts w:hint="eastAsia"/>
                <w:color w:val="auto"/>
                <w:lang w:val="en-US" w:eastAsia="zh-CN"/>
              </w:rPr>
              <w:t>7.5</w:t>
            </w:r>
          </w:p>
        </w:tc>
        <w:tc>
          <w:tcPr>
            <w:tcW w:w="1575" w:type="dxa"/>
            <w:vAlign w:val="center"/>
          </w:tcPr>
          <w:p w14:paraId="09CB55BE">
            <w:pPr>
              <w:pStyle w:val="30"/>
              <w:widowControl w:val="0"/>
              <w:bidi w:val="0"/>
              <w:rPr>
                <w:rFonts w:hint="default"/>
                <w:color w:val="auto"/>
                <w:lang w:val="en-US" w:eastAsia="zh-CN"/>
              </w:rPr>
            </w:pPr>
            <w:r>
              <w:rPr>
                <w:rFonts w:hint="eastAsia"/>
                <w:color w:val="auto"/>
                <w:lang w:val="en-US" w:eastAsia="zh-CN"/>
              </w:rPr>
              <w:t>1.7612</w:t>
            </w:r>
          </w:p>
        </w:tc>
        <w:tc>
          <w:tcPr>
            <w:tcW w:w="1076" w:type="dxa"/>
            <w:shd w:val="clear" w:color="auto" w:fill="auto"/>
            <w:vAlign w:val="center"/>
          </w:tcPr>
          <w:p w14:paraId="366EAA52">
            <w:pPr>
              <w:pStyle w:val="30"/>
              <w:widowControl w:val="0"/>
              <w:bidi w:val="0"/>
              <w:rPr>
                <w:rFonts w:hint="eastAsia"/>
                <w:color w:val="auto"/>
                <w:lang w:val="en-US" w:eastAsia="en-US"/>
              </w:rPr>
            </w:pPr>
            <w:r>
              <w:rPr>
                <w:rFonts w:hint="eastAsia"/>
                <w:color w:val="auto"/>
                <w:lang w:val="en-US" w:eastAsia="zh-CN"/>
              </w:rPr>
              <w:t>0.234826667</w:t>
            </w:r>
          </w:p>
        </w:tc>
        <w:tc>
          <w:tcPr>
            <w:tcW w:w="1632" w:type="dxa"/>
            <w:vAlign w:val="center"/>
          </w:tcPr>
          <w:p w14:paraId="6495188F">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7B917788">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09CD891D">
            <w:pPr>
              <w:pStyle w:val="30"/>
              <w:widowControl w:val="0"/>
              <w:bidi w:val="0"/>
              <w:rPr>
                <w:rFonts w:hint="default"/>
                <w:color w:val="auto"/>
                <w:lang w:val="en-US" w:eastAsia="en-US"/>
              </w:rPr>
            </w:pPr>
            <w:r>
              <w:rPr>
                <w:rFonts w:hint="default"/>
                <w:color w:val="auto"/>
                <w:lang w:val="en-US" w:eastAsia="zh-CN"/>
              </w:rPr>
              <w:t>0.234826667</w:t>
            </w:r>
          </w:p>
        </w:tc>
        <w:tc>
          <w:tcPr>
            <w:tcW w:w="1622" w:type="dxa"/>
            <w:shd w:val="clear" w:color="auto" w:fill="auto"/>
            <w:vAlign w:val="center"/>
          </w:tcPr>
          <w:p w14:paraId="2635CDD1">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033C1E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23385B6A">
            <w:pPr>
              <w:pStyle w:val="30"/>
              <w:widowControl w:val="0"/>
              <w:bidi w:val="0"/>
              <w:rPr>
                <w:color w:val="auto"/>
                <w:lang w:val="en-US" w:eastAsia="en-US"/>
              </w:rPr>
            </w:pPr>
          </w:p>
        </w:tc>
        <w:tc>
          <w:tcPr>
            <w:tcW w:w="814" w:type="dxa"/>
            <w:vMerge w:val="continue"/>
            <w:shd w:val="clear" w:color="auto" w:fill="auto"/>
            <w:vAlign w:val="center"/>
          </w:tcPr>
          <w:p w14:paraId="02E3A1B3">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19C6D9D9">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三氯氧磷</w:t>
            </w:r>
          </w:p>
        </w:tc>
        <w:tc>
          <w:tcPr>
            <w:tcW w:w="1488" w:type="dxa"/>
            <w:shd w:val="clear" w:color="auto" w:fill="auto"/>
            <w:vAlign w:val="center"/>
          </w:tcPr>
          <w:p w14:paraId="5B62D106">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10025-87-3</w:t>
            </w:r>
          </w:p>
        </w:tc>
        <w:tc>
          <w:tcPr>
            <w:tcW w:w="1114" w:type="dxa"/>
            <w:vAlign w:val="center"/>
          </w:tcPr>
          <w:p w14:paraId="4BC56498">
            <w:pPr>
              <w:pStyle w:val="30"/>
              <w:widowControl w:val="0"/>
              <w:bidi w:val="0"/>
              <w:rPr>
                <w:rFonts w:hint="default"/>
                <w:color w:val="auto"/>
                <w:lang w:val="en-US" w:eastAsia="zh-CN"/>
              </w:rPr>
            </w:pPr>
            <w:r>
              <w:rPr>
                <w:rFonts w:hint="eastAsia"/>
                <w:color w:val="auto"/>
                <w:lang w:val="en-US" w:eastAsia="zh-CN"/>
              </w:rPr>
              <w:t>2.5</w:t>
            </w:r>
          </w:p>
        </w:tc>
        <w:tc>
          <w:tcPr>
            <w:tcW w:w="1575" w:type="dxa"/>
            <w:vAlign w:val="center"/>
          </w:tcPr>
          <w:p w14:paraId="41B4FCA8">
            <w:pPr>
              <w:pStyle w:val="30"/>
              <w:widowControl w:val="0"/>
              <w:bidi w:val="0"/>
              <w:rPr>
                <w:rFonts w:hint="default"/>
                <w:color w:val="auto"/>
                <w:lang w:val="en-US" w:eastAsia="zh-CN"/>
              </w:rPr>
            </w:pPr>
            <w:r>
              <w:rPr>
                <w:rFonts w:hint="eastAsia"/>
                <w:color w:val="auto"/>
                <w:lang w:val="en-US" w:eastAsia="zh-CN"/>
              </w:rPr>
              <w:t>0.088</w:t>
            </w:r>
          </w:p>
        </w:tc>
        <w:tc>
          <w:tcPr>
            <w:tcW w:w="1076" w:type="dxa"/>
            <w:shd w:val="clear" w:color="auto" w:fill="auto"/>
            <w:vAlign w:val="center"/>
          </w:tcPr>
          <w:p w14:paraId="302D9D1D">
            <w:pPr>
              <w:pStyle w:val="30"/>
              <w:widowControl w:val="0"/>
              <w:bidi w:val="0"/>
              <w:rPr>
                <w:rFonts w:hint="eastAsia"/>
                <w:color w:val="auto"/>
                <w:lang w:val="en-US" w:eastAsia="en-US"/>
              </w:rPr>
            </w:pPr>
            <w:r>
              <w:rPr>
                <w:rFonts w:hint="eastAsia"/>
                <w:color w:val="auto"/>
                <w:lang w:val="en-US" w:eastAsia="zh-CN"/>
              </w:rPr>
              <w:t>0.0352</w:t>
            </w:r>
          </w:p>
        </w:tc>
        <w:tc>
          <w:tcPr>
            <w:tcW w:w="1632" w:type="dxa"/>
            <w:vAlign w:val="center"/>
          </w:tcPr>
          <w:p w14:paraId="28A0B0CD">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38417162">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14B37A90">
            <w:pPr>
              <w:pStyle w:val="30"/>
              <w:widowControl w:val="0"/>
              <w:bidi w:val="0"/>
              <w:rPr>
                <w:rFonts w:hint="default"/>
                <w:color w:val="auto"/>
                <w:lang w:val="en-US" w:eastAsia="en-US"/>
              </w:rPr>
            </w:pPr>
            <w:r>
              <w:rPr>
                <w:rFonts w:hint="default"/>
                <w:color w:val="auto"/>
                <w:lang w:val="en-US" w:eastAsia="zh-CN"/>
              </w:rPr>
              <w:t>0.0352</w:t>
            </w:r>
          </w:p>
        </w:tc>
        <w:tc>
          <w:tcPr>
            <w:tcW w:w="1622" w:type="dxa"/>
            <w:shd w:val="clear" w:color="auto" w:fill="auto"/>
            <w:vAlign w:val="center"/>
          </w:tcPr>
          <w:p w14:paraId="5A11E113">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543091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19CD03AB">
            <w:pPr>
              <w:pStyle w:val="30"/>
              <w:widowControl w:val="0"/>
              <w:bidi w:val="0"/>
              <w:rPr>
                <w:color w:val="auto"/>
                <w:lang w:val="en-US" w:eastAsia="en-US"/>
              </w:rPr>
            </w:pPr>
          </w:p>
        </w:tc>
        <w:tc>
          <w:tcPr>
            <w:tcW w:w="814" w:type="dxa"/>
            <w:vMerge w:val="continue"/>
            <w:shd w:val="clear" w:color="auto" w:fill="auto"/>
            <w:vAlign w:val="center"/>
          </w:tcPr>
          <w:p w14:paraId="1EB3B909">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405214CF">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氢氟酸</w:t>
            </w:r>
            <w:r>
              <w:rPr>
                <w:sz w:val="21"/>
                <w:szCs w:val="21"/>
              </w:rPr>
              <w:t>（40%）</w:t>
            </w:r>
          </w:p>
        </w:tc>
        <w:tc>
          <w:tcPr>
            <w:tcW w:w="1488" w:type="dxa"/>
            <w:shd w:val="clear" w:color="auto" w:fill="auto"/>
            <w:vAlign w:val="center"/>
          </w:tcPr>
          <w:p w14:paraId="46DA036B">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7664-39-3</w:t>
            </w:r>
          </w:p>
        </w:tc>
        <w:tc>
          <w:tcPr>
            <w:tcW w:w="1114" w:type="dxa"/>
            <w:vAlign w:val="center"/>
          </w:tcPr>
          <w:p w14:paraId="6FDDDB38">
            <w:pPr>
              <w:pStyle w:val="30"/>
              <w:widowControl w:val="0"/>
              <w:bidi w:val="0"/>
              <w:rPr>
                <w:rFonts w:hint="eastAsia"/>
                <w:color w:val="auto"/>
                <w:lang w:val="en-US" w:eastAsia="zh-CN"/>
              </w:rPr>
            </w:pPr>
            <w:r>
              <w:rPr>
                <w:rFonts w:hint="eastAsia"/>
                <w:color w:val="auto"/>
                <w:lang w:val="en-US" w:eastAsia="zh-CN"/>
              </w:rPr>
              <w:t>1</w:t>
            </w:r>
          </w:p>
        </w:tc>
        <w:tc>
          <w:tcPr>
            <w:tcW w:w="1575" w:type="dxa"/>
            <w:vAlign w:val="center"/>
          </w:tcPr>
          <w:p w14:paraId="484F7D4C">
            <w:pPr>
              <w:pStyle w:val="30"/>
              <w:widowControl w:val="0"/>
              <w:bidi w:val="0"/>
              <w:rPr>
                <w:rFonts w:hint="default"/>
                <w:color w:val="auto"/>
                <w:lang w:val="en-US" w:eastAsia="zh-CN"/>
              </w:rPr>
            </w:pPr>
            <w:r>
              <w:rPr>
                <w:rFonts w:hint="eastAsia"/>
                <w:color w:val="auto"/>
                <w:lang w:val="en-US" w:eastAsia="zh-CN"/>
              </w:rPr>
              <w:t>4.6</w:t>
            </w:r>
          </w:p>
        </w:tc>
        <w:tc>
          <w:tcPr>
            <w:tcW w:w="1076" w:type="dxa"/>
            <w:shd w:val="clear" w:color="auto" w:fill="auto"/>
            <w:vAlign w:val="center"/>
          </w:tcPr>
          <w:p w14:paraId="78F491A2">
            <w:pPr>
              <w:pStyle w:val="30"/>
              <w:widowControl w:val="0"/>
              <w:bidi w:val="0"/>
              <w:rPr>
                <w:rFonts w:hint="eastAsia"/>
                <w:color w:val="auto"/>
                <w:lang w:val="en-US" w:eastAsia="en-US"/>
              </w:rPr>
            </w:pPr>
            <w:r>
              <w:rPr>
                <w:rFonts w:hint="eastAsia"/>
                <w:color w:val="auto"/>
                <w:lang w:val="en-US" w:eastAsia="zh-CN"/>
              </w:rPr>
              <w:t>4.6</w:t>
            </w:r>
          </w:p>
        </w:tc>
        <w:tc>
          <w:tcPr>
            <w:tcW w:w="1632" w:type="dxa"/>
            <w:vAlign w:val="center"/>
          </w:tcPr>
          <w:p w14:paraId="442384B2">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3DC49007">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44B941D7">
            <w:pPr>
              <w:pStyle w:val="30"/>
              <w:widowControl w:val="0"/>
              <w:bidi w:val="0"/>
              <w:rPr>
                <w:rFonts w:hint="default"/>
                <w:color w:val="auto"/>
                <w:lang w:val="en-US" w:eastAsia="en-US"/>
              </w:rPr>
            </w:pPr>
            <w:r>
              <w:rPr>
                <w:rFonts w:hint="default"/>
                <w:color w:val="auto"/>
                <w:lang w:val="en-US" w:eastAsia="zh-CN"/>
              </w:rPr>
              <w:t>4.6</w:t>
            </w:r>
          </w:p>
        </w:tc>
        <w:tc>
          <w:tcPr>
            <w:tcW w:w="1622" w:type="dxa"/>
            <w:shd w:val="clear" w:color="auto" w:fill="auto"/>
            <w:vAlign w:val="center"/>
          </w:tcPr>
          <w:p w14:paraId="2114C54C">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054485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64E95E7">
            <w:pPr>
              <w:pStyle w:val="30"/>
              <w:widowControl w:val="0"/>
              <w:bidi w:val="0"/>
              <w:rPr>
                <w:color w:val="auto"/>
                <w:lang w:val="en-US" w:eastAsia="en-US"/>
              </w:rPr>
            </w:pPr>
          </w:p>
        </w:tc>
        <w:tc>
          <w:tcPr>
            <w:tcW w:w="814" w:type="dxa"/>
            <w:vMerge w:val="continue"/>
            <w:shd w:val="clear" w:color="auto" w:fill="auto"/>
            <w:vAlign w:val="center"/>
          </w:tcPr>
          <w:p w14:paraId="3D43663D">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387F1DB6">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三甲基铝</w:t>
            </w:r>
          </w:p>
        </w:tc>
        <w:tc>
          <w:tcPr>
            <w:tcW w:w="1488" w:type="dxa"/>
            <w:shd w:val="clear" w:color="auto" w:fill="auto"/>
            <w:vAlign w:val="center"/>
          </w:tcPr>
          <w:p w14:paraId="6F64C543">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75-24-1</w:t>
            </w:r>
          </w:p>
        </w:tc>
        <w:tc>
          <w:tcPr>
            <w:tcW w:w="1114" w:type="dxa"/>
            <w:vAlign w:val="center"/>
          </w:tcPr>
          <w:p w14:paraId="1CF565B9">
            <w:pPr>
              <w:pStyle w:val="30"/>
              <w:widowControl w:val="0"/>
              <w:bidi w:val="0"/>
              <w:rPr>
                <w:rFonts w:hint="default"/>
                <w:color w:val="auto"/>
                <w:lang w:val="en-US" w:eastAsia="zh-CN"/>
              </w:rPr>
            </w:pPr>
            <w:r>
              <w:rPr>
                <w:rFonts w:hint="eastAsia"/>
                <w:color w:val="auto"/>
                <w:lang w:val="en-US" w:eastAsia="zh-CN"/>
              </w:rPr>
              <w:t>50</w:t>
            </w:r>
          </w:p>
        </w:tc>
        <w:tc>
          <w:tcPr>
            <w:tcW w:w="1575" w:type="dxa"/>
            <w:vAlign w:val="center"/>
          </w:tcPr>
          <w:p w14:paraId="1E0367B7">
            <w:pPr>
              <w:pStyle w:val="30"/>
              <w:widowControl w:val="0"/>
              <w:bidi w:val="0"/>
              <w:rPr>
                <w:rFonts w:hint="default"/>
                <w:color w:val="auto"/>
                <w:lang w:val="en-US" w:eastAsia="zh-CN"/>
              </w:rPr>
            </w:pPr>
            <w:r>
              <w:rPr>
                <w:rFonts w:hint="eastAsia"/>
                <w:color w:val="auto"/>
                <w:lang w:val="en-US" w:eastAsia="zh-CN"/>
              </w:rPr>
              <w:t>0.06</w:t>
            </w:r>
          </w:p>
        </w:tc>
        <w:tc>
          <w:tcPr>
            <w:tcW w:w="1076" w:type="dxa"/>
            <w:shd w:val="clear" w:color="auto" w:fill="auto"/>
            <w:vAlign w:val="center"/>
          </w:tcPr>
          <w:p w14:paraId="221C2C02">
            <w:pPr>
              <w:pStyle w:val="30"/>
              <w:widowControl w:val="0"/>
              <w:bidi w:val="0"/>
              <w:rPr>
                <w:rFonts w:hint="eastAsia"/>
                <w:color w:val="auto"/>
                <w:lang w:val="en-US" w:eastAsia="en-US"/>
              </w:rPr>
            </w:pPr>
            <w:r>
              <w:rPr>
                <w:rFonts w:hint="eastAsia"/>
                <w:color w:val="auto"/>
                <w:lang w:val="en-US" w:eastAsia="zh-CN"/>
              </w:rPr>
              <w:t>0.0012</w:t>
            </w:r>
          </w:p>
        </w:tc>
        <w:tc>
          <w:tcPr>
            <w:tcW w:w="1632" w:type="dxa"/>
            <w:vAlign w:val="center"/>
          </w:tcPr>
          <w:p w14:paraId="5457D2EF">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0FBA868F">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4AE9F585">
            <w:pPr>
              <w:pStyle w:val="30"/>
              <w:widowControl w:val="0"/>
              <w:bidi w:val="0"/>
              <w:rPr>
                <w:rFonts w:hint="default"/>
                <w:color w:val="auto"/>
                <w:lang w:val="en-US" w:eastAsia="en-US"/>
              </w:rPr>
            </w:pPr>
            <w:r>
              <w:rPr>
                <w:rFonts w:hint="default"/>
                <w:color w:val="auto"/>
                <w:lang w:val="en-US" w:eastAsia="zh-CN"/>
              </w:rPr>
              <w:t>0.0012</w:t>
            </w:r>
          </w:p>
        </w:tc>
        <w:tc>
          <w:tcPr>
            <w:tcW w:w="1622" w:type="dxa"/>
            <w:shd w:val="clear" w:color="auto" w:fill="auto"/>
            <w:vAlign w:val="center"/>
          </w:tcPr>
          <w:p w14:paraId="193731D7">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386CE8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475E9FF3">
            <w:pPr>
              <w:pStyle w:val="30"/>
              <w:widowControl w:val="0"/>
              <w:bidi w:val="0"/>
              <w:rPr>
                <w:rFonts w:hint="default" w:eastAsia="宋体"/>
                <w:color w:val="auto"/>
                <w:lang w:val="en-US" w:eastAsia="zh-CN"/>
              </w:rPr>
            </w:pPr>
          </w:p>
        </w:tc>
        <w:tc>
          <w:tcPr>
            <w:tcW w:w="814" w:type="dxa"/>
            <w:vMerge w:val="continue"/>
            <w:shd w:val="clear" w:color="auto" w:fill="auto"/>
            <w:vAlign w:val="center"/>
          </w:tcPr>
          <w:p w14:paraId="474C47B0">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795F932B">
            <w:pPr>
              <w:pStyle w:val="30"/>
              <w:widowControl w:val="0"/>
              <w:bidi w:val="0"/>
              <w:ind w:firstLine="0" w:firstLineChars="0"/>
              <w:rPr>
                <w:color w:val="auto"/>
                <w:lang w:val="en-US" w:eastAsia="en-US"/>
              </w:rPr>
            </w:pPr>
            <w:r>
              <w:rPr>
                <w:color w:val="auto"/>
                <w:lang w:val="en-US" w:eastAsia="en-US"/>
              </w:rPr>
              <w:t>银</w:t>
            </w:r>
            <w:r>
              <w:rPr>
                <w:rFonts w:hint="eastAsia"/>
                <w:color w:val="auto"/>
                <w:lang w:val="en-US" w:eastAsia="zh-CN"/>
              </w:rPr>
              <w:t>及其化合物（以银计）</w:t>
            </w:r>
          </w:p>
        </w:tc>
        <w:tc>
          <w:tcPr>
            <w:tcW w:w="1488" w:type="dxa"/>
            <w:vAlign w:val="center"/>
          </w:tcPr>
          <w:p w14:paraId="4DA2C0FF">
            <w:pPr>
              <w:pStyle w:val="30"/>
              <w:widowControl w:val="0"/>
              <w:bidi w:val="0"/>
              <w:rPr>
                <w:color w:val="auto"/>
                <w:lang w:val="en-US" w:eastAsia="en-US"/>
              </w:rPr>
            </w:pPr>
            <w:r>
              <w:rPr>
                <w:color w:val="auto"/>
                <w:lang w:val="en-US" w:eastAsia="en-US"/>
              </w:rPr>
              <w:t>/</w:t>
            </w:r>
          </w:p>
        </w:tc>
        <w:tc>
          <w:tcPr>
            <w:tcW w:w="1114" w:type="dxa"/>
            <w:vAlign w:val="center"/>
          </w:tcPr>
          <w:p w14:paraId="420FCAE7">
            <w:pPr>
              <w:pStyle w:val="30"/>
              <w:widowControl w:val="0"/>
              <w:bidi w:val="0"/>
              <w:rPr>
                <w:rFonts w:hint="default"/>
                <w:color w:val="auto"/>
                <w:lang w:val="en-US" w:eastAsia="zh-CN"/>
              </w:rPr>
            </w:pPr>
            <w:r>
              <w:rPr>
                <w:rFonts w:hint="eastAsia"/>
                <w:color w:val="auto"/>
                <w:lang w:val="en-US" w:eastAsia="zh-CN"/>
              </w:rPr>
              <w:t>0.25</w:t>
            </w:r>
          </w:p>
        </w:tc>
        <w:tc>
          <w:tcPr>
            <w:tcW w:w="1575" w:type="dxa"/>
            <w:vAlign w:val="center"/>
          </w:tcPr>
          <w:p w14:paraId="5E960280">
            <w:pPr>
              <w:pStyle w:val="30"/>
              <w:widowControl w:val="0"/>
              <w:bidi w:val="0"/>
              <w:rPr>
                <w:rFonts w:hint="eastAsia"/>
                <w:color w:val="auto"/>
                <w:lang w:val="en-US" w:eastAsia="en-US"/>
              </w:rPr>
            </w:pPr>
            <w:r>
              <w:rPr>
                <w:rFonts w:hint="eastAsia"/>
                <w:color w:val="auto"/>
                <w:lang w:val="en-US" w:eastAsia="zh-CN"/>
              </w:rPr>
              <w:t>0.075</w:t>
            </w:r>
          </w:p>
        </w:tc>
        <w:tc>
          <w:tcPr>
            <w:tcW w:w="1076" w:type="dxa"/>
            <w:shd w:val="clear" w:color="auto" w:fill="auto"/>
            <w:vAlign w:val="center"/>
          </w:tcPr>
          <w:p w14:paraId="319795DF">
            <w:pPr>
              <w:pStyle w:val="30"/>
              <w:widowControl w:val="0"/>
              <w:bidi w:val="0"/>
              <w:rPr>
                <w:rFonts w:hint="eastAsia"/>
                <w:color w:val="auto"/>
                <w:lang w:val="en-US" w:eastAsia="en-US"/>
              </w:rPr>
            </w:pPr>
            <w:r>
              <w:rPr>
                <w:rFonts w:hint="eastAsia"/>
                <w:color w:val="auto"/>
                <w:lang w:val="en-US" w:eastAsia="zh-CN"/>
              </w:rPr>
              <w:t>0.3</w:t>
            </w:r>
          </w:p>
        </w:tc>
        <w:tc>
          <w:tcPr>
            <w:tcW w:w="1632" w:type="dxa"/>
            <w:vAlign w:val="center"/>
          </w:tcPr>
          <w:p w14:paraId="42921FDD">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30B62726">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4960A164">
            <w:pPr>
              <w:pStyle w:val="30"/>
              <w:widowControl w:val="0"/>
              <w:bidi w:val="0"/>
              <w:rPr>
                <w:rFonts w:hint="default"/>
                <w:color w:val="auto"/>
                <w:lang w:val="en-US" w:eastAsia="en-US"/>
              </w:rPr>
            </w:pPr>
            <w:r>
              <w:rPr>
                <w:rFonts w:hint="default"/>
                <w:color w:val="auto"/>
                <w:lang w:val="en-US" w:eastAsia="zh-CN"/>
              </w:rPr>
              <w:t>0.3</w:t>
            </w:r>
          </w:p>
        </w:tc>
        <w:tc>
          <w:tcPr>
            <w:tcW w:w="1622" w:type="dxa"/>
            <w:shd w:val="clear" w:color="auto" w:fill="auto"/>
            <w:vAlign w:val="center"/>
          </w:tcPr>
          <w:p w14:paraId="49B01D46">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185398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4BF884C1">
            <w:pPr>
              <w:pStyle w:val="30"/>
              <w:widowControl w:val="0"/>
              <w:bidi w:val="0"/>
              <w:rPr>
                <w:rFonts w:hint="default" w:eastAsia="宋体"/>
                <w:color w:val="auto"/>
                <w:lang w:val="en-US" w:eastAsia="zh-CN"/>
              </w:rPr>
            </w:pPr>
          </w:p>
        </w:tc>
        <w:tc>
          <w:tcPr>
            <w:tcW w:w="814" w:type="dxa"/>
            <w:vMerge w:val="continue"/>
            <w:shd w:val="clear" w:color="auto" w:fill="auto"/>
            <w:vAlign w:val="center"/>
          </w:tcPr>
          <w:p w14:paraId="1D05EDBB">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44872289">
            <w:pPr>
              <w:pStyle w:val="30"/>
              <w:widowControl w:val="0"/>
              <w:bidi w:val="0"/>
              <w:ind w:firstLine="0" w:firstLineChars="0"/>
              <w:rPr>
                <w:rFonts w:hint="eastAsia" w:eastAsia="宋体"/>
                <w:color w:val="auto"/>
                <w:lang w:val="en-US" w:eastAsia="zh-CN"/>
              </w:rPr>
            </w:pPr>
            <w:r>
              <w:rPr>
                <w:rFonts w:hint="eastAsia"/>
                <w:color w:val="auto"/>
                <w:lang w:val="en-US" w:eastAsia="zh-CN"/>
              </w:rPr>
              <w:t>双氧水</w:t>
            </w:r>
            <w:r>
              <w:rPr>
                <w:sz w:val="21"/>
                <w:szCs w:val="21"/>
              </w:rPr>
              <w:t>（35%）</w:t>
            </w:r>
          </w:p>
        </w:tc>
        <w:tc>
          <w:tcPr>
            <w:tcW w:w="1488" w:type="dxa"/>
            <w:vAlign w:val="center"/>
          </w:tcPr>
          <w:p w14:paraId="77C131D5">
            <w:pPr>
              <w:pStyle w:val="30"/>
              <w:widowControl w:val="0"/>
              <w:bidi w:val="0"/>
              <w:rPr>
                <w:color w:val="auto"/>
                <w:lang w:val="en-US" w:eastAsia="en-US"/>
              </w:rPr>
            </w:pPr>
            <w:r>
              <w:rPr>
                <w:color w:val="auto"/>
                <w:lang w:val="en-US" w:eastAsia="en-US"/>
              </w:rPr>
              <w:t>7722-84-1</w:t>
            </w:r>
          </w:p>
        </w:tc>
        <w:tc>
          <w:tcPr>
            <w:tcW w:w="1114" w:type="dxa"/>
            <w:vAlign w:val="center"/>
          </w:tcPr>
          <w:p w14:paraId="6E4F8CB1">
            <w:pPr>
              <w:pStyle w:val="30"/>
              <w:widowControl w:val="0"/>
              <w:bidi w:val="0"/>
              <w:rPr>
                <w:rFonts w:hint="default"/>
                <w:color w:val="auto"/>
                <w:lang w:val="en-US" w:eastAsia="zh-CN"/>
              </w:rPr>
            </w:pPr>
            <w:r>
              <w:rPr>
                <w:rFonts w:hint="eastAsia"/>
                <w:color w:val="auto"/>
                <w:lang w:val="en-US" w:eastAsia="zh-CN"/>
              </w:rPr>
              <w:t>50</w:t>
            </w:r>
          </w:p>
        </w:tc>
        <w:tc>
          <w:tcPr>
            <w:tcW w:w="1575" w:type="dxa"/>
            <w:vAlign w:val="center"/>
          </w:tcPr>
          <w:p w14:paraId="2F76CF65">
            <w:pPr>
              <w:pStyle w:val="30"/>
              <w:widowControl w:val="0"/>
              <w:bidi w:val="0"/>
              <w:rPr>
                <w:rFonts w:hint="default"/>
                <w:color w:val="auto"/>
                <w:lang w:val="en-US" w:eastAsia="zh-CN"/>
              </w:rPr>
            </w:pPr>
            <w:r>
              <w:rPr>
                <w:rFonts w:hint="eastAsia"/>
                <w:color w:val="auto"/>
                <w:lang w:val="en-US" w:eastAsia="zh-CN"/>
              </w:rPr>
              <w:t>0.107</w:t>
            </w:r>
          </w:p>
        </w:tc>
        <w:tc>
          <w:tcPr>
            <w:tcW w:w="1076" w:type="dxa"/>
            <w:shd w:val="clear" w:color="auto" w:fill="auto"/>
            <w:vAlign w:val="center"/>
          </w:tcPr>
          <w:p w14:paraId="270A6091">
            <w:pPr>
              <w:pStyle w:val="30"/>
              <w:widowControl w:val="0"/>
              <w:bidi w:val="0"/>
              <w:rPr>
                <w:rFonts w:hint="eastAsia"/>
                <w:color w:val="auto"/>
                <w:lang w:val="en-US" w:eastAsia="en-US"/>
              </w:rPr>
            </w:pPr>
            <w:r>
              <w:rPr>
                <w:rFonts w:hint="eastAsia"/>
                <w:color w:val="auto"/>
                <w:lang w:val="en-US" w:eastAsia="zh-CN"/>
              </w:rPr>
              <w:t>0.00214</w:t>
            </w:r>
          </w:p>
        </w:tc>
        <w:tc>
          <w:tcPr>
            <w:tcW w:w="1632" w:type="dxa"/>
            <w:vAlign w:val="center"/>
          </w:tcPr>
          <w:p w14:paraId="2B557D14">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4A5781BB">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1A423484">
            <w:pPr>
              <w:pStyle w:val="30"/>
              <w:widowControl w:val="0"/>
              <w:bidi w:val="0"/>
              <w:rPr>
                <w:rFonts w:hint="default"/>
                <w:color w:val="auto"/>
                <w:lang w:val="en-US" w:eastAsia="en-US"/>
              </w:rPr>
            </w:pPr>
            <w:r>
              <w:rPr>
                <w:rFonts w:hint="default"/>
                <w:color w:val="auto"/>
                <w:lang w:val="en-US" w:eastAsia="zh-CN"/>
              </w:rPr>
              <w:t>0.00214</w:t>
            </w:r>
          </w:p>
        </w:tc>
        <w:tc>
          <w:tcPr>
            <w:tcW w:w="1622" w:type="dxa"/>
            <w:shd w:val="clear" w:color="auto" w:fill="auto"/>
            <w:vAlign w:val="center"/>
          </w:tcPr>
          <w:p w14:paraId="5884EFB2">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6528D7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1B427AD9">
            <w:pPr>
              <w:pStyle w:val="30"/>
              <w:widowControl w:val="0"/>
              <w:bidi w:val="0"/>
              <w:rPr>
                <w:rFonts w:hint="default" w:eastAsia="宋体"/>
                <w:color w:val="auto"/>
                <w:lang w:val="en-US" w:eastAsia="zh-CN"/>
              </w:rPr>
            </w:pPr>
          </w:p>
        </w:tc>
        <w:tc>
          <w:tcPr>
            <w:tcW w:w="814" w:type="dxa"/>
            <w:shd w:val="clear" w:color="auto" w:fill="auto"/>
            <w:vAlign w:val="center"/>
          </w:tcPr>
          <w:p w14:paraId="2B90B2A4">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ascii="Times New Roman" w:hAnsi="Times New Roman" w:eastAsia="宋体" w:cs="Times New Roman"/>
                <w:color w:val="auto"/>
                <w:sz w:val="21"/>
                <w:szCs w:val="21"/>
                <w:lang w:val="en-US" w:eastAsia="zh-CN"/>
              </w:rPr>
              <w:t>网版浆料仓</w:t>
            </w:r>
          </w:p>
        </w:tc>
        <w:tc>
          <w:tcPr>
            <w:tcW w:w="1374" w:type="dxa"/>
            <w:shd w:val="clear" w:color="auto" w:fill="auto"/>
            <w:vAlign w:val="center"/>
          </w:tcPr>
          <w:p w14:paraId="1F64AB9A">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银</w:t>
            </w:r>
            <w:r>
              <w:rPr>
                <w:rFonts w:hint="eastAsia"/>
                <w:color w:val="auto"/>
                <w:lang w:val="en-US" w:eastAsia="zh-CN"/>
              </w:rPr>
              <w:t>及其化合物（以银计）</w:t>
            </w:r>
          </w:p>
        </w:tc>
        <w:tc>
          <w:tcPr>
            <w:tcW w:w="1488" w:type="dxa"/>
            <w:vAlign w:val="center"/>
          </w:tcPr>
          <w:p w14:paraId="2BA8416D">
            <w:pPr>
              <w:pStyle w:val="30"/>
              <w:widowControl w:val="0"/>
              <w:bidi w:val="0"/>
              <w:rPr>
                <w:color w:val="auto"/>
                <w:lang w:val="en-US" w:eastAsia="en-US"/>
              </w:rPr>
            </w:pPr>
            <w:r>
              <w:rPr>
                <w:color w:val="auto"/>
                <w:lang w:val="en-US" w:eastAsia="en-US"/>
              </w:rPr>
              <w:t>/</w:t>
            </w:r>
          </w:p>
        </w:tc>
        <w:tc>
          <w:tcPr>
            <w:tcW w:w="1114" w:type="dxa"/>
            <w:vAlign w:val="center"/>
          </w:tcPr>
          <w:p w14:paraId="7A95ACE4">
            <w:pPr>
              <w:pStyle w:val="30"/>
              <w:widowControl w:val="0"/>
              <w:bidi w:val="0"/>
              <w:rPr>
                <w:rFonts w:hint="eastAsia"/>
                <w:color w:val="auto"/>
                <w:lang w:val="en-US" w:eastAsia="en-US"/>
              </w:rPr>
            </w:pPr>
            <w:r>
              <w:rPr>
                <w:rFonts w:hint="eastAsia"/>
                <w:color w:val="auto"/>
                <w:lang w:val="en-US" w:eastAsia="zh-CN"/>
              </w:rPr>
              <w:t>0.25</w:t>
            </w:r>
          </w:p>
        </w:tc>
        <w:tc>
          <w:tcPr>
            <w:tcW w:w="1575" w:type="dxa"/>
            <w:vAlign w:val="center"/>
          </w:tcPr>
          <w:p w14:paraId="530DB87F">
            <w:pPr>
              <w:pStyle w:val="30"/>
              <w:widowControl w:val="0"/>
              <w:bidi w:val="0"/>
              <w:rPr>
                <w:rFonts w:hint="eastAsia"/>
                <w:color w:val="auto"/>
                <w:lang w:val="en-US" w:eastAsia="en-US"/>
              </w:rPr>
            </w:pPr>
            <w:r>
              <w:rPr>
                <w:rFonts w:hint="eastAsia"/>
                <w:color w:val="auto"/>
                <w:lang w:val="en-US" w:eastAsia="zh-CN"/>
              </w:rPr>
              <w:t>1.5</w:t>
            </w:r>
          </w:p>
        </w:tc>
        <w:tc>
          <w:tcPr>
            <w:tcW w:w="1076" w:type="dxa"/>
            <w:shd w:val="clear" w:color="auto" w:fill="auto"/>
            <w:vAlign w:val="center"/>
          </w:tcPr>
          <w:p w14:paraId="01E093D5">
            <w:pPr>
              <w:pStyle w:val="30"/>
              <w:widowControl w:val="0"/>
              <w:bidi w:val="0"/>
              <w:rPr>
                <w:rFonts w:hint="eastAsia"/>
                <w:color w:val="auto"/>
                <w:lang w:val="en-US" w:eastAsia="en-US"/>
              </w:rPr>
            </w:pPr>
            <w:r>
              <w:rPr>
                <w:rFonts w:hint="eastAsia"/>
                <w:color w:val="auto"/>
                <w:lang w:val="en-US" w:eastAsia="zh-CN"/>
              </w:rPr>
              <w:t>6</w:t>
            </w:r>
          </w:p>
        </w:tc>
        <w:tc>
          <w:tcPr>
            <w:tcW w:w="1632" w:type="dxa"/>
            <w:vAlign w:val="center"/>
          </w:tcPr>
          <w:p w14:paraId="134A6419">
            <w:pPr>
              <w:pStyle w:val="30"/>
              <w:widowControl w:val="0"/>
              <w:bidi w:val="0"/>
              <w:rPr>
                <w:rFonts w:hint="default"/>
                <w:color w:val="auto"/>
                <w:lang w:val="en-US" w:eastAsia="zh-CN"/>
              </w:rPr>
            </w:pPr>
            <w:r>
              <w:rPr>
                <w:rFonts w:hint="eastAsia"/>
                <w:color w:val="auto"/>
                <w:lang w:val="en-US" w:eastAsia="zh-CN"/>
              </w:rPr>
              <w:t>1.75</w:t>
            </w:r>
          </w:p>
        </w:tc>
        <w:tc>
          <w:tcPr>
            <w:tcW w:w="1318" w:type="dxa"/>
            <w:vAlign w:val="center"/>
          </w:tcPr>
          <w:p w14:paraId="490CFCD2">
            <w:pPr>
              <w:pStyle w:val="30"/>
              <w:widowControl w:val="0"/>
              <w:bidi w:val="0"/>
              <w:rPr>
                <w:rFonts w:hint="eastAsia"/>
                <w:color w:val="auto"/>
                <w:lang w:val="en-US" w:eastAsia="zh-CN"/>
              </w:rPr>
            </w:pPr>
            <w:r>
              <w:rPr>
                <w:rFonts w:hint="eastAsia"/>
                <w:color w:val="auto"/>
                <w:lang w:val="en-US" w:eastAsia="zh-CN"/>
              </w:rPr>
              <w:t>7</w:t>
            </w:r>
          </w:p>
        </w:tc>
        <w:tc>
          <w:tcPr>
            <w:tcW w:w="1473" w:type="dxa"/>
            <w:shd w:val="clear" w:color="auto" w:fill="auto"/>
            <w:vAlign w:val="center"/>
          </w:tcPr>
          <w:p w14:paraId="34DC3688">
            <w:pPr>
              <w:pStyle w:val="30"/>
              <w:widowControl w:val="0"/>
              <w:bidi w:val="0"/>
              <w:rPr>
                <w:rFonts w:hint="default"/>
                <w:color w:val="auto"/>
                <w:lang w:val="en-US" w:eastAsia="en-US"/>
              </w:rPr>
            </w:pPr>
            <w:r>
              <w:rPr>
                <w:rFonts w:hint="default"/>
                <w:color w:val="auto"/>
                <w:lang w:val="en-US" w:eastAsia="zh-CN"/>
              </w:rPr>
              <w:t>13</w:t>
            </w:r>
          </w:p>
        </w:tc>
        <w:tc>
          <w:tcPr>
            <w:tcW w:w="1622" w:type="dxa"/>
            <w:shd w:val="clear" w:color="auto" w:fill="auto"/>
            <w:vAlign w:val="center"/>
          </w:tcPr>
          <w:p w14:paraId="68F6E8BA">
            <w:pPr>
              <w:pStyle w:val="30"/>
              <w:widowControl w:val="0"/>
              <w:bidi w:val="0"/>
              <w:rPr>
                <w:rFonts w:hint="eastAsia"/>
                <w:color w:val="auto"/>
                <w:lang w:val="en-US" w:eastAsia="zh-CN"/>
              </w:rPr>
            </w:pPr>
            <w:r>
              <w:rPr>
                <w:rFonts w:hint="default"/>
                <w:color w:val="auto"/>
                <w:lang w:val="en-US" w:eastAsia="zh-CN"/>
              </w:rPr>
              <w:t>7</w:t>
            </w:r>
          </w:p>
        </w:tc>
      </w:tr>
      <w:tr w14:paraId="279594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E80F8F1">
            <w:pPr>
              <w:pStyle w:val="30"/>
              <w:widowControl w:val="0"/>
              <w:bidi w:val="0"/>
              <w:rPr>
                <w:rFonts w:hint="default" w:eastAsia="宋体"/>
                <w:color w:val="auto"/>
                <w:lang w:val="en-US" w:eastAsia="zh-CN"/>
              </w:rPr>
            </w:pPr>
          </w:p>
        </w:tc>
        <w:tc>
          <w:tcPr>
            <w:tcW w:w="814" w:type="dxa"/>
            <w:shd w:val="clear" w:color="auto" w:fill="auto"/>
            <w:vAlign w:val="center"/>
          </w:tcPr>
          <w:p w14:paraId="0A49A2F8">
            <w:pPr>
              <w:pStyle w:val="30"/>
              <w:widowControl w:val="0"/>
              <w:bidi w:val="0"/>
              <w:ind w:firstLine="0" w:firstLineChars="0"/>
              <w:rPr>
                <w:rFonts w:hint="eastAsia"/>
                <w:sz w:val="21"/>
                <w:szCs w:val="21"/>
                <w:lang w:val="en-US" w:eastAsia="zh-CN"/>
              </w:rPr>
            </w:pPr>
            <w:r>
              <w:rPr>
                <w:rFonts w:hint="eastAsia" w:cs="宋体"/>
                <w:b w:val="0"/>
                <w:color w:val="auto"/>
                <w:kern w:val="0"/>
                <w:sz w:val="21"/>
                <w:szCs w:val="21"/>
                <w:lang w:val="en-US" w:eastAsia="zh-CN" w:bidi="ar-SA"/>
              </w:rPr>
              <w:t>电池车间2</w:t>
            </w:r>
            <w:r>
              <w:rPr>
                <w:rFonts w:hint="default"/>
                <w:sz w:val="21"/>
                <w:szCs w:val="21"/>
                <w:lang w:val="en-US" w:eastAsia="en-US"/>
              </w:rPr>
              <w:t>三氯化硼暂存区</w:t>
            </w:r>
          </w:p>
        </w:tc>
        <w:tc>
          <w:tcPr>
            <w:tcW w:w="1374" w:type="dxa"/>
            <w:shd w:val="clear" w:color="auto" w:fill="auto"/>
            <w:vAlign w:val="center"/>
          </w:tcPr>
          <w:p w14:paraId="2AB13933">
            <w:pPr>
              <w:pStyle w:val="30"/>
              <w:widowControl w:val="0"/>
              <w:bidi w:val="0"/>
              <w:ind w:firstLine="0" w:firstLineChars="0"/>
              <w:rPr>
                <w:color w:val="auto"/>
                <w:lang w:val="en-US" w:eastAsia="en-US"/>
              </w:rPr>
            </w:pPr>
            <w:r>
              <w:rPr>
                <w:rFonts w:hint="default"/>
                <w:sz w:val="21"/>
                <w:szCs w:val="21"/>
                <w:lang w:val="en-US" w:eastAsia="en-US"/>
              </w:rPr>
              <w:t>三氯化硼</w:t>
            </w:r>
          </w:p>
        </w:tc>
        <w:tc>
          <w:tcPr>
            <w:tcW w:w="1488" w:type="dxa"/>
            <w:shd w:val="clear" w:color="auto" w:fill="auto"/>
            <w:vAlign w:val="center"/>
          </w:tcPr>
          <w:p w14:paraId="394C4920">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10294-34-5</w:t>
            </w:r>
          </w:p>
        </w:tc>
        <w:tc>
          <w:tcPr>
            <w:tcW w:w="1114" w:type="dxa"/>
            <w:shd w:val="clear" w:color="auto" w:fill="auto"/>
            <w:vAlign w:val="center"/>
          </w:tcPr>
          <w:p w14:paraId="6A4BAE92">
            <w:pPr>
              <w:pStyle w:val="30"/>
              <w:widowControl w:val="0"/>
              <w:bidi w:val="0"/>
              <w:rPr>
                <w:rFonts w:hint="eastAsia"/>
                <w:color w:val="auto"/>
                <w:lang w:val="en-US" w:eastAsia="en-US"/>
              </w:rPr>
            </w:pPr>
            <w:r>
              <w:rPr>
                <w:rFonts w:hint="eastAsia"/>
                <w:color w:val="auto"/>
                <w:lang w:val="en-US" w:eastAsia="en-US"/>
              </w:rPr>
              <w:t>2.5</w:t>
            </w:r>
          </w:p>
        </w:tc>
        <w:tc>
          <w:tcPr>
            <w:tcW w:w="1575" w:type="dxa"/>
            <w:vAlign w:val="center"/>
          </w:tcPr>
          <w:p w14:paraId="2B4D8BDB">
            <w:pPr>
              <w:pStyle w:val="30"/>
              <w:widowControl w:val="0"/>
              <w:bidi w:val="0"/>
              <w:rPr>
                <w:rFonts w:hint="eastAsia"/>
                <w:color w:val="auto"/>
                <w:lang w:val="en-US" w:eastAsia="en-US"/>
              </w:rPr>
            </w:pPr>
            <w:r>
              <w:rPr>
                <w:rFonts w:hint="eastAsia"/>
                <w:color w:val="auto"/>
                <w:lang w:val="en-US" w:eastAsia="zh-CN"/>
              </w:rPr>
              <w:t>0.3</w:t>
            </w:r>
          </w:p>
        </w:tc>
        <w:tc>
          <w:tcPr>
            <w:tcW w:w="1076" w:type="dxa"/>
            <w:shd w:val="clear" w:color="auto" w:fill="auto"/>
            <w:vAlign w:val="center"/>
          </w:tcPr>
          <w:p w14:paraId="1E0185EA">
            <w:pPr>
              <w:pStyle w:val="30"/>
              <w:widowControl w:val="0"/>
              <w:bidi w:val="0"/>
              <w:rPr>
                <w:rFonts w:hint="eastAsia"/>
                <w:color w:val="auto"/>
                <w:lang w:val="en-US" w:eastAsia="en-US"/>
              </w:rPr>
            </w:pPr>
            <w:r>
              <w:rPr>
                <w:rFonts w:hint="eastAsia"/>
                <w:color w:val="auto"/>
                <w:lang w:val="en-US" w:eastAsia="zh-CN"/>
              </w:rPr>
              <w:t>0.12</w:t>
            </w:r>
          </w:p>
        </w:tc>
        <w:tc>
          <w:tcPr>
            <w:tcW w:w="1632" w:type="dxa"/>
            <w:vAlign w:val="center"/>
          </w:tcPr>
          <w:p w14:paraId="52A1281D">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227DAD8C">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671C6B4D">
            <w:pPr>
              <w:pStyle w:val="30"/>
              <w:widowControl w:val="0"/>
              <w:bidi w:val="0"/>
              <w:rPr>
                <w:rFonts w:hint="default"/>
                <w:color w:val="auto"/>
                <w:lang w:val="en-US" w:eastAsia="en-US"/>
              </w:rPr>
            </w:pPr>
            <w:r>
              <w:rPr>
                <w:rFonts w:hint="default"/>
                <w:color w:val="auto"/>
                <w:lang w:val="en-US" w:eastAsia="zh-CN"/>
              </w:rPr>
              <w:t>0.12</w:t>
            </w:r>
          </w:p>
        </w:tc>
        <w:tc>
          <w:tcPr>
            <w:tcW w:w="1622" w:type="dxa"/>
            <w:shd w:val="clear" w:color="auto" w:fill="auto"/>
            <w:vAlign w:val="center"/>
          </w:tcPr>
          <w:p w14:paraId="27348954">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54FF69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restart"/>
            <w:vAlign w:val="center"/>
          </w:tcPr>
          <w:p w14:paraId="5405256E">
            <w:pPr>
              <w:pStyle w:val="30"/>
              <w:widowControl w:val="0"/>
              <w:bidi w:val="0"/>
              <w:rPr>
                <w:color w:val="auto"/>
                <w:lang w:val="en-US" w:eastAsia="en-US"/>
              </w:rPr>
            </w:pPr>
            <w:r>
              <w:rPr>
                <w:rFonts w:hint="eastAsia"/>
                <w:color w:val="auto"/>
                <w:lang w:val="en-US" w:eastAsia="zh-CN"/>
              </w:rPr>
              <w:t>储运单元</w:t>
            </w:r>
          </w:p>
        </w:tc>
        <w:tc>
          <w:tcPr>
            <w:tcW w:w="814" w:type="dxa"/>
            <w:shd w:val="clear" w:color="auto" w:fill="auto"/>
            <w:vAlign w:val="center"/>
          </w:tcPr>
          <w:p w14:paraId="4966FD25">
            <w:pPr>
              <w:pStyle w:val="30"/>
              <w:widowControl w:val="0"/>
              <w:bidi w:val="0"/>
              <w:ind w:firstLine="0" w:firstLineChars="0"/>
              <w:rPr>
                <w:rFonts w:hint="default" w:ascii="Times New Roman" w:hAnsi="Times New Roman" w:eastAsia="宋体" w:cs="宋体"/>
                <w:b w:val="0"/>
                <w:color w:val="auto"/>
                <w:kern w:val="0"/>
                <w:sz w:val="21"/>
                <w:szCs w:val="21"/>
                <w:lang w:val="en-US" w:eastAsia="zh-CN" w:bidi="ar-SA"/>
              </w:rPr>
            </w:pPr>
            <w:r>
              <w:rPr>
                <w:sz w:val="21"/>
                <w:szCs w:val="21"/>
              </w:rPr>
              <w:t>氨气笑气站</w:t>
            </w:r>
          </w:p>
        </w:tc>
        <w:tc>
          <w:tcPr>
            <w:tcW w:w="1374" w:type="dxa"/>
            <w:shd w:val="clear" w:color="auto" w:fill="auto"/>
            <w:vAlign w:val="center"/>
          </w:tcPr>
          <w:p w14:paraId="561D87A9">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液氨</w:t>
            </w:r>
          </w:p>
        </w:tc>
        <w:tc>
          <w:tcPr>
            <w:tcW w:w="1488" w:type="dxa"/>
            <w:shd w:val="clear" w:color="auto" w:fill="auto"/>
            <w:vAlign w:val="center"/>
          </w:tcPr>
          <w:p w14:paraId="26DB8939">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1336-21-6</w:t>
            </w:r>
          </w:p>
        </w:tc>
        <w:tc>
          <w:tcPr>
            <w:tcW w:w="1114" w:type="dxa"/>
            <w:shd w:val="clear" w:color="auto" w:fill="auto"/>
            <w:vAlign w:val="center"/>
          </w:tcPr>
          <w:p w14:paraId="465BD84D">
            <w:pPr>
              <w:pStyle w:val="30"/>
              <w:widowControl w:val="0"/>
              <w:bidi w:val="0"/>
              <w:rPr>
                <w:rFonts w:hint="eastAsia"/>
                <w:color w:val="auto"/>
                <w:lang w:val="en-US" w:eastAsia="en-US"/>
              </w:rPr>
            </w:pPr>
            <w:r>
              <w:rPr>
                <w:rFonts w:hint="eastAsia"/>
                <w:color w:val="auto"/>
                <w:lang w:val="en-US" w:eastAsia="zh-CN"/>
              </w:rPr>
              <w:t>5</w:t>
            </w:r>
          </w:p>
        </w:tc>
        <w:tc>
          <w:tcPr>
            <w:tcW w:w="1575" w:type="dxa"/>
            <w:vAlign w:val="center"/>
          </w:tcPr>
          <w:p w14:paraId="44DFAF5E">
            <w:pPr>
              <w:pStyle w:val="30"/>
              <w:widowControl w:val="0"/>
              <w:bidi w:val="0"/>
              <w:rPr>
                <w:rFonts w:hint="eastAsia"/>
                <w:color w:val="auto"/>
                <w:lang w:val="en-US" w:eastAsia="en-US"/>
              </w:rPr>
            </w:pPr>
            <w:r>
              <w:rPr>
                <w:rFonts w:hint="eastAsia"/>
                <w:color w:val="auto"/>
                <w:lang w:val="en-US" w:eastAsia="zh-CN"/>
              </w:rPr>
              <w:t>107.055</w:t>
            </w:r>
          </w:p>
        </w:tc>
        <w:tc>
          <w:tcPr>
            <w:tcW w:w="1076" w:type="dxa"/>
            <w:shd w:val="clear" w:color="auto" w:fill="auto"/>
            <w:vAlign w:val="center"/>
          </w:tcPr>
          <w:p w14:paraId="68A8BE24">
            <w:pPr>
              <w:pStyle w:val="30"/>
              <w:widowControl w:val="0"/>
              <w:bidi w:val="0"/>
              <w:rPr>
                <w:rFonts w:hint="eastAsia"/>
                <w:color w:val="auto"/>
                <w:lang w:val="en-US" w:eastAsia="en-US"/>
              </w:rPr>
            </w:pPr>
            <w:r>
              <w:rPr>
                <w:rFonts w:hint="eastAsia"/>
                <w:color w:val="auto"/>
                <w:lang w:val="en-US" w:eastAsia="zh-CN"/>
              </w:rPr>
              <w:t>21.411</w:t>
            </w:r>
          </w:p>
        </w:tc>
        <w:tc>
          <w:tcPr>
            <w:tcW w:w="1632" w:type="dxa"/>
            <w:vAlign w:val="center"/>
          </w:tcPr>
          <w:p w14:paraId="447EE753">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7D8A5F23">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624E009E">
            <w:pPr>
              <w:pStyle w:val="30"/>
              <w:widowControl w:val="0"/>
              <w:bidi w:val="0"/>
              <w:rPr>
                <w:rFonts w:hint="default"/>
                <w:color w:val="auto"/>
                <w:lang w:val="en-US" w:eastAsia="en-US"/>
              </w:rPr>
            </w:pPr>
            <w:r>
              <w:rPr>
                <w:rFonts w:hint="default"/>
                <w:color w:val="auto"/>
                <w:lang w:val="en-US" w:eastAsia="zh-CN"/>
              </w:rPr>
              <w:t>21.411</w:t>
            </w:r>
          </w:p>
        </w:tc>
        <w:tc>
          <w:tcPr>
            <w:tcW w:w="1622" w:type="dxa"/>
            <w:shd w:val="clear" w:color="auto" w:fill="auto"/>
            <w:vAlign w:val="center"/>
          </w:tcPr>
          <w:p w14:paraId="3149B719">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1A4C08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5C100458">
            <w:pPr>
              <w:pStyle w:val="30"/>
              <w:widowControl w:val="0"/>
              <w:bidi w:val="0"/>
              <w:rPr>
                <w:rFonts w:hint="eastAsia"/>
                <w:color w:val="auto"/>
                <w:lang w:val="en-US" w:eastAsia="zh-CN"/>
              </w:rPr>
            </w:pPr>
          </w:p>
        </w:tc>
        <w:tc>
          <w:tcPr>
            <w:tcW w:w="814" w:type="dxa"/>
            <w:shd w:val="clear" w:color="auto" w:fill="auto"/>
            <w:vAlign w:val="center"/>
          </w:tcPr>
          <w:p w14:paraId="61322DDC">
            <w:pPr>
              <w:pStyle w:val="30"/>
              <w:widowControl w:val="0"/>
              <w:bidi w:val="0"/>
              <w:ind w:firstLine="0" w:firstLineChars="0"/>
              <w:rPr>
                <w:rFonts w:hint="default" w:ascii="Times New Roman" w:hAnsi="Times New Roman" w:eastAsia="宋体" w:cs="宋体"/>
                <w:b w:val="0"/>
                <w:color w:val="auto"/>
                <w:kern w:val="0"/>
                <w:sz w:val="21"/>
                <w:szCs w:val="21"/>
                <w:lang w:val="en-US" w:eastAsia="zh-CN" w:bidi="ar-SA"/>
              </w:rPr>
            </w:pPr>
            <w:r>
              <w:rPr>
                <w:sz w:val="21"/>
                <w:szCs w:val="21"/>
              </w:rPr>
              <w:t>硅烷站</w:t>
            </w:r>
          </w:p>
        </w:tc>
        <w:tc>
          <w:tcPr>
            <w:tcW w:w="1374" w:type="dxa"/>
            <w:shd w:val="clear" w:color="auto" w:fill="auto"/>
            <w:vAlign w:val="center"/>
          </w:tcPr>
          <w:p w14:paraId="2F8458A7">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硅烷</w:t>
            </w:r>
          </w:p>
        </w:tc>
        <w:tc>
          <w:tcPr>
            <w:tcW w:w="1488" w:type="dxa"/>
            <w:shd w:val="clear" w:color="auto" w:fill="auto"/>
            <w:vAlign w:val="center"/>
          </w:tcPr>
          <w:p w14:paraId="69DAC998">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7803-62-5</w:t>
            </w:r>
          </w:p>
        </w:tc>
        <w:tc>
          <w:tcPr>
            <w:tcW w:w="1114" w:type="dxa"/>
            <w:shd w:val="clear" w:color="auto" w:fill="auto"/>
            <w:vAlign w:val="center"/>
          </w:tcPr>
          <w:p w14:paraId="71EEF41C">
            <w:pPr>
              <w:pStyle w:val="30"/>
              <w:widowControl w:val="0"/>
              <w:bidi w:val="0"/>
              <w:rPr>
                <w:rFonts w:hint="default"/>
                <w:color w:val="auto"/>
                <w:lang w:val="en-US" w:eastAsia="en-US"/>
              </w:rPr>
            </w:pPr>
            <w:r>
              <w:rPr>
                <w:rFonts w:hint="eastAsia"/>
                <w:color w:val="auto"/>
                <w:lang w:val="en-US" w:eastAsia="zh-CN"/>
              </w:rPr>
              <w:t>2.5</w:t>
            </w:r>
          </w:p>
        </w:tc>
        <w:tc>
          <w:tcPr>
            <w:tcW w:w="1575" w:type="dxa"/>
            <w:shd w:val="clear" w:color="auto" w:fill="auto"/>
            <w:vAlign w:val="center"/>
          </w:tcPr>
          <w:p w14:paraId="3EA9865A">
            <w:pPr>
              <w:pStyle w:val="30"/>
              <w:widowControl w:val="0"/>
              <w:bidi w:val="0"/>
              <w:rPr>
                <w:rFonts w:hint="default"/>
                <w:color w:val="auto"/>
                <w:lang w:val="en-US" w:eastAsia="en-US"/>
              </w:rPr>
            </w:pPr>
            <w:r>
              <w:rPr>
                <w:rFonts w:hint="eastAsia"/>
                <w:color w:val="auto"/>
                <w:lang w:val="en-US" w:eastAsia="zh-CN"/>
              </w:rPr>
              <w:t>0.14976</w:t>
            </w:r>
          </w:p>
        </w:tc>
        <w:tc>
          <w:tcPr>
            <w:tcW w:w="1076" w:type="dxa"/>
            <w:shd w:val="clear" w:color="auto" w:fill="auto"/>
            <w:vAlign w:val="center"/>
          </w:tcPr>
          <w:p w14:paraId="6B9CCE44">
            <w:pPr>
              <w:pStyle w:val="30"/>
              <w:widowControl w:val="0"/>
              <w:bidi w:val="0"/>
              <w:rPr>
                <w:rFonts w:hint="eastAsia"/>
                <w:color w:val="auto"/>
                <w:lang w:val="en-US" w:eastAsia="en-US"/>
              </w:rPr>
            </w:pPr>
            <w:r>
              <w:rPr>
                <w:rFonts w:hint="eastAsia"/>
                <w:color w:val="auto"/>
                <w:lang w:val="en-US" w:eastAsia="zh-CN"/>
              </w:rPr>
              <w:t>0.059904</w:t>
            </w:r>
          </w:p>
        </w:tc>
        <w:tc>
          <w:tcPr>
            <w:tcW w:w="1632" w:type="dxa"/>
            <w:vAlign w:val="center"/>
          </w:tcPr>
          <w:p w14:paraId="5F184668">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4AFE75FC">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49037F4C">
            <w:pPr>
              <w:pStyle w:val="30"/>
              <w:widowControl w:val="0"/>
              <w:bidi w:val="0"/>
              <w:rPr>
                <w:rFonts w:hint="default"/>
                <w:color w:val="auto"/>
                <w:lang w:val="en-US" w:eastAsia="en-US"/>
              </w:rPr>
            </w:pPr>
            <w:r>
              <w:rPr>
                <w:rFonts w:hint="default"/>
                <w:color w:val="auto"/>
                <w:lang w:val="en-US" w:eastAsia="zh-CN"/>
              </w:rPr>
              <w:t>0.059904</w:t>
            </w:r>
          </w:p>
        </w:tc>
        <w:tc>
          <w:tcPr>
            <w:tcW w:w="1622" w:type="dxa"/>
            <w:shd w:val="clear" w:color="auto" w:fill="auto"/>
            <w:vAlign w:val="center"/>
          </w:tcPr>
          <w:p w14:paraId="2F2497DA">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3BBC47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197D0569">
            <w:pPr>
              <w:pStyle w:val="30"/>
              <w:widowControl w:val="0"/>
              <w:bidi w:val="0"/>
              <w:rPr>
                <w:color w:val="auto"/>
                <w:lang w:val="en-US" w:eastAsia="en-US"/>
              </w:rPr>
            </w:pPr>
          </w:p>
        </w:tc>
        <w:tc>
          <w:tcPr>
            <w:tcW w:w="814" w:type="dxa"/>
            <w:shd w:val="clear" w:color="auto" w:fill="auto"/>
            <w:vAlign w:val="center"/>
          </w:tcPr>
          <w:p w14:paraId="49646D82">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sz w:val="21"/>
                <w:szCs w:val="21"/>
              </w:rPr>
              <w:t>特气房</w:t>
            </w:r>
          </w:p>
        </w:tc>
        <w:tc>
          <w:tcPr>
            <w:tcW w:w="1374" w:type="dxa"/>
            <w:shd w:val="clear" w:color="auto" w:fill="auto"/>
            <w:vAlign w:val="center"/>
          </w:tcPr>
          <w:p w14:paraId="5A1C6F9B">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三甲基铝</w:t>
            </w:r>
          </w:p>
        </w:tc>
        <w:tc>
          <w:tcPr>
            <w:tcW w:w="1488" w:type="dxa"/>
            <w:shd w:val="clear" w:color="auto" w:fill="auto"/>
            <w:vAlign w:val="center"/>
          </w:tcPr>
          <w:p w14:paraId="5DD3930D">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75-24-1</w:t>
            </w:r>
          </w:p>
        </w:tc>
        <w:tc>
          <w:tcPr>
            <w:tcW w:w="1114" w:type="dxa"/>
            <w:vAlign w:val="center"/>
          </w:tcPr>
          <w:p w14:paraId="1C0D4BB7">
            <w:pPr>
              <w:pStyle w:val="30"/>
              <w:widowControl w:val="0"/>
              <w:bidi w:val="0"/>
              <w:rPr>
                <w:rFonts w:hint="eastAsia"/>
                <w:color w:val="auto"/>
                <w:lang w:val="en-US" w:eastAsia="en-US"/>
              </w:rPr>
            </w:pPr>
            <w:r>
              <w:rPr>
                <w:rFonts w:hint="eastAsia"/>
                <w:color w:val="auto"/>
                <w:lang w:val="en-US" w:eastAsia="zh-CN"/>
              </w:rPr>
              <w:t>50</w:t>
            </w:r>
          </w:p>
        </w:tc>
        <w:tc>
          <w:tcPr>
            <w:tcW w:w="1575" w:type="dxa"/>
            <w:shd w:val="clear" w:color="auto" w:fill="auto"/>
            <w:vAlign w:val="center"/>
          </w:tcPr>
          <w:p w14:paraId="10D1C370">
            <w:pPr>
              <w:pStyle w:val="30"/>
              <w:widowControl w:val="0"/>
              <w:bidi w:val="0"/>
              <w:rPr>
                <w:rFonts w:hint="default"/>
                <w:color w:val="auto"/>
                <w:lang w:val="en-US" w:eastAsia="en-US"/>
              </w:rPr>
            </w:pPr>
            <w:r>
              <w:rPr>
                <w:rFonts w:hint="eastAsia"/>
                <w:color w:val="auto"/>
                <w:lang w:val="en-US" w:eastAsia="zh-CN"/>
              </w:rPr>
              <w:t>1.2</w:t>
            </w:r>
          </w:p>
        </w:tc>
        <w:tc>
          <w:tcPr>
            <w:tcW w:w="1076" w:type="dxa"/>
            <w:shd w:val="clear" w:color="auto" w:fill="auto"/>
            <w:vAlign w:val="center"/>
          </w:tcPr>
          <w:p w14:paraId="4FFE298E">
            <w:pPr>
              <w:pStyle w:val="30"/>
              <w:widowControl w:val="0"/>
              <w:bidi w:val="0"/>
              <w:rPr>
                <w:rFonts w:hint="eastAsia"/>
                <w:color w:val="auto"/>
                <w:lang w:val="en-US" w:eastAsia="en-US"/>
              </w:rPr>
            </w:pPr>
            <w:r>
              <w:rPr>
                <w:rFonts w:hint="eastAsia"/>
                <w:color w:val="auto"/>
                <w:lang w:val="en-US" w:eastAsia="zh-CN"/>
              </w:rPr>
              <w:t>0.024</w:t>
            </w:r>
          </w:p>
        </w:tc>
        <w:tc>
          <w:tcPr>
            <w:tcW w:w="1632" w:type="dxa"/>
            <w:vAlign w:val="center"/>
          </w:tcPr>
          <w:p w14:paraId="49B9FCA2">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7127F6EE">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14027EBF">
            <w:pPr>
              <w:pStyle w:val="30"/>
              <w:widowControl w:val="0"/>
              <w:bidi w:val="0"/>
              <w:rPr>
                <w:rFonts w:hint="default"/>
                <w:color w:val="auto"/>
                <w:lang w:val="en-US" w:eastAsia="en-US"/>
              </w:rPr>
            </w:pPr>
            <w:r>
              <w:rPr>
                <w:rFonts w:hint="default"/>
                <w:color w:val="auto"/>
                <w:lang w:val="en-US" w:eastAsia="zh-CN"/>
              </w:rPr>
              <w:t>0.024</w:t>
            </w:r>
          </w:p>
        </w:tc>
        <w:tc>
          <w:tcPr>
            <w:tcW w:w="1622" w:type="dxa"/>
            <w:shd w:val="clear" w:color="auto" w:fill="auto"/>
            <w:vAlign w:val="center"/>
          </w:tcPr>
          <w:p w14:paraId="48C4D67D">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0B221B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441AF9E7">
            <w:pPr>
              <w:pStyle w:val="30"/>
              <w:widowControl w:val="0"/>
              <w:bidi w:val="0"/>
              <w:rPr>
                <w:color w:val="auto"/>
                <w:lang w:val="en-US" w:eastAsia="en-US"/>
              </w:rPr>
            </w:pPr>
          </w:p>
        </w:tc>
        <w:tc>
          <w:tcPr>
            <w:tcW w:w="814" w:type="dxa"/>
            <w:vMerge w:val="restart"/>
            <w:shd w:val="clear" w:color="auto" w:fill="auto"/>
            <w:vAlign w:val="center"/>
          </w:tcPr>
          <w:p w14:paraId="50335DE8">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sz w:val="21"/>
                <w:szCs w:val="21"/>
              </w:rPr>
              <w:t>化学品库2</w:t>
            </w:r>
          </w:p>
        </w:tc>
        <w:tc>
          <w:tcPr>
            <w:tcW w:w="1374" w:type="dxa"/>
            <w:shd w:val="clear" w:color="auto" w:fill="auto"/>
            <w:vAlign w:val="center"/>
          </w:tcPr>
          <w:p w14:paraId="38E31195">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sz w:val="21"/>
                <w:szCs w:val="21"/>
              </w:rPr>
              <w:t>氢氟酸（40%）</w:t>
            </w:r>
          </w:p>
        </w:tc>
        <w:tc>
          <w:tcPr>
            <w:tcW w:w="1488" w:type="dxa"/>
            <w:shd w:val="clear" w:color="auto" w:fill="auto"/>
            <w:vAlign w:val="center"/>
          </w:tcPr>
          <w:p w14:paraId="533F5419">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7664-39-3</w:t>
            </w:r>
          </w:p>
        </w:tc>
        <w:tc>
          <w:tcPr>
            <w:tcW w:w="1114" w:type="dxa"/>
            <w:shd w:val="clear" w:color="auto" w:fill="auto"/>
            <w:vAlign w:val="center"/>
          </w:tcPr>
          <w:p w14:paraId="0EA5025B">
            <w:pPr>
              <w:pStyle w:val="30"/>
              <w:widowControl w:val="0"/>
              <w:bidi w:val="0"/>
              <w:rPr>
                <w:rFonts w:hint="eastAsia"/>
                <w:color w:val="auto"/>
                <w:lang w:val="en-US" w:eastAsia="en-US"/>
              </w:rPr>
            </w:pPr>
            <w:r>
              <w:rPr>
                <w:rFonts w:hint="eastAsia"/>
                <w:color w:val="auto"/>
                <w:lang w:val="en-US" w:eastAsia="zh-CN"/>
              </w:rPr>
              <w:t>1</w:t>
            </w:r>
          </w:p>
        </w:tc>
        <w:tc>
          <w:tcPr>
            <w:tcW w:w="1575" w:type="dxa"/>
            <w:shd w:val="clear" w:color="auto" w:fill="auto"/>
            <w:vAlign w:val="center"/>
          </w:tcPr>
          <w:p w14:paraId="595A1383">
            <w:pPr>
              <w:pStyle w:val="30"/>
              <w:widowControl w:val="0"/>
              <w:bidi w:val="0"/>
              <w:rPr>
                <w:rFonts w:hint="default"/>
                <w:color w:val="auto"/>
                <w:lang w:val="en-US" w:eastAsia="en-US"/>
              </w:rPr>
            </w:pPr>
            <w:r>
              <w:rPr>
                <w:rFonts w:hint="eastAsia"/>
                <w:color w:val="auto"/>
                <w:lang w:val="en-US" w:eastAsia="zh-CN"/>
              </w:rPr>
              <w:t>92</w:t>
            </w:r>
          </w:p>
        </w:tc>
        <w:tc>
          <w:tcPr>
            <w:tcW w:w="1076" w:type="dxa"/>
            <w:shd w:val="clear" w:color="auto" w:fill="auto"/>
            <w:vAlign w:val="center"/>
          </w:tcPr>
          <w:p w14:paraId="5CD975EB">
            <w:pPr>
              <w:pStyle w:val="30"/>
              <w:widowControl w:val="0"/>
              <w:bidi w:val="0"/>
              <w:rPr>
                <w:rFonts w:hint="eastAsia"/>
                <w:color w:val="auto"/>
                <w:lang w:val="en-US" w:eastAsia="en-US"/>
              </w:rPr>
            </w:pPr>
            <w:r>
              <w:rPr>
                <w:rFonts w:hint="eastAsia"/>
                <w:color w:val="auto"/>
                <w:lang w:val="en-US" w:eastAsia="zh-CN"/>
              </w:rPr>
              <w:t>92</w:t>
            </w:r>
          </w:p>
        </w:tc>
        <w:tc>
          <w:tcPr>
            <w:tcW w:w="1632" w:type="dxa"/>
            <w:vAlign w:val="center"/>
          </w:tcPr>
          <w:p w14:paraId="33D2901F">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585C155E">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1C49A0CC">
            <w:pPr>
              <w:pStyle w:val="30"/>
              <w:widowControl w:val="0"/>
              <w:bidi w:val="0"/>
              <w:rPr>
                <w:rFonts w:hint="default"/>
                <w:color w:val="auto"/>
                <w:lang w:val="en-US" w:eastAsia="en-US"/>
              </w:rPr>
            </w:pPr>
            <w:r>
              <w:rPr>
                <w:rFonts w:hint="default"/>
                <w:color w:val="auto"/>
                <w:lang w:val="en-US" w:eastAsia="zh-CN"/>
              </w:rPr>
              <w:t>92</w:t>
            </w:r>
          </w:p>
        </w:tc>
        <w:tc>
          <w:tcPr>
            <w:tcW w:w="1622" w:type="dxa"/>
            <w:shd w:val="clear" w:color="auto" w:fill="auto"/>
            <w:vAlign w:val="center"/>
          </w:tcPr>
          <w:p w14:paraId="3BDF5102">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7BCD8C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340E587">
            <w:pPr>
              <w:pStyle w:val="30"/>
              <w:widowControl w:val="0"/>
              <w:bidi w:val="0"/>
              <w:rPr>
                <w:color w:val="auto"/>
                <w:lang w:val="en-US" w:eastAsia="en-US"/>
              </w:rPr>
            </w:pPr>
          </w:p>
        </w:tc>
        <w:tc>
          <w:tcPr>
            <w:tcW w:w="814" w:type="dxa"/>
            <w:vMerge w:val="continue"/>
            <w:shd w:val="clear" w:color="auto" w:fill="auto"/>
            <w:vAlign w:val="center"/>
          </w:tcPr>
          <w:p w14:paraId="72EF95E9">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5C57F12B">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sz w:val="21"/>
                <w:szCs w:val="21"/>
              </w:rPr>
              <w:t>盐酸（37%）</w:t>
            </w:r>
          </w:p>
        </w:tc>
        <w:tc>
          <w:tcPr>
            <w:tcW w:w="1488" w:type="dxa"/>
            <w:shd w:val="clear" w:color="auto" w:fill="auto"/>
            <w:vAlign w:val="center"/>
          </w:tcPr>
          <w:p w14:paraId="460874C8">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647-01-0</w:t>
            </w:r>
          </w:p>
        </w:tc>
        <w:tc>
          <w:tcPr>
            <w:tcW w:w="1114" w:type="dxa"/>
            <w:shd w:val="clear" w:color="auto" w:fill="auto"/>
            <w:vAlign w:val="center"/>
          </w:tcPr>
          <w:p w14:paraId="17719ED4">
            <w:pPr>
              <w:pStyle w:val="30"/>
              <w:widowControl w:val="0"/>
              <w:bidi w:val="0"/>
              <w:rPr>
                <w:rFonts w:hint="default"/>
                <w:color w:val="auto"/>
                <w:lang w:val="en-US" w:eastAsia="en-US"/>
              </w:rPr>
            </w:pPr>
            <w:r>
              <w:rPr>
                <w:rFonts w:hint="eastAsia"/>
                <w:color w:val="auto"/>
                <w:lang w:val="en-US" w:eastAsia="zh-CN"/>
              </w:rPr>
              <w:t>7.5</w:t>
            </w:r>
          </w:p>
        </w:tc>
        <w:tc>
          <w:tcPr>
            <w:tcW w:w="1575" w:type="dxa"/>
            <w:shd w:val="clear" w:color="auto" w:fill="auto"/>
            <w:vAlign w:val="center"/>
          </w:tcPr>
          <w:p w14:paraId="49770FA7">
            <w:pPr>
              <w:pStyle w:val="30"/>
              <w:widowControl w:val="0"/>
              <w:bidi w:val="0"/>
              <w:rPr>
                <w:rFonts w:hint="default"/>
                <w:color w:val="auto"/>
                <w:lang w:val="en-US" w:eastAsia="en-US"/>
              </w:rPr>
            </w:pPr>
            <w:r>
              <w:rPr>
                <w:rFonts w:hint="eastAsia"/>
                <w:color w:val="auto"/>
                <w:lang w:val="en-US" w:eastAsia="zh-CN"/>
              </w:rPr>
              <w:t>35.224</w:t>
            </w:r>
          </w:p>
        </w:tc>
        <w:tc>
          <w:tcPr>
            <w:tcW w:w="1076" w:type="dxa"/>
            <w:shd w:val="clear" w:color="auto" w:fill="auto"/>
            <w:vAlign w:val="center"/>
          </w:tcPr>
          <w:p w14:paraId="46CBEEAC">
            <w:pPr>
              <w:pStyle w:val="30"/>
              <w:widowControl w:val="0"/>
              <w:bidi w:val="0"/>
              <w:rPr>
                <w:rFonts w:hint="eastAsia"/>
                <w:color w:val="auto"/>
                <w:lang w:val="en-US" w:eastAsia="en-US"/>
              </w:rPr>
            </w:pPr>
            <w:r>
              <w:rPr>
                <w:rFonts w:hint="eastAsia"/>
                <w:color w:val="auto"/>
                <w:lang w:val="en-US" w:eastAsia="zh-CN"/>
              </w:rPr>
              <w:t>4.696533333</w:t>
            </w:r>
          </w:p>
        </w:tc>
        <w:tc>
          <w:tcPr>
            <w:tcW w:w="1632" w:type="dxa"/>
            <w:vAlign w:val="center"/>
          </w:tcPr>
          <w:p w14:paraId="6AA78254">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2B8B7732">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34E33A2A">
            <w:pPr>
              <w:pStyle w:val="30"/>
              <w:widowControl w:val="0"/>
              <w:bidi w:val="0"/>
              <w:rPr>
                <w:rFonts w:hint="default"/>
                <w:color w:val="auto"/>
                <w:lang w:val="en-US" w:eastAsia="en-US"/>
              </w:rPr>
            </w:pPr>
            <w:r>
              <w:rPr>
                <w:rFonts w:hint="default"/>
                <w:color w:val="auto"/>
                <w:lang w:val="en-US" w:eastAsia="zh-CN"/>
              </w:rPr>
              <w:t>4.696533333</w:t>
            </w:r>
          </w:p>
        </w:tc>
        <w:tc>
          <w:tcPr>
            <w:tcW w:w="1622" w:type="dxa"/>
            <w:shd w:val="clear" w:color="auto" w:fill="auto"/>
            <w:vAlign w:val="center"/>
          </w:tcPr>
          <w:p w14:paraId="0FB489E6">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219163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2A475DE">
            <w:pPr>
              <w:pStyle w:val="30"/>
              <w:widowControl w:val="0"/>
              <w:bidi w:val="0"/>
              <w:rPr>
                <w:color w:val="auto"/>
                <w:lang w:val="en-US" w:eastAsia="en-US"/>
              </w:rPr>
            </w:pPr>
          </w:p>
        </w:tc>
        <w:tc>
          <w:tcPr>
            <w:tcW w:w="814" w:type="dxa"/>
            <w:vMerge w:val="continue"/>
            <w:shd w:val="clear" w:color="auto" w:fill="auto"/>
            <w:vAlign w:val="center"/>
          </w:tcPr>
          <w:p w14:paraId="6A3C038C">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03268AC6">
            <w:pPr>
              <w:pStyle w:val="30"/>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rFonts w:hint="eastAsia"/>
                <w:color w:val="auto"/>
                <w:lang w:val="en-US" w:eastAsia="zh-CN"/>
              </w:rPr>
              <w:t>双氧水</w:t>
            </w:r>
            <w:r>
              <w:rPr>
                <w:sz w:val="21"/>
                <w:szCs w:val="21"/>
              </w:rPr>
              <w:t>（35%）</w:t>
            </w:r>
          </w:p>
        </w:tc>
        <w:tc>
          <w:tcPr>
            <w:tcW w:w="1488" w:type="dxa"/>
            <w:shd w:val="clear" w:color="auto" w:fill="auto"/>
            <w:vAlign w:val="center"/>
          </w:tcPr>
          <w:p w14:paraId="35B0478D">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7722-84-1</w:t>
            </w:r>
          </w:p>
        </w:tc>
        <w:tc>
          <w:tcPr>
            <w:tcW w:w="1114" w:type="dxa"/>
            <w:shd w:val="clear" w:color="auto" w:fill="auto"/>
            <w:vAlign w:val="center"/>
          </w:tcPr>
          <w:p w14:paraId="2502D454">
            <w:pPr>
              <w:pStyle w:val="30"/>
              <w:widowControl w:val="0"/>
              <w:bidi w:val="0"/>
              <w:rPr>
                <w:rFonts w:hint="default"/>
                <w:color w:val="auto"/>
                <w:lang w:val="en-US" w:eastAsia="en-US"/>
              </w:rPr>
            </w:pPr>
            <w:r>
              <w:rPr>
                <w:rFonts w:hint="eastAsia"/>
                <w:color w:val="auto"/>
                <w:lang w:val="en-US" w:eastAsia="zh-CN"/>
              </w:rPr>
              <w:t>50</w:t>
            </w:r>
          </w:p>
        </w:tc>
        <w:tc>
          <w:tcPr>
            <w:tcW w:w="1575" w:type="dxa"/>
            <w:shd w:val="clear" w:color="auto" w:fill="auto"/>
            <w:vAlign w:val="center"/>
          </w:tcPr>
          <w:p w14:paraId="5DA385C3">
            <w:pPr>
              <w:pStyle w:val="30"/>
              <w:widowControl w:val="0"/>
              <w:bidi w:val="0"/>
              <w:rPr>
                <w:rFonts w:hint="default"/>
                <w:color w:val="auto"/>
                <w:lang w:val="en-US" w:eastAsia="en-US"/>
              </w:rPr>
            </w:pPr>
            <w:r>
              <w:rPr>
                <w:rFonts w:hint="eastAsia"/>
                <w:color w:val="auto"/>
                <w:lang w:val="en-US" w:eastAsia="zh-CN"/>
              </w:rPr>
              <w:t>118.86</w:t>
            </w:r>
          </w:p>
        </w:tc>
        <w:tc>
          <w:tcPr>
            <w:tcW w:w="1076" w:type="dxa"/>
            <w:shd w:val="clear" w:color="auto" w:fill="auto"/>
            <w:vAlign w:val="center"/>
          </w:tcPr>
          <w:p w14:paraId="0A5D813A">
            <w:pPr>
              <w:pStyle w:val="30"/>
              <w:widowControl w:val="0"/>
              <w:bidi w:val="0"/>
              <w:rPr>
                <w:rFonts w:hint="eastAsia"/>
                <w:color w:val="auto"/>
                <w:lang w:val="en-US" w:eastAsia="en-US"/>
              </w:rPr>
            </w:pPr>
            <w:r>
              <w:rPr>
                <w:rFonts w:hint="eastAsia"/>
                <w:color w:val="auto"/>
                <w:lang w:val="en-US" w:eastAsia="zh-CN"/>
              </w:rPr>
              <w:t>2.3772</w:t>
            </w:r>
          </w:p>
        </w:tc>
        <w:tc>
          <w:tcPr>
            <w:tcW w:w="1632" w:type="dxa"/>
            <w:vAlign w:val="center"/>
          </w:tcPr>
          <w:p w14:paraId="10707AD0">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067E2786">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4670B882">
            <w:pPr>
              <w:pStyle w:val="30"/>
              <w:widowControl w:val="0"/>
              <w:bidi w:val="0"/>
              <w:rPr>
                <w:rFonts w:hint="default"/>
                <w:color w:val="auto"/>
                <w:lang w:val="en-US" w:eastAsia="en-US"/>
              </w:rPr>
            </w:pPr>
            <w:r>
              <w:rPr>
                <w:rFonts w:hint="default"/>
                <w:color w:val="auto"/>
                <w:lang w:val="en-US" w:eastAsia="zh-CN"/>
              </w:rPr>
              <w:t>2.3772</w:t>
            </w:r>
          </w:p>
        </w:tc>
        <w:tc>
          <w:tcPr>
            <w:tcW w:w="1622" w:type="dxa"/>
            <w:shd w:val="clear" w:color="auto" w:fill="auto"/>
            <w:vAlign w:val="center"/>
          </w:tcPr>
          <w:p w14:paraId="510C481E">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599D6C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15B7CA58">
            <w:pPr>
              <w:pStyle w:val="30"/>
              <w:widowControl w:val="0"/>
              <w:bidi w:val="0"/>
              <w:rPr>
                <w:color w:val="auto"/>
                <w:lang w:val="en-US" w:eastAsia="en-US"/>
              </w:rPr>
            </w:pPr>
          </w:p>
        </w:tc>
        <w:tc>
          <w:tcPr>
            <w:tcW w:w="814" w:type="dxa"/>
            <w:vMerge w:val="restart"/>
            <w:shd w:val="clear" w:color="auto" w:fill="auto"/>
            <w:vAlign w:val="center"/>
          </w:tcPr>
          <w:p w14:paraId="7FCA1E33">
            <w:pPr>
              <w:pStyle w:val="30"/>
              <w:widowControl w:val="0"/>
              <w:bidi w:val="0"/>
              <w:ind w:firstLine="0" w:firstLineChars="0"/>
              <w:rPr>
                <w:rFonts w:hint="eastAsia" w:ascii="Times New Roman" w:hAnsi="Times New Roman" w:eastAsia="宋体" w:cs="宋体"/>
                <w:b w:val="0"/>
                <w:color w:val="auto"/>
                <w:kern w:val="0"/>
                <w:sz w:val="21"/>
                <w:szCs w:val="21"/>
                <w:lang w:val="en-US" w:eastAsia="zh-CN" w:bidi="ar-SA"/>
              </w:rPr>
            </w:pPr>
            <w:r>
              <w:rPr>
                <w:sz w:val="21"/>
                <w:szCs w:val="21"/>
              </w:rPr>
              <w:t>化学品库</w:t>
            </w:r>
            <w:r>
              <w:rPr>
                <w:rFonts w:hint="eastAsia"/>
                <w:sz w:val="21"/>
                <w:szCs w:val="21"/>
                <w:lang w:val="en-US" w:eastAsia="zh-CN"/>
              </w:rPr>
              <w:t>1</w:t>
            </w:r>
          </w:p>
        </w:tc>
        <w:tc>
          <w:tcPr>
            <w:tcW w:w="1374" w:type="dxa"/>
            <w:shd w:val="clear" w:color="auto" w:fill="auto"/>
            <w:vAlign w:val="center"/>
          </w:tcPr>
          <w:p w14:paraId="1CE5AAB2">
            <w:pPr>
              <w:pStyle w:val="30"/>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sz w:val="21"/>
                <w:szCs w:val="21"/>
              </w:rPr>
              <w:t>盐酸（37%）</w:t>
            </w:r>
          </w:p>
        </w:tc>
        <w:tc>
          <w:tcPr>
            <w:tcW w:w="1488" w:type="dxa"/>
            <w:shd w:val="clear" w:color="auto" w:fill="auto"/>
            <w:vAlign w:val="center"/>
          </w:tcPr>
          <w:p w14:paraId="65EFCB57">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647-01-0</w:t>
            </w:r>
          </w:p>
        </w:tc>
        <w:tc>
          <w:tcPr>
            <w:tcW w:w="1114" w:type="dxa"/>
            <w:shd w:val="clear" w:color="auto" w:fill="auto"/>
            <w:vAlign w:val="center"/>
          </w:tcPr>
          <w:p w14:paraId="7EFB5627">
            <w:pPr>
              <w:pStyle w:val="30"/>
              <w:widowControl w:val="0"/>
              <w:bidi w:val="0"/>
              <w:rPr>
                <w:rFonts w:hint="default"/>
                <w:color w:val="auto"/>
                <w:lang w:val="en-US" w:eastAsia="en-US"/>
              </w:rPr>
            </w:pPr>
            <w:r>
              <w:rPr>
                <w:rFonts w:hint="eastAsia"/>
                <w:color w:val="auto"/>
                <w:lang w:val="en-US" w:eastAsia="zh-CN"/>
              </w:rPr>
              <w:t>7.5</w:t>
            </w:r>
          </w:p>
        </w:tc>
        <w:tc>
          <w:tcPr>
            <w:tcW w:w="1575" w:type="dxa"/>
            <w:shd w:val="clear" w:color="auto" w:fill="auto"/>
            <w:vAlign w:val="center"/>
          </w:tcPr>
          <w:p w14:paraId="71139CEF">
            <w:pPr>
              <w:pStyle w:val="30"/>
              <w:widowControl w:val="0"/>
              <w:bidi w:val="0"/>
              <w:rPr>
                <w:rFonts w:hint="default"/>
                <w:color w:val="auto"/>
                <w:lang w:val="en-US" w:eastAsia="en-US"/>
              </w:rPr>
            </w:pPr>
            <w:r>
              <w:rPr>
                <w:rFonts w:hint="eastAsia"/>
                <w:color w:val="auto"/>
                <w:lang w:val="en-US" w:eastAsia="zh-CN"/>
              </w:rPr>
              <w:t>2.388</w:t>
            </w:r>
          </w:p>
        </w:tc>
        <w:tc>
          <w:tcPr>
            <w:tcW w:w="1076" w:type="dxa"/>
            <w:shd w:val="clear" w:color="auto" w:fill="auto"/>
            <w:vAlign w:val="center"/>
          </w:tcPr>
          <w:p w14:paraId="2563466E">
            <w:pPr>
              <w:pStyle w:val="30"/>
              <w:widowControl w:val="0"/>
              <w:bidi w:val="0"/>
              <w:rPr>
                <w:rFonts w:hint="eastAsia"/>
                <w:color w:val="auto"/>
                <w:lang w:val="en-US" w:eastAsia="en-US"/>
              </w:rPr>
            </w:pPr>
            <w:r>
              <w:rPr>
                <w:rFonts w:hint="eastAsia"/>
                <w:color w:val="auto"/>
                <w:lang w:val="en-US" w:eastAsia="zh-CN"/>
              </w:rPr>
              <w:t>0.3184</w:t>
            </w:r>
          </w:p>
        </w:tc>
        <w:tc>
          <w:tcPr>
            <w:tcW w:w="1632" w:type="dxa"/>
            <w:vAlign w:val="center"/>
          </w:tcPr>
          <w:p w14:paraId="3BFD6096">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0A846ECE">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36B99195">
            <w:pPr>
              <w:pStyle w:val="30"/>
              <w:widowControl w:val="0"/>
              <w:bidi w:val="0"/>
              <w:rPr>
                <w:rFonts w:hint="default"/>
                <w:color w:val="auto"/>
                <w:lang w:val="en-US" w:eastAsia="en-US"/>
              </w:rPr>
            </w:pPr>
            <w:r>
              <w:rPr>
                <w:rFonts w:hint="default"/>
                <w:color w:val="auto"/>
                <w:lang w:val="en-US" w:eastAsia="zh-CN"/>
              </w:rPr>
              <w:t>0.3184</w:t>
            </w:r>
          </w:p>
        </w:tc>
        <w:tc>
          <w:tcPr>
            <w:tcW w:w="1622" w:type="dxa"/>
            <w:shd w:val="clear" w:color="auto" w:fill="auto"/>
            <w:vAlign w:val="center"/>
          </w:tcPr>
          <w:p w14:paraId="3C0C39D1">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74274B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496F4931">
            <w:pPr>
              <w:pStyle w:val="30"/>
              <w:widowControl w:val="0"/>
              <w:bidi w:val="0"/>
              <w:rPr>
                <w:color w:val="auto"/>
                <w:lang w:val="en-US" w:eastAsia="en-US"/>
              </w:rPr>
            </w:pPr>
          </w:p>
        </w:tc>
        <w:tc>
          <w:tcPr>
            <w:tcW w:w="814" w:type="dxa"/>
            <w:vMerge w:val="continue"/>
            <w:shd w:val="clear" w:color="auto" w:fill="auto"/>
            <w:vAlign w:val="center"/>
          </w:tcPr>
          <w:p w14:paraId="340992DA">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0FC3D633">
            <w:pPr>
              <w:pStyle w:val="30"/>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rFonts w:hint="eastAsia"/>
                <w:color w:val="auto"/>
                <w:lang w:val="en-US" w:eastAsia="zh-CN"/>
              </w:rPr>
              <w:t>双氧水</w:t>
            </w:r>
            <w:r>
              <w:rPr>
                <w:sz w:val="21"/>
                <w:szCs w:val="21"/>
              </w:rPr>
              <w:t>（35%）</w:t>
            </w:r>
          </w:p>
        </w:tc>
        <w:tc>
          <w:tcPr>
            <w:tcW w:w="1488" w:type="dxa"/>
            <w:shd w:val="clear" w:color="auto" w:fill="auto"/>
            <w:vAlign w:val="center"/>
          </w:tcPr>
          <w:p w14:paraId="7ED997EC">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7722-84-1</w:t>
            </w:r>
          </w:p>
        </w:tc>
        <w:tc>
          <w:tcPr>
            <w:tcW w:w="1114" w:type="dxa"/>
            <w:shd w:val="clear" w:color="auto" w:fill="auto"/>
            <w:vAlign w:val="center"/>
          </w:tcPr>
          <w:p w14:paraId="4E38E639">
            <w:pPr>
              <w:pStyle w:val="30"/>
              <w:widowControl w:val="0"/>
              <w:bidi w:val="0"/>
              <w:rPr>
                <w:rFonts w:hint="default"/>
                <w:color w:val="auto"/>
                <w:lang w:val="en-US" w:eastAsia="en-US"/>
              </w:rPr>
            </w:pPr>
            <w:r>
              <w:rPr>
                <w:rFonts w:hint="eastAsia"/>
                <w:color w:val="auto"/>
                <w:lang w:val="en-US" w:eastAsia="zh-CN"/>
              </w:rPr>
              <w:t>50</w:t>
            </w:r>
          </w:p>
        </w:tc>
        <w:tc>
          <w:tcPr>
            <w:tcW w:w="1575" w:type="dxa"/>
            <w:shd w:val="clear" w:color="auto" w:fill="auto"/>
            <w:vAlign w:val="center"/>
          </w:tcPr>
          <w:p w14:paraId="0BDA16FC">
            <w:pPr>
              <w:pStyle w:val="30"/>
              <w:widowControl w:val="0"/>
              <w:bidi w:val="0"/>
              <w:rPr>
                <w:rFonts w:hint="default"/>
                <w:color w:val="auto"/>
                <w:lang w:val="en-US" w:eastAsia="en-US"/>
              </w:rPr>
            </w:pPr>
            <w:r>
              <w:rPr>
                <w:rFonts w:hint="eastAsia"/>
                <w:color w:val="auto"/>
                <w:lang w:val="en-US" w:eastAsia="zh-CN"/>
              </w:rPr>
              <w:t>2.149</w:t>
            </w:r>
          </w:p>
        </w:tc>
        <w:tc>
          <w:tcPr>
            <w:tcW w:w="1076" w:type="dxa"/>
            <w:shd w:val="clear" w:color="auto" w:fill="auto"/>
            <w:vAlign w:val="center"/>
          </w:tcPr>
          <w:p w14:paraId="78AE36B3">
            <w:pPr>
              <w:pStyle w:val="30"/>
              <w:widowControl w:val="0"/>
              <w:bidi w:val="0"/>
              <w:rPr>
                <w:rFonts w:hint="eastAsia"/>
                <w:color w:val="auto"/>
                <w:lang w:val="en-US" w:eastAsia="en-US"/>
              </w:rPr>
            </w:pPr>
            <w:r>
              <w:rPr>
                <w:rFonts w:hint="eastAsia"/>
                <w:color w:val="auto"/>
                <w:lang w:val="en-US" w:eastAsia="zh-CN"/>
              </w:rPr>
              <w:t>0.04298</w:t>
            </w:r>
          </w:p>
        </w:tc>
        <w:tc>
          <w:tcPr>
            <w:tcW w:w="1632" w:type="dxa"/>
            <w:vAlign w:val="center"/>
          </w:tcPr>
          <w:p w14:paraId="4B48D0C3">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683EB574">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022D9465">
            <w:pPr>
              <w:pStyle w:val="30"/>
              <w:widowControl w:val="0"/>
              <w:bidi w:val="0"/>
              <w:rPr>
                <w:rFonts w:hint="default"/>
                <w:color w:val="auto"/>
                <w:lang w:val="en-US" w:eastAsia="en-US"/>
              </w:rPr>
            </w:pPr>
            <w:r>
              <w:rPr>
                <w:rFonts w:hint="default"/>
                <w:color w:val="auto"/>
                <w:lang w:val="en-US" w:eastAsia="zh-CN"/>
              </w:rPr>
              <w:t>0.04298</w:t>
            </w:r>
          </w:p>
        </w:tc>
        <w:tc>
          <w:tcPr>
            <w:tcW w:w="1622" w:type="dxa"/>
            <w:shd w:val="clear" w:color="auto" w:fill="auto"/>
            <w:vAlign w:val="center"/>
          </w:tcPr>
          <w:p w14:paraId="00394884">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31E265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6DC9FC8E">
            <w:pPr>
              <w:pStyle w:val="30"/>
              <w:widowControl w:val="0"/>
              <w:bidi w:val="0"/>
              <w:rPr>
                <w:color w:val="auto"/>
                <w:lang w:val="en-US" w:eastAsia="en-US"/>
              </w:rPr>
            </w:pPr>
          </w:p>
        </w:tc>
        <w:tc>
          <w:tcPr>
            <w:tcW w:w="814" w:type="dxa"/>
            <w:vMerge w:val="continue"/>
            <w:shd w:val="clear" w:color="auto" w:fill="auto"/>
            <w:vAlign w:val="center"/>
          </w:tcPr>
          <w:p w14:paraId="64F36FF5">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2CFF9B4B">
            <w:pPr>
              <w:pStyle w:val="30"/>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color w:val="auto"/>
                <w:lang w:val="en-US" w:eastAsia="en-US"/>
              </w:rPr>
              <w:t>三氯氧磷</w:t>
            </w:r>
          </w:p>
        </w:tc>
        <w:tc>
          <w:tcPr>
            <w:tcW w:w="1488" w:type="dxa"/>
            <w:shd w:val="clear" w:color="auto" w:fill="auto"/>
            <w:vAlign w:val="center"/>
          </w:tcPr>
          <w:p w14:paraId="5FA81BCC">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10025-87-3</w:t>
            </w:r>
          </w:p>
        </w:tc>
        <w:tc>
          <w:tcPr>
            <w:tcW w:w="1114" w:type="dxa"/>
            <w:shd w:val="clear" w:color="auto" w:fill="auto"/>
            <w:vAlign w:val="center"/>
          </w:tcPr>
          <w:p w14:paraId="6C6A3D23">
            <w:pPr>
              <w:pStyle w:val="30"/>
              <w:widowControl w:val="0"/>
              <w:bidi w:val="0"/>
              <w:rPr>
                <w:rFonts w:hint="default"/>
                <w:color w:val="auto"/>
                <w:lang w:val="en-US" w:eastAsia="en-US"/>
              </w:rPr>
            </w:pPr>
            <w:r>
              <w:rPr>
                <w:rFonts w:hint="eastAsia"/>
                <w:color w:val="auto"/>
                <w:lang w:val="en-US" w:eastAsia="zh-CN"/>
              </w:rPr>
              <w:t>2.5</w:t>
            </w:r>
          </w:p>
        </w:tc>
        <w:tc>
          <w:tcPr>
            <w:tcW w:w="1575" w:type="dxa"/>
            <w:shd w:val="clear" w:color="auto" w:fill="auto"/>
            <w:vAlign w:val="center"/>
          </w:tcPr>
          <w:p w14:paraId="3A0610BE">
            <w:pPr>
              <w:pStyle w:val="30"/>
              <w:widowControl w:val="0"/>
              <w:bidi w:val="0"/>
              <w:rPr>
                <w:rFonts w:hint="default"/>
                <w:color w:val="auto"/>
                <w:lang w:val="en-US" w:eastAsia="en-US"/>
              </w:rPr>
            </w:pPr>
            <w:r>
              <w:rPr>
                <w:rFonts w:hint="eastAsia"/>
                <w:color w:val="auto"/>
                <w:lang w:val="en-US" w:eastAsia="zh-CN"/>
              </w:rPr>
              <w:t>1.7766</w:t>
            </w:r>
          </w:p>
        </w:tc>
        <w:tc>
          <w:tcPr>
            <w:tcW w:w="1076" w:type="dxa"/>
            <w:shd w:val="clear" w:color="auto" w:fill="auto"/>
            <w:vAlign w:val="center"/>
          </w:tcPr>
          <w:p w14:paraId="5A402A6D">
            <w:pPr>
              <w:pStyle w:val="30"/>
              <w:widowControl w:val="0"/>
              <w:bidi w:val="0"/>
              <w:rPr>
                <w:rFonts w:hint="eastAsia"/>
                <w:color w:val="auto"/>
                <w:lang w:val="en-US" w:eastAsia="en-US"/>
              </w:rPr>
            </w:pPr>
            <w:r>
              <w:rPr>
                <w:rFonts w:hint="eastAsia"/>
                <w:color w:val="auto"/>
                <w:lang w:val="en-US" w:eastAsia="zh-CN"/>
              </w:rPr>
              <w:t>0.71064</w:t>
            </w:r>
          </w:p>
        </w:tc>
        <w:tc>
          <w:tcPr>
            <w:tcW w:w="1632" w:type="dxa"/>
            <w:vAlign w:val="center"/>
          </w:tcPr>
          <w:p w14:paraId="5A40F627">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6CEA1A88">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722B10C1">
            <w:pPr>
              <w:pStyle w:val="30"/>
              <w:widowControl w:val="0"/>
              <w:bidi w:val="0"/>
              <w:rPr>
                <w:rFonts w:hint="default"/>
                <w:color w:val="auto"/>
                <w:lang w:val="en-US" w:eastAsia="en-US"/>
              </w:rPr>
            </w:pPr>
            <w:r>
              <w:rPr>
                <w:rFonts w:hint="default"/>
                <w:color w:val="auto"/>
                <w:lang w:val="en-US" w:eastAsia="zh-CN"/>
              </w:rPr>
              <w:t>0.71064</w:t>
            </w:r>
          </w:p>
        </w:tc>
        <w:tc>
          <w:tcPr>
            <w:tcW w:w="1622" w:type="dxa"/>
            <w:shd w:val="clear" w:color="auto" w:fill="auto"/>
            <w:vAlign w:val="center"/>
          </w:tcPr>
          <w:p w14:paraId="150C6554">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7839CD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5869CB37">
            <w:pPr>
              <w:pStyle w:val="30"/>
              <w:widowControl w:val="0"/>
              <w:bidi w:val="0"/>
              <w:rPr>
                <w:color w:val="auto"/>
                <w:lang w:val="en-US" w:eastAsia="en-US"/>
              </w:rPr>
            </w:pPr>
          </w:p>
        </w:tc>
        <w:tc>
          <w:tcPr>
            <w:tcW w:w="814" w:type="dxa"/>
            <w:vMerge w:val="continue"/>
            <w:shd w:val="clear" w:color="auto" w:fill="auto"/>
            <w:vAlign w:val="center"/>
          </w:tcPr>
          <w:p w14:paraId="480462F7">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7F5A1675">
            <w:pPr>
              <w:pStyle w:val="30"/>
              <w:widowControl w:val="0"/>
              <w:bidi w:val="0"/>
              <w:ind w:firstLine="0" w:firstLineChars="0"/>
              <w:rPr>
                <w:rFonts w:hint="eastAsia"/>
                <w:color w:val="auto"/>
                <w:lang w:val="en-US" w:eastAsia="en-US"/>
              </w:rPr>
            </w:pPr>
            <w:r>
              <w:rPr>
                <w:sz w:val="21"/>
                <w:szCs w:val="21"/>
              </w:rPr>
              <w:t>无水乙醇</w:t>
            </w:r>
          </w:p>
        </w:tc>
        <w:tc>
          <w:tcPr>
            <w:tcW w:w="1488" w:type="dxa"/>
            <w:vAlign w:val="center"/>
          </w:tcPr>
          <w:p w14:paraId="7A6EEDA1">
            <w:pPr>
              <w:pStyle w:val="30"/>
              <w:widowControl w:val="0"/>
              <w:bidi w:val="0"/>
              <w:rPr>
                <w:color w:val="auto"/>
                <w:lang w:val="en-US" w:eastAsia="en-US"/>
              </w:rPr>
            </w:pPr>
            <w:r>
              <w:rPr>
                <w:color w:val="auto"/>
                <w:lang w:val="en-US" w:eastAsia="en-US"/>
              </w:rPr>
              <w:t>64-17-5</w:t>
            </w:r>
          </w:p>
        </w:tc>
        <w:tc>
          <w:tcPr>
            <w:tcW w:w="1114" w:type="dxa"/>
            <w:vAlign w:val="center"/>
          </w:tcPr>
          <w:p w14:paraId="690D6C45">
            <w:pPr>
              <w:pStyle w:val="30"/>
              <w:widowControl w:val="0"/>
              <w:bidi w:val="0"/>
              <w:rPr>
                <w:rFonts w:hint="default"/>
                <w:color w:val="auto"/>
                <w:lang w:val="en-US" w:eastAsia="zh-CN"/>
              </w:rPr>
            </w:pPr>
            <w:r>
              <w:rPr>
                <w:rFonts w:hint="eastAsia"/>
                <w:color w:val="auto"/>
                <w:lang w:val="en-US" w:eastAsia="zh-CN"/>
              </w:rPr>
              <w:t>500</w:t>
            </w:r>
          </w:p>
        </w:tc>
        <w:tc>
          <w:tcPr>
            <w:tcW w:w="1575" w:type="dxa"/>
            <w:shd w:val="clear" w:color="auto" w:fill="auto"/>
            <w:vAlign w:val="center"/>
          </w:tcPr>
          <w:p w14:paraId="4D34C2CB">
            <w:pPr>
              <w:pStyle w:val="30"/>
              <w:widowControl w:val="0"/>
              <w:bidi w:val="0"/>
              <w:rPr>
                <w:rFonts w:hint="default"/>
                <w:color w:val="auto"/>
                <w:lang w:val="en-US" w:eastAsia="en-US"/>
              </w:rPr>
            </w:pPr>
            <w:r>
              <w:rPr>
                <w:rFonts w:hint="eastAsia"/>
                <w:color w:val="auto"/>
                <w:lang w:val="en-US" w:eastAsia="zh-CN"/>
              </w:rPr>
              <w:t>5.3652</w:t>
            </w:r>
          </w:p>
        </w:tc>
        <w:tc>
          <w:tcPr>
            <w:tcW w:w="1076" w:type="dxa"/>
            <w:shd w:val="clear" w:color="auto" w:fill="auto"/>
            <w:vAlign w:val="center"/>
          </w:tcPr>
          <w:p w14:paraId="5D93E97E">
            <w:pPr>
              <w:pStyle w:val="30"/>
              <w:widowControl w:val="0"/>
              <w:bidi w:val="0"/>
              <w:rPr>
                <w:rFonts w:hint="eastAsia"/>
                <w:color w:val="auto"/>
                <w:lang w:val="en-US" w:eastAsia="en-US"/>
              </w:rPr>
            </w:pPr>
            <w:r>
              <w:rPr>
                <w:rFonts w:hint="eastAsia"/>
                <w:color w:val="auto"/>
                <w:lang w:val="en-US" w:eastAsia="zh-CN"/>
              </w:rPr>
              <w:t>0.0107304</w:t>
            </w:r>
          </w:p>
        </w:tc>
        <w:tc>
          <w:tcPr>
            <w:tcW w:w="1632" w:type="dxa"/>
            <w:vAlign w:val="center"/>
          </w:tcPr>
          <w:p w14:paraId="26C82623">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74E8F095">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65A96FF2">
            <w:pPr>
              <w:pStyle w:val="30"/>
              <w:widowControl w:val="0"/>
              <w:bidi w:val="0"/>
              <w:rPr>
                <w:rFonts w:hint="default"/>
                <w:color w:val="auto"/>
                <w:lang w:val="en-US" w:eastAsia="en-US"/>
              </w:rPr>
            </w:pPr>
            <w:r>
              <w:rPr>
                <w:rFonts w:hint="default"/>
                <w:color w:val="auto"/>
                <w:lang w:val="en-US" w:eastAsia="zh-CN"/>
              </w:rPr>
              <w:t>0.0107304</w:t>
            </w:r>
          </w:p>
        </w:tc>
        <w:tc>
          <w:tcPr>
            <w:tcW w:w="1622" w:type="dxa"/>
            <w:shd w:val="clear" w:color="auto" w:fill="auto"/>
            <w:vAlign w:val="center"/>
          </w:tcPr>
          <w:p w14:paraId="5CA0A0AD">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717A73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restart"/>
            <w:vAlign w:val="center"/>
          </w:tcPr>
          <w:p w14:paraId="6E1E5B58">
            <w:pPr>
              <w:pStyle w:val="30"/>
              <w:widowControl w:val="0"/>
              <w:bidi w:val="0"/>
              <w:rPr>
                <w:rFonts w:hint="default" w:eastAsia="宋体"/>
                <w:color w:val="auto"/>
                <w:lang w:val="en-US" w:eastAsia="zh-CN"/>
              </w:rPr>
            </w:pPr>
            <w:r>
              <w:rPr>
                <w:rFonts w:hint="eastAsia"/>
                <w:color w:val="auto"/>
                <w:lang w:val="en-US" w:eastAsia="zh-CN"/>
              </w:rPr>
              <w:t>环保单元</w:t>
            </w:r>
          </w:p>
        </w:tc>
        <w:tc>
          <w:tcPr>
            <w:tcW w:w="814" w:type="dxa"/>
            <w:vMerge w:val="restart"/>
            <w:shd w:val="clear" w:color="auto" w:fill="auto"/>
            <w:vAlign w:val="center"/>
          </w:tcPr>
          <w:p w14:paraId="3E634908">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rFonts w:hint="eastAsia"/>
                <w:sz w:val="21"/>
                <w:szCs w:val="21"/>
                <w:lang w:val="en-US" w:eastAsia="zh-CN"/>
              </w:rPr>
              <w:t>电池车间1楼顶储罐</w:t>
            </w:r>
          </w:p>
        </w:tc>
        <w:tc>
          <w:tcPr>
            <w:tcW w:w="1374" w:type="dxa"/>
            <w:shd w:val="clear" w:color="auto" w:fill="auto"/>
            <w:vAlign w:val="center"/>
          </w:tcPr>
          <w:p w14:paraId="1F91CCC6">
            <w:pPr>
              <w:pStyle w:val="30"/>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rFonts w:hint="eastAsia"/>
                <w:color w:val="auto"/>
                <w:lang w:val="en-US" w:eastAsia="zh-CN"/>
              </w:rPr>
              <w:t>盐酸（36%）</w:t>
            </w:r>
          </w:p>
        </w:tc>
        <w:tc>
          <w:tcPr>
            <w:tcW w:w="1488" w:type="dxa"/>
            <w:shd w:val="clear" w:color="auto" w:fill="auto"/>
            <w:vAlign w:val="center"/>
          </w:tcPr>
          <w:p w14:paraId="6D3CDACF">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647-01-0</w:t>
            </w:r>
          </w:p>
        </w:tc>
        <w:tc>
          <w:tcPr>
            <w:tcW w:w="1114" w:type="dxa"/>
            <w:vAlign w:val="center"/>
          </w:tcPr>
          <w:p w14:paraId="2EBD7DB6">
            <w:pPr>
              <w:pStyle w:val="30"/>
              <w:widowControl w:val="0"/>
              <w:bidi w:val="0"/>
              <w:rPr>
                <w:rFonts w:hint="default"/>
                <w:color w:val="auto"/>
                <w:lang w:val="en-US" w:eastAsia="zh-CN"/>
              </w:rPr>
            </w:pPr>
            <w:r>
              <w:rPr>
                <w:rFonts w:hint="eastAsia"/>
                <w:color w:val="auto"/>
                <w:lang w:val="en-US" w:eastAsia="zh-CN"/>
              </w:rPr>
              <w:t>7.5</w:t>
            </w:r>
          </w:p>
        </w:tc>
        <w:tc>
          <w:tcPr>
            <w:tcW w:w="1575" w:type="dxa"/>
            <w:shd w:val="clear" w:color="auto" w:fill="auto"/>
            <w:vAlign w:val="center"/>
          </w:tcPr>
          <w:p w14:paraId="29B9C193">
            <w:pPr>
              <w:pStyle w:val="30"/>
              <w:widowControl w:val="0"/>
              <w:bidi w:val="0"/>
              <w:rPr>
                <w:rFonts w:hint="default"/>
                <w:color w:val="auto"/>
                <w:lang w:val="en-US" w:eastAsia="en-US"/>
              </w:rPr>
            </w:pPr>
            <w:r>
              <w:rPr>
                <w:rFonts w:hint="eastAsia"/>
                <w:color w:val="auto"/>
                <w:lang w:val="en-US" w:eastAsia="zh-CN"/>
              </w:rPr>
              <w:t>16.9776</w:t>
            </w:r>
          </w:p>
        </w:tc>
        <w:tc>
          <w:tcPr>
            <w:tcW w:w="1076" w:type="dxa"/>
            <w:shd w:val="clear" w:color="auto" w:fill="auto"/>
            <w:vAlign w:val="center"/>
          </w:tcPr>
          <w:p w14:paraId="0166AFB2">
            <w:pPr>
              <w:pStyle w:val="30"/>
              <w:widowControl w:val="0"/>
              <w:bidi w:val="0"/>
              <w:rPr>
                <w:rFonts w:hint="eastAsia"/>
                <w:color w:val="auto"/>
                <w:lang w:val="en-US" w:eastAsia="en-US"/>
              </w:rPr>
            </w:pPr>
            <w:r>
              <w:rPr>
                <w:rFonts w:hint="eastAsia"/>
                <w:color w:val="auto"/>
                <w:lang w:val="en-US" w:eastAsia="zh-CN"/>
              </w:rPr>
              <w:t>2.26368</w:t>
            </w:r>
          </w:p>
        </w:tc>
        <w:tc>
          <w:tcPr>
            <w:tcW w:w="1632" w:type="dxa"/>
            <w:vAlign w:val="center"/>
          </w:tcPr>
          <w:p w14:paraId="16A6E7FC">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035ECAA3">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64B7A8A1">
            <w:pPr>
              <w:pStyle w:val="30"/>
              <w:widowControl w:val="0"/>
              <w:bidi w:val="0"/>
              <w:rPr>
                <w:rFonts w:hint="default"/>
                <w:color w:val="auto"/>
                <w:lang w:val="en-US" w:eastAsia="en-US"/>
              </w:rPr>
            </w:pPr>
            <w:r>
              <w:rPr>
                <w:rFonts w:hint="default"/>
                <w:color w:val="auto"/>
                <w:lang w:val="en-US" w:eastAsia="zh-CN"/>
              </w:rPr>
              <w:t>2.26368</w:t>
            </w:r>
          </w:p>
        </w:tc>
        <w:tc>
          <w:tcPr>
            <w:tcW w:w="1622" w:type="dxa"/>
            <w:shd w:val="clear" w:color="auto" w:fill="auto"/>
            <w:vAlign w:val="center"/>
          </w:tcPr>
          <w:p w14:paraId="22B06640">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2CE715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7388380D">
            <w:pPr>
              <w:pStyle w:val="30"/>
              <w:widowControl w:val="0"/>
              <w:bidi w:val="0"/>
              <w:rPr>
                <w:color w:val="auto"/>
                <w:lang w:val="en-US" w:eastAsia="en-US"/>
              </w:rPr>
            </w:pPr>
          </w:p>
        </w:tc>
        <w:tc>
          <w:tcPr>
            <w:tcW w:w="814" w:type="dxa"/>
            <w:vMerge w:val="continue"/>
            <w:shd w:val="clear" w:color="auto" w:fill="auto"/>
            <w:vAlign w:val="center"/>
          </w:tcPr>
          <w:p w14:paraId="099B5A94">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p>
        </w:tc>
        <w:tc>
          <w:tcPr>
            <w:tcW w:w="1374" w:type="dxa"/>
            <w:shd w:val="clear" w:color="auto" w:fill="auto"/>
            <w:vAlign w:val="center"/>
          </w:tcPr>
          <w:p w14:paraId="76B030FE">
            <w:pPr>
              <w:pStyle w:val="30"/>
              <w:widowControl w:val="0"/>
              <w:bidi w:val="0"/>
              <w:ind w:firstLine="0" w:firstLineChars="0"/>
              <w:rPr>
                <w:rFonts w:hint="eastAsia" w:ascii="Times New Roman" w:hAnsi="Times New Roman" w:eastAsia="宋体" w:cs="宋体"/>
                <w:b w:val="0"/>
                <w:color w:val="auto"/>
                <w:kern w:val="0"/>
                <w:sz w:val="21"/>
                <w:szCs w:val="21"/>
                <w:lang w:val="en-US" w:eastAsia="en-US" w:bidi="ar-SA"/>
              </w:rPr>
            </w:pPr>
            <w:r>
              <w:rPr>
                <w:color w:val="auto"/>
                <w:lang w:val="en-US" w:eastAsia="en-US"/>
              </w:rPr>
              <w:t>氢氟酸</w:t>
            </w:r>
            <w:r>
              <w:rPr>
                <w:sz w:val="21"/>
                <w:szCs w:val="21"/>
              </w:rPr>
              <w:t>（40%）</w:t>
            </w:r>
          </w:p>
        </w:tc>
        <w:tc>
          <w:tcPr>
            <w:tcW w:w="1488" w:type="dxa"/>
            <w:shd w:val="clear" w:color="auto" w:fill="auto"/>
            <w:vAlign w:val="center"/>
          </w:tcPr>
          <w:p w14:paraId="72762FA4">
            <w:pPr>
              <w:pStyle w:val="30"/>
              <w:widowControl w:val="0"/>
              <w:bidi w:val="0"/>
              <w:ind w:firstLine="0" w:firstLineChars="0"/>
              <w:rPr>
                <w:rFonts w:ascii="Times New Roman" w:hAnsi="Times New Roman" w:eastAsia="宋体" w:cs="宋体"/>
                <w:b w:val="0"/>
                <w:color w:val="auto"/>
                <w:kern w:val="0"/>
                <w:sz w:val="21"/>
                <w:szCs w:val="21"/>
                <w:lang w:val="en-US" w:eastAsia="en-US" w:bidi="ar-SA"/>
              </w:rPr>
            </w:pPr>
            <w:r>
              <w:rPr>
                <w:color w:val="auto"/>
                <w:lang w:val="en-US" w:eastAsia="en-US"/>
              </w:rPr>
              <w:t>7664-39-3</w:t>
            </w:r>
          </w:p>
        </w:tc>
        <w:tc>
          <w:tcPr>
            <w:tcW w:w="1114" w:type="dxa"/>
            <w:vAlign w:val="center"/>
          </w:tcPr>
          <w:p w14:paraId="20219A0D">
            <w:pPr>
              <w:pStyle w:val="30"/>
              <w:widowControl w:val="0"/>
              <w:bidi w:val="0"/>
              <w:rPr>
                <w:rFonts w:hint="eastAsia"/>
                <w:color w:val="auto"/>
                <w:lang w:val="en-US" w:eastAsia="zh-CN"/>
              </w:rPr>
            </w:pPr>
            <w:r>
              <w:rPr>
                <w:rFonts w:hint="eastAsia"/>
                <w:color w:val="auto"/>
                <w:lang w:val="en-US" w:eastAsia="zh-CN"/>
              </w:rPr>
              <w:t>1</w:t>
            </w:r>
          </w:p>
        </w:tc>
        <w:tc>
          <w:tcPr>
            <w:tcW w:w="1575" w:type="dxa"/>
            <w:shd w:val="clear" w:color="auto" w:fill="auto"/>
            <w:vAlign w:val="center"/>
          </w:tcPr>
          <w:p w14:paraId="4714AFA1">
            <w:pPr>
              <w:pStyle w:val="30"/>
              <w:widowControl w:val="0"/>
              <w:bidi w:val="0"/>
              <w:rPr>
                <w:rFonts w:hint="default"/>
                <w:color w:val="auto"/>
                <w:lang w:val="en-US" w:eastAsia="en-US"/>
              </w:rPr>
            </w:pPr>
            <w:r>
              <w:rPr>
                <w:rFonts w:hint="eastAsia"/>
                <w:color w:val="auto"/>
                <w:lang w:val="en-US" w:eastAsia="zh-CN"/>
              </w:rPr>
              <w:t>18.4</w:t>
            </w:r>
          </w:p>
        </w:tc>
        <w:tc>
          <w:tcPr>
            <w:tcW w:w="1076" w:type="dxa"/>
            <w:shd w:val="clear" w:color="auto" w:fill="auto"/>
            <w:vAlign w:val="center"/>
          </w:tcPr>
          <w:p w14:paraId="7596EF2C">
            <w:pPr>
              <w:pStyle w:val="30"/>
              <w:widowControl w:val="0"/>
              <w:bidi w:val="0"/>
              <w:rPr>
                <w:rFonts w:hint="eastAsia"/>
                <w:color w:val="auto"/>
                <w:lang w:val="en-US" w:eastAsia="en-US"/>
              </w:rPr>
            </w:pPr>
            <w:r>
              <w:rPr>
                <w:rFonts w:hint="eastAsia"/>
                <w:color w:val="auto"/>
                <w:lang w:val="en-US" w:eastAsia="zh-CN"/>
              </w:rPr>
              <w:t>18.4</w:t>
            </w:r>
          </w:p>
        </w:tc>
        <w:tc>
          <w:tcPr>
            <w:tcW w:w="1632" w:type="dxa"/>
            <w:vAlign w:val="center"/>
          </w:tcPr>
          <w:p w14:paraId="011CD3DF">
            <w:pPr>
              <w:pStyle w:val="30"/>
              <w:widowControl w:val="0"/>
              <w:bidi w:val="0"/>
              <w:rPr>
                <w:rFonts w:hint="eastAsia"/>
                <w:color w:val="auto"/>
                <w:lang w:val="en-US" w:eastAsia="en-US"/>
              </w:rPr>
            </w:pPr>
            <w:r>
              <w:rPr>
                <w:rFonts w:hint="eastAsia"/>
                <w:color w:val="auto"/>
                <w:lang w:val="en-US" w:eastAsia="zh-CN"/>
              </w:rPr>
              <w:t>0</w:t>
            </w:r>
          </w:p>
        </w:tc>
        <w:tc>
          <w:tcPr>
            <w:tcW w:w="1318" w:type="dxa"/>
            <w:vAlign w:val="center"/>
          </w:tcPr>
          <w:p w14:paraId="4DBB1DE3">
            <w:pPr>
              <w:pStyle w:val="30"/>
              <w:widowControl w:val="0"/>
              <w:bidi w:val="0"/>
              <w:rPr>
                <w:rFonts w:hint="eastAsia"/>
                <w:color w:val="auto"/>
                <w:lang w:val="en-US" w:eastAsia="en-US"/>
              </w:rPr>
            </w:pPr>
            <w:r>
              <w:rPr>
                <w:rFonts w:hint="eastAsia"/>
                <w:color w:val="auto"/>
                <w:lang w:val="en-US" w:eastAsia="zh-CN"/>
              </w:rPr>
              <w:t>0</w:t>
            </w:r>
          </w:p>
        </w:tc>
        <w:tc>
          <w:tcPr>
            <w:tcW w:w="1473" w:type="dxa"/>
            <w:shd w:val="clear" w:color="auto" w:fill="auto"/>
            <w:vAlign w:val="center"/>
          </w:tcPr>
          <w:p w14:paraId="0590DBBE">
            <w:pPr>
              <w:pStyle w:val="30"/>
              <w:widowControl w:val="0"/>
              <w:bidi w:val="0"/>
              <w:rPr>
                <w:rFonts w:hint="default"/>
                <w:color w:val="auto"/>
                <w:lang w:val="en-US" w:eastAsia="en-US"/>
              </w:rPr>
            </w:pPr>
            <w:r>
              <w:rPr>
                <w:rFonts w:hint="default"/>
                <w:color w:val="auto"/>
                <w:lang w:val="en-US" w:eastAsia="zh-CN"/>
              </w:rPr>
              <w:t>18.4</w:t>
            </w:r>
          </w:p>
        </w:tc>
        <w:tc>
          <w:tcPr>
            <w:tcW w:w="1622" w:type="dxa"/>
            <w:shd w:val="clear" w:color="auto" w:fill="auto"/>
            <w:vAlign w:val="center"/>
          </w:tcPr>
          <w:p w14:paraId="3B3890ED">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w:t>
            </w:r>
          </w:p>
        </w:tc>
      </w:tr>
      <w:tr w14:paraId="5D11C5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14" w:type="dxa"/>
            <w:vMerge w:val="continue"/>
            <w:vAlign w:val="center"/>
          </w:tcPr>
          <w:p w14:paraId="39E369DF">
            <w:pPr>
              <w:pStyle w:val="30"/>
              <w:widowControl w:val="0"/>
              <w:bidi w:val="0"/>
              <w:rPr>
                <w:color w:val="auto"/>
                <w:lang w:val="en-US" w:eastAsia="en-US"/>
              </w:rPr>
            </w:pPr>
          </w:p>
        </w:tc>
        <w:tc>
          <w:tcPr>
            <w:tcW w:w="814" w:type="dxa"/>
            <w:shd w:val="clear" w:color="auto" w:fill="auto"/>
            <w:vAlign w:val="center"/>
          </w:tcPr>
          <w:p w14:paraId="4E862954">
            <w:pPr>
              <w:pStyle w:val="30"/>
              <w:widowControl w:val="0"/>
              <w:bidi w:val="0"/>
              <w:ind w:firstLine="0" w:firstLineChars="0"/>
              <w:rPr>
                <w:rFonts w:hint="eastAsia" w:ascii="Times New Roman" w:hAnsi="Times New Roman" w:eastAsia="宋体" w:cs="宋体"/>
                <w:b w:val="0"/>
                <w:color w:val="auto"/>
                <w:kern w:val="0"/>
                <w:sz w:val="21"/>
                <w:szCs w:val="21"/>
                <w:lang w:val="en-US" w:eastAsia="zh-CN" w:bidi="ar-SA"/>
              </w:rPr>
            </w:pPr>
            <w:r>
              <w:rPr>
                <w:rFonts w:hint="eastAsia" w:cs="宋体"/>
                <w:b w:val="0"/>
                <w:color w:val="auto"/>
                <w:kern w:val="0"/>
                <w:sz w:val="21"/>
                <w:szCs w:val="21"/>
                <w:lang w:val="en-US" w:eastAsia="zh-CN" w:bidi="ar-SA"/>
              </w:rPr>
              <w:t>危废暂存间</w:t>
            </w:r>
          </w:p>
        </w:tc>
        <w:tc>
          <w:tcPr>
            <w:tcW w:w="1374" w:type="dxa"/>
            <w:shd w:val="clear" w:color="auto" w:fill="auto"/>
            <w:vAlign w:val="center"/>
          </w:tcPr>
          <w:p w14:paraId="77E8981F">
            <w:pPr>
              <w:pStyle w:val="30"/>
              <w:widowControl w:val="0"/>
              <w:bidi w:val="0"/>
              <w:ind w:firstLine="0" w:firstLineChars="0"/>
              <w:rPr>
                <w:rFonts w:hint="eastAsia" w:eastAsia="宋体"/>
                <w:color w:val="auto"/>
                <w:lang w:val="en-US" w:eastAsia="zh-CN"/>
              </w:rPr>
            </w:pPr>
            <w:r>
              <w:rPr>
                <w:rFonts w:hint="eastAsia"/>
                <w:color w:val="auto"/>
                <w:lang w:val="en-US" w:eastAsia="zh-CN"/>
              </w:rPr>
              <w:t>危险废物</w:t>
            </w:r>
          </w:p>
        </w:tc>
        <w:tc>
          <w:tcPr>
            <w:tcW w:w="1488" w:type="dxa"/>
            <w:vAlign w:val="center"/>
          </w:tcPr>
          <w:p w14:paraId="64F78AC4">
            <w:pPr>
              <w:pStyle w:val="30"/>
              <w:widowControl w:val="0"/>
              <w:bidi w:val="0"/>
              <w:rPr>
                <w:rFonts w:hint="eastAsia" w:eastAsia="宋体"/>
                <w:color w:val="auto"/>
                <w:lang w:val="en-US" w:eastAsia="zh-CN"/>
              </w:rPr>
            </w:pPr>
            <w:r>
              <w:rPr>
                <w:rFonts w:hint="eastAsia"/>
                <w:color w:val="auto"/>
                <w:lang w:val="en-US" w:eastAsia="zh-CN"/>
              </w:rPr>
              <w:t>/</w:t>
            </w:r>
          </w:p>
        </w:tc>
        <w:tc>
          <w:tcPr>
            <w:tcW w:w="1114" w:type="dxa"/>
            <w:vAlign w:val="center"/>
          </w:tcPr>
          <w:p w14:paraId="726F9F7C">
            <w:pPr>
              <w:pStyle w:val="30"/>
              <w:widowControl w:val="0"/>
              <w:bidi w:val="0"/>
              <w:rPr>
                <w:rFonts w:hint="default"/>
                <w:color w:val="auto"/>
                <w:lang w:val="en-US" w:eastAsia="zh-CN"/>
              </w:rPr>
            </w:pPr>
            <w:r>
              <w:rPr>
                <w:rFonts w:hint="eastAsia"/>
                <w:color w:val="auto"/>
                <w:lang w:val="en-US" w:eastAsia="zh-CN"/>
              </w:rPr>
              <w:t>50</w:t>
            </w:r>
          </w:p>
        </w:tc>
        <w:tc>
          <w:tcPr>
            <w:tcW w:w="1575" w:type="dxa"/>
            <w:vAlign w:val="center"/>
          </w:tcPr>
          <w:p w14:paraId="5E21A148">
            <w:pPr>
              <w:pStyle w:val="30"/>
              <w:widowControl w:val="0"/>
              <w:bidi w:val="0"/>
              <w:rPr>
                <w:rFonts w:hint="default"/>
                <w:color w:val="auto"/>
                <w:lang w:val="en-US" w:eastAsia="zh-CN"/>
              </w:rPr>
            </w:pPr>
            <w:r>
              <w:rPr>
                <w:rFonts w:hint="eastAsia"/>
                <w:color w:val="auto"/>
                <w:lang w:val="en-US" w:eastAsia="zh-CN"/>
              </w:rPr>
              <w:t>21.375</w:t>
            </w:r>
          </w:p>
        </w:tc>
        <w:tc>
          <w:tcPr>
            <w:tcW w:w="1076" w:type="dxa"/>
            <w:shd w:val="clear" w:color="auto" w:fill="auto"/>
            <w:vAlign w:val="center"/>
          </w:tcPr>
          <w:p w14:paraId="3EB8B894">
            <w:pPr>
              <w:pStyle w:val="30"/>
              <w:widowControl w:val="0"/>
              <w:bidi w:val="0"/>
              <w:rPr>
                <w:rFonts w:hint="eastAsia"/>
                <w:color w:val="auto"/>
                <w:lang w:val="en-US" w:eastAsia="en-US"/>
              </w:rPr>
            </w:pPr>
            <w:r>
              <w:rPr>
                <w:rFonts w:hint="eastAsia"/>
                <w:color w:val="auto"/>
                <w:lang w:val="en-US" w:eastAsia="zh-CN"/>
              </w:rPr>
              <w:t>0.4275</w:t>
            </w:r>
          </w:p>
        </w:tc>
        <w:tc>
          <w:tcPr>
            <w:tcW w:w="1632" w:type="dxa"/>
            <w:vAlign w:val="center"/>
          </w:tcPr>
          <w:p w14:paraId="027021F1">
            <w:pPr>
              <w:pStyle w:val="30"/>
              <w:widowControl w:val="0"/>
              <w:bidi w:val="0"/>
              <w:rPr>
                <w:rFonts w:hint="eastAsia"/>
                <w:color w:val="auto"/>
                <w:lang w:val="en-US" w:eastAsia="en-US"/>
              </w:rPr>
            </w:pPr>
            <w:r>
              <w:rPr>
                <w:rFonts w:hint="eastAsia"/>
                <w:color w:val="auto"/>
                <w:lang w:val="en-US" w:eastAsia="zh-CN"/>
              </w:rPr>
              <w:t>3</w:t>
            </w:r>
          </w:p>
        </w:tc>
        <w:tc>
          <w:tcPr>
            <w:tcW w:w="1318" w:type="dxa"/>
            <w:vAlign w:val="center"/>
          </w:tcPr>
          <w:p w14:paraId="1A7C94E7">
            <w:pPr>
              <w:pStyle w:val="30"/>
              <w:widowControl w:val="0"/>
              <w:bidi w:val="0"/>
              <w:rPr>
                <w:rFonts w:hint="default"/>
                <w:color w:val="auto"/>
                <w:lang w:val="en-US" w:eastAsia="en-US"/>
              </w:rPr>
            </w:pPr>
            <w:r>
              <w:rPr>
                <w:rFonts w:hint="eastAsia"/>
                <w:color w:val="auto"/>
                <w:lang w:val="en-US" w:eastAsia="zh-CN"/>
              </w:rPr>
              <w:t>0.06</w:t>
            </w:r>
          </w:p>
        </w:tc>
        <w:tc>
          <w:tcPr>
            <w:tcW w:w="1473" w:type="dxa"/>
            <w:shd w:val="clear" w:color="auto" w:fill="auto"/>
            <w:vAlign w:val="center"/>
          </w:tcPr>
          <w:p w14:paraId="48F3F700">
            <w:pPr>
              <w:pStyle w:val="30"/>
              <w:widowControl w:val="0"/>
              <w:bidi w:val="0"/>
              <w:rPr>
                <w:rFonts w:hint="default"/>
                <w:color w:val="auto"/>
                <w:lang w:val="en-US" w:eastAsia="en-US"/>
              </w:rPr>
            </w:pPr>
            <w:r>
              <w:rPr>
                <w:rFonts w:hint="default"/>
                <w:color w:val="auto"/>
                <w:lang w:val="en-US" w:eastAsia="zh-CN"/>
              </w:rPr>
              <w:t>0.4</w:t>
            </w:r>
            <w:r>
              <w:rPr>
                <w:rFonts w:hint="eastAsia"/>
                <w:color w:val="auto"/>
                <w:lang w:val="en-US" w:eastAsia="zh-CN"/>
              </w:rPr>
              <w:t>8</w:t>
            </w:r>
            <w:r>
              <w:rPr>
                <w:rFonts w:hint="default"/>
                <w:color w:val="auto"/>
                <w:lang w:val="en-US" w:eastAsia="zh-CN"/>
              </w:rPr>
              <w:t>75</w:t>
            </w:r>
          </w:p>
        </w:tc>
        <w:tc>
          <w:tcPr>
            <w:tcW w:w="1622" w:type="dxa"/>
            <w:shd w:val="clear" w:color="auto" w:fill="auto"/>
            <w:vAlign w:val="center"/>
          </w:tcPr>
          <w:p w14:paraId="51197DDE">
            <w:pPr>
              <w:pStyle w:val="30"/>
              <w:widowControl w:val="0"/>
              <w:bidi w:val="0"/>
              <w:ind w:firstLine="0" w:firstLineChars="0"/>
              <w:rPr>
                <w:rFonts w:hint="default" w:ascii="Times New Roman" w:hAnsi="Times New Roman" w:eastAsia="宋体" w:cs="宋体"/>
                <w:b w:val="0"/>
                <w:color w:val="auto"/>
                <w:kern w:val="0"/>
                <w:sz w:val="21"/>
                <w:szCs w:val="21"/>
                <w:lang w:val="en-US" w:eastAsia="en-US" w:bidi="ar-SA"/>
              </w:rPr>
            </w:pPr>
            <w:r>
              <w:rPr>
                <w:rFonts w:hint="eastAsia"/>
                <w:color w:val="auto"/>
                <w:lang w:val="en-US" w:eastAsia="zh-CN"/>
              </w:rPr>
              <w:t>0.06</w:t>
            </w:r>
          </w:p>
        </w:tc>
      </w:tr>
      <w:tr w14:paraId="10D06C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4490" w:type="dxa"/>
            <w:gridSpan w:val="4"/>
            <w:vAlign w:val="center"/>
          </w:tcPr>
          <w:p w14:paraId="11C8F2FE">
            <w:pPr>
              <w:pStyle w:val="30"/>
              <w:widowControl w:val="0"/>
              <w:bidi w:val="0"/>
              <w:rPr>
                <w:rFonts w:hint="eastAsia"/>
                <w:color w:val="auto"/>
                <w:lang w:val="en-US" w:eastAsia="zh-CN"/>
              </w:rPr>
            </w:pPr>
            <w:r>
              <w:rPr>
                <w:rFonts w:hint="eastAsia"/>
                <w:color w:val="auto"/>
                <w:lang w:val="en-US" w:eastAsia="zh-CN"/>
              </w:rPr>
              <w:t>合计</w:t>
            </w:r>
          </w:p>
        </w:tc>
        <w:tc>
          <w:tcPr>
            <w:tcW w:w="1114" w:type="dxa"/>
            <w:vAlign w:val="center"/>
          </w:tcPr>
          <w:p w14:paraId="257C5C96">
            <w:pPr>
              <w:pStyle w:val="30"/>
              <w:widowControl w:val="0"/>
              <w:bidi w:val="0"/>
              <w:rPr>
                <w:rFonts w:hint="default"/>
                <w:color w:val="auto"/>
                <w:lang w:val="en-US" w:eastAsia="zh-CN"/>
              </w:rPr>
            </w:pPr>
            <w:r>
              <w:rPr>
                <w:rFonts w:hint="eastAsia"/>
                <w:color w:val="auto"/>
                <w:lang w:val="en-US" w:eastAsia="zh-CN"/>
              </w:rPr>
              <w:t>/</w:t>
            </w:r>
          </w:p>
        </w:tc>
        <w:tc>
          <w:tcPr>
            <w:tcW w:w="1575" w:type="dxa"/>
            <w:shd w:val="clear" w:color="auto" w:fill="auto"/>
            <w:vAlign w:val="center"/>
          </w:tcPr>
          <w:p w14:paraId="6684136A">
            <w:pPr>
              <w:pStyle w:val="30"/>
              <w:widowControl w:val="0"/>
              <w:bidi w:val="0"/>
              <w:rPr>
                <w:rFonts w:hint="eastAsia"/>
                <w:color w:val="auto"/>
                <w:lang w:val="en-US" w:eastAsia="zh-CN"/>
              </w:rPr>
            </w:pPr>
            <w:r>
              <w:rPr>
                <w:rFonts w:hint="default"/>
                <w:color w:val="auto"/>
                <w:lang w:val="en-US" w:eastAsia="zh-CN"/>
              </w:rPr>
              <w:t>/</w:t>
            </w:r>
          </w:p>
        </w:tc>
        <w:tc>
          <w:tcPr>
            <w:tcW w:w="1076" w:type="dxa"/>
            <w:shd w:val="clear" w:color="auto" w:fill="auto"/>
            <w:vAlign w:val="center"/>
          </w:tcPr>
          <w:p w14:paraId="632A3EDB">
            <w:pPr>
              <w:pStyle w:val="30"/>
              <w:widowControl w:val="0"/>
              <w:bidi w:val="0"/>
              <w:rPr>
                <w:rFonts w:hint="eastAsia"/>
                <w:color w:val="auto"/>
                <w:lang w:val="en-US" w:eastAsia="zh-CN"/>
              </w:rPr>
            </w:pPr>
            <w:r>
              <w:rPr>
                <w:rFonts w:hint="eastAsia"/>
                <w:color w:val="auto"/>
                <w:lang w:val="en-US" w:eastAsia="zh-CN"/>
              </w:rPr>
              <w:t>155.4154864</w:t>
            </w:r>
          </w:p>
        </w:tc>
        <w:tc>
          <w:tcPr>
            <w:tcW w:w="1632" w:type="dxa"/>
            <w:shd w:val="clear" w:color="auto" w:fill="auto"/>
            <w:vAlign w:val="center"/>
          </w:tcPr>
          <w:p w14:paraId="2A591BB4">
            <w:pPr>
              <w:pStyle w:val="30"/>
              <w:widowControl w:val="0"/>
              <w:bidi w:val="0"/>
              <w:rPr>
                <w:rFonts w:hint="default"/>
                <w:color w:val="auto"/>
                <w:lang w:val="en-US" w:eastAsia="en-US"/>
              </w:rPr>
            </w:pPr>
            <w:r>
              <w:rPr>
                <w:rFonts w:hint="default"/>
                <w:color w:val="auto"/>
                <w:lang w:val="en-US" w:eastAsia="zh-CN"/>
              </w:rPr>
              <w:t>/</w:t>
            </w:r>
          </w:p>
        </w:tc>
        <w:tc>
          <w:tcPr>
            <w:tcW w:w="1318" w:type="dxa"/>
            <w:shd w:val="clear" w:color="auto" w:fill="auto"/>
            <w:vAlign w:val="center"/>
          </w:tcPr>
          <w:p w14:paraId="20B42199">
            <w:pPr>
              <w:pStyle w:val="30"/>
              <w:widowControl w:val="0"/>
              <w:bidi w:val="0"/>
              <w:rPr>
                <w:rFonts w:hint="default"/>
                <w:color w:val="auto"/>
                <w:lang w:val="en-US" w:eastAsia="zh-CN"/>
              </w:rPr>
            </w:pPr>
            <w:r>
              <w:rPr>
                <w:rFonts w:hint="default"/>
                <w:color w:val="auto"/>
                <w:lang w:val="en-US" w:eastAsia="zh-CN"/>
              </w:rPr>
              <w:t>7.</w:t>
            </w:r>
            <w:r>
              <w:rPr>
                <w:rFonts w:hint="eastAsia"/>
                <w:color w:val="auto"/>
                <w:lang w:val="en-US" w:eastAsia="zh-CN"/>
              </w:rPr>
              <w:t>71</w:t>
            </w:r>
            <w:r>
              <w:rPr>
                <w:rFonts w:hint="default"/>
                <w:color w:val="auto"/>
                <w:lang w:val="en-US" w:eastAsia="zh-CN"/>
              </w:rPr>
              <w:t>24</w:t>
            </w:r>
          </w:p>
        </w:tc>
        <w:tc>
          <w:tcPr>
            <w:tcW w:w="1473" w:type="dxa"/>
            <w:shd w:val="clear" w:color="auto" w:fill="auto"/>
            <w:vAlign w:val="center"/>
          </w:tcPr>
          <w:p w14:paraId="3168374F">
            <w:pPr>
              <w:pStyle w:val="30"/>
              <w:widowControl w:val="0"/>
              <w:bidi w:val="0"/>
              <w:rPr>
                <w:rFonts w:hint="default"/>
                <w:color w:val="auto"/>
                <w:lang w:val="en-US" w:eastAsia="en-US"/>
              </w:rPr>
            </w:pPr>
            <w:r>
              <w:rPr>
                <w:rFonts w:hint="default"/>
                <w:color w:val="auto"/>
                <w:lang w:val="en-US" w:eastAsia="zh-CN"/>
              </w:rPr>
              <w:t>163.</w:t>
            </w:r>
            <w:r>
              <w:rPr>
                <w:rFonts w:hint="eastAsia"/>
                <w:color w:val="auto"/>
                <w:lang w:val="en-US" w:eastAsia="zh-CN"/>
              </w:rPr>
              <w:t>12</w:t>
            </w:r>
            <w:r>
              <w:rPr>
                <w:rFonts w:hint="default"/>
                <w:color w:val="auto"/>
                <w:lang w:val="en-US" w:eastAsia="zh-CN"/>
              </w:rPr>
              <w:t>78864</w:t>
            </w:r>
          </w:p>
        </w:tc>
        <w:tc>
          <w:tcPr>
            <w:tcW w:w="1622" w:type="dxa"/>
            <w:shd w:val="clear" w:color="auto" w:fill="auto"/>
            <w:vAlign w:val="center"/>
          </w:tcPr>
          <w:p w14:paraId="172E830F">
            <w:pPr>
              <w:pStyle w:val="30"/>
              <w:widowControl w:val="0"/>
              <w:bidi w:val="0"/>
              <w:rPr>
                <w:rFonts w:hint="eastAsia"/>
                <w:color w:val="auto"/>
                <w:lang w:val="en-US" w:eastAsia="en-US"/>
              </w:rPr>
            </w:pPr>
            <w:r>
              <w:rPr>
                <w:rFonts w:hint="eastAsia" w:cs="Times New Roman"/>
                <w:i w:val="0"/>
                <w:iCs w:val="0"/>
                <w:color w:val="000000"/>
                <w:kern w:val="0"/>
                <w:sz w:val="21"/>
                <w:szCs w:val="21"/>
                <w:u w:val="none"/>
                <w:lang w:val="en-US" w:eastAsia="zh-CN" w:bidi="ar"/>
              </w:rPr>
              <w:t>+</w:t>
            </w:r>
            <w:r>
              <w:rPr>
                <w:rFonts w:hint="eastAsia"/>
                <w:color w:val="auto"/>
                <w:lang w:val="en-US" w:eastAsia="zh-CN"/>
              </w:rPr>
              <w:t>7.7124</w:t>
            </w:r>
          </w:p>
        </w:tc>
      </w:tr>
    </w:tbl>
    <w:p w14:paraId="541C2D85">
      <w:pPr>
        <w:bidi w:val="0"/>
        <w:ind w:firstLine="480" w:firstLineChars="200"/>
        <w:rPr>
          <w:rFonts w:hint="eastAsia"/>
          <w:lang w:val="en-US" w:eastAsia="zh-CN"/>
        </w:rPr>
      </w:pPr>
      <w:r>
        <w:rPr>
          <w:color w:val="auto"/>
        </w:rPr>
        <w:t>根据上表结果可知，</w:t>
      </w:r>
      <w:r>
        <w:rPr>
          <w:rFonts w:hint="eastAsia"/>
          <w:color w:val="auto"/>
          <w:lang w:val="en-US" w:eastAsia="zh-CN"/>
        </w:rPr>
        <w:t>本次技改</w:t>
      </w:r>
      <w:r>
        <w:rPr>
          <w:color w:val="auto"/>
        </w:rPr>
        <w:t>项目</w:t>
      </w:r>
      <w:r>
        <w:rPr>
          <w:rFonts w:hint="eastAsia"/>
          <w:color w:val="auto"/>
          <w:lang w:val="en-US" w:eastAsia="zh-CN"/>
        </w:rPr>
        <w:t>完成</w:t>
      </w:r>
      <w:r>
        <w:rPr>
          <w:color w:val="auto"/>
        </w:rPr>
        <w:t>后</w:t>
      </w:r>
      <w:r>
        <w:rPr>
          <w:rFonts w:hint="eastAsia"/>
          <w:color w:val="auto"/>
          <w:lang w:val="en-US" w:eastAsia="zh-CN"/>
        </w:rPr>
        <w:t>全厂</w:t>
      </w:r>
      <w:r>
        <w:rPr>
          <w:color w:val="auto"/>
        </w:rPr>
        <w:t>危险物质总量与其临界量比值Q=∑qn/Qn=</w:t>
      </w:r>
      <w:r>
        <w:rPr>
          <w:rFonts w:hint="default"/>
          <w:color w:val="auto"/>
          <w:lang w:val="en-US" w:eastAsia="zh-CN"/>
        </w:rPr>
        <w:t>163.</w:t>
      </w:r>
      <w:r>
        <w:rPr>
          <w:rFonts w:hint="eastAsia"/>
          <w:color w:val="auto"/>
          <w:lang w:val="en-US" w:eastAsia="zh-CN"/>
        </w:rPr>
        <w:t>128</w:t>
      </w:r>
      <w:r>
        <w:rPr>
          <w:color w:val="auto"/>
        </w:rPr>
        <w:t>，Q＞100。</w:t>
      </w:r>
    </w:p>
    <w:p w14:paraId="4B15E9A1">
      <w:pPr>
        <w:bidi w:val="0"/>
        <w:ind w:firstLine="480" w:firstLineChars="200"/>
        <w:rPr>
          <w:rFonts w:hint="eastAsia"/>
          <w:lang w:val="en-US" w:eastAsia="zh-CN"/>
        </w:rPr>
      </w:pPr>
      <w:r>
        <w:rPr>
          <w:rFonts w:hint="eastAsia"/>
          <w:lang w:val="en-US" w:eastAsia="zh-CN"/>
        </w:rPr>
        <w:t>项目储运单元各环境风险物质最大存在量计算过程如下。</w:t>
      </w:r>
    </w:p>
    <w:p w14:paraId="2C06720E">
      <w:pPr>
        <w:bidi w:val="0"/>
        <w:jc w:val="center"/>
        <w:rPr>
          <w:rFonts w:hint="default"/>
          <w:lang w:val="en-US" w:eastAsia="zh-CN"/>
        </w:rPr>
      </w:pPr>
      <w:r>
        <w:rPr>
          <w:b/>
          <w:bCs/>
        </w:rPr>
        <w:t>表2.4-1</w:t>
      </w:r>
      <w:r>
        <w:rPr>
          <w:rFonts w:hint="eastAsia"/>
          <w:b/>
          <w:bCs/>
          <w:lang w:val="en-US" w:eastAsia="zh-CN"/>
        </w:rPr>
        <w:t>4 项目储运单元各环境风险物质最大存在量计算过程一览表</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12"/>
        <w:gridCol w:w="2812"/>
        <w:gridCol w:w="3252"/>
        <w:gridCol w:w="2812"/>
        <w:gridCol w:w="2815"/>
      </w:tblGrid>
      <w:tr w14:paraId="23E34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Align w:val="center"/>
          </w:tcPr>
          <w:p w14:paraId="57E496DA">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储存单元</w:t>
            </w:r>
          </w:p>
        </w:tc>
        <w:tc>
          <w:tcPr>
            <w:tcW w:w="2812" w:type="dxa"/>
            <w:vAlign w:val="center"/>
          </w:tcPr>
          <w:p w14:paraId="4AA438C8">
            <w:pPr>
              <w:widowControl w:val="0"/>
              <w:bidi w:val="0"/>
              <w:spacing w:line="240" w:lineRule="auto"/>
              <w:jc w:val="center"/>
              <w:rPr>
                <w:b/>
                <w:bCs/>
                <w:sz w:val="21"/>
                <w:szCs w:val="21"/>
              </w:rPr>
            </w:pPr>
            <w:r>
              <w:rPr>
                <w:rFonts w:hint="eastAsia"/>
                <w:b/>
                <w:bCs/>
                <w:sz w:val="21"/>
                <w:szCs w:val="21"/>
                <w:lang w:val="en-US" w:eastAsia="zh-CN"/>
              </w:rPr>
              <w:t>环境风险</w:t>
            </w:r>
            <w:r>
              <w:rPr>
                <w:b/>
                <w:bCs/>
                <w:sz w:val="21"/>
                <w:szCs w:val="21"/>
                <w:lang w:val="en-US" w:eastAsia="en-US"/>
              </w:rPr>
              <w:t>物质</w:t>
            </w:r>
          </w:p>
        </w:tc>
        <w:tc>
          <w:tcPr>
            <w:tcW w:w="3252" w:type="dxa"/>
            <w:vAlign w:val="center"/>
          </w:tcPr>
          <w:p w14:paraId="70D780E5">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最大储存量</w:t>
            </w:r>
          </w:p>
        </w:tc>
        <w:tc>
          <w:tcPr>
            <w:tcW w:w="2812" w:type="dxa"/>
            <w:vAlign w:val="center"/>
          </w:tcPr>
          <w:p w14:paraId="66BB5D84">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密度</w:t>
            </w:r>
          </w:p>
        </w:tc>
        <w:tc>
          <w:tcPr>
            <w:tcW w:w="2815" w:type="dxa"/>
            <w:vAlign w:val="center"/>
          </w:tcPr>
          <w:p w14:paraId="318C8BAA">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折纯后最大存在量（t）</w:t>
            </w:r>
          </w:p>
        </w:tc>
      </w:tr>
      <w:tr w14:paraId="1BB0A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restart"/>
            <w:shd w:val="clear" w:color="auto" w:fill="auto"/>
            <w:vAlign w:val="center"/>
          </w:tcPr>
          <w:p w14:paraId="20A1F256">
            <w:pPr>
              <w:widowControl w:val="0"/>
              <w:bidi w:val="0"/>
              <w:spacing w:line="240" w:lineRule="auto"/>
              <w:jc w:val="center"/>
              <w:rPr>
                <w:rFonts w:hint="default"/>
                <w:sz w:val="21"/>
                <w:szCs w:val="21"/>
                <w:lang w:val="en-US" w:eastAsia="en-US"/>
              </w:rPr>
            </w:pPr>
            <w:r>
              <w:rPr>
                <w:rFonts w:hint="eastAsia"/>
                <w:sz w:val="21"/>
                <w:szCs w:val="21"/>
                <w:lang w:val="en-US" w:eastAsia="zh-CN"/>
              </w:rPr>
              <w:t>网版浆料仓</w:t>
            </w:r>
          </w:p>
        </w:tc>
        <w:tc>
          <w:tcPr>
            <w:tcW w:w="2812" w:type="dxa"/>
            <w:vMerge w:val="restart"/>
            <w:shd w:val="clear" w:color="auto" w:fill="auto"/>
            <w:vAlign w:val="center"/>
          </w:tcPr>
          <w:p w14:paraId="5498138C">
            <w:pPr>
              <w:widowControl w:val="0"/>
              <w:bidi w:val="0"/>
              <w:spacing w:line="240" w:lineRule="auto"/>
              <w:jc w:val="center"/>
              <w:rPr>
                <w:sz w:val="21"/>
                <w:szCs w:val="21"/>
                <w:lang w:val="en-US" w:eastAsia="en-US"/>
              </w:rPr>
            </w:pPr>
            <w:r>
              <w:rPr>
                <w:sz w:val="21"/>
                <w:szCs w:val="21"/>
                <w:lang w:val="en-US" w:eastAsia="en-US"/>
              </w:rPr>
              <w:t>银</w:t>
            </w:r>
            <w:r>
              <w:rPr>
                <w:rFonts w:hint="eastAsia"/>
                <w:sz w:val="21"/>
                <w:szCs w:val="21"/>
                <w:lang w:val="en-US" w:eastAsia="zh-CN"/>
              </w:rPr>
              <w:t>及其化合物（以银计）</w:t>
            </w:r>
          </w:p>
        </w:tc>
        <w:tc>
          <w:tcPr>
            <w:tcW w:w="3252" w:type="dxa"/>
            <w:vAlign w:val="center"/>
          </w:tcPr>
          <w:p w14:paraId="4E5F30C4">
            <w:pPr>
              <w:widowControl w:val="0"/>
              <w:bidi w:val="0"/>
              <w:spacing w:line="240" w:lineRule="auto"/>
              <w:jc w:val="center"/>
              <w:rPr>
                <w:rFonts w:hint="default" w:eastAsia="宋体"/>
                <w:sz w:val="21"/>
                <w:szCs w:val="21"/>
                <w:lang w:val="en-US" w:eastAsia="zh-CN"/>
              </w:rPr>
            </w:pPr>
            <w:r>
              <w:rPr>
                <w:sz w:val="21"/>
                <w:szCs w:val="21"/>
              </w:rPr>
              <w:t>银浆</w:t>
            </w:r>
            <w:r>
              <w:rPr>
                <w:rFonts w:hint="eastAsia"/>
                <w:sz w:val="21"/>
                <w:szCs w:val="21"/>
                <w:lang w:val="en-US" w:eastAsia="zh-CN"/>
              </w:rPr>
              <w:t>2.5t</w:t>
            </w:r>
          </w:p>
        </w:tc>
        <w:tc>
          <w:tcPr>
            <w:tcW w:w="2812" w:type="dxa"/>
            <w:vAlign w:val="center"/>
          </w:tcPr>
          <w:p w14:paraId="3D4372EA">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根据MSDS，银最大含量为60%</w:t>
            </w:r>
          </w:p>
        </w:tc>
        <w:tc>
          <w:tcPr>
            <w:tcW w:w="2815" w:type="dxa"/>
            <w:vAlign w:val="center"/>
          </w:tcPr>
          <w:p w14:paraId="755B3E8E">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1.5</w:t>
            </w:r>
          </w:p>
        </w:tc>
      </w:tr>
      <w:tr w14:paraId="2988A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shd w:val="clear" w:color="auto" w:fill="auto"/>
            <w:vAlign w:val="center"/>
          </w:tcPr>
          <w:p w14:paraId="6E3CFA0F">
            <w:pPr>
              <w:widowControl w:val="0"/>
              <w:bidi w:val="0"/>
              <w:spacing w:line="240" w:lineRule="auto"/>
              <w:jc w:val="center"/>
              <w:rPr>
                <w:rFonts w:hint="eastAsia"/>
                <w:sz w:val="21"/>
                <w:szCs w:val="21"/>
                <w:lang w:val="en-US" w:eastAsia="zh-CN"/>
              </w:rPr>
            </w:pPr>
          </w:p>
        </w:tc>
        <w:tc>
          <w:tcPr>
            <w:tcW w:w="2812" w:type="dxa"/>
            <w:vMerge w:val="continue"/>
            <w:shd w:val="clear" w:color="auto" w:fill="auto"/>
            <w:vAlign w:val="center"/>
          </w:tcPr>
          <w:p w14:paraId="02604438">
            <w:pPr>
              <w:widowControl w:val="0"/>
              <w:bidi w:val="0"/>
              <w:spacing w:line="240" w:lineRule="auto"/>
              <w:jc w:val="center"/>
              <w:rPr>
                <w:sz w:val="21"/>
                <w:szCs w:val="21"/>
                <w:lang w:val="en-US" w:eastAsia="en-US"/>
              </w:rPr>
            </w:pPr>
          </w:p>
        </w:tc>
        <w:tc>
          <w:tcPr>
            <w:tcW w:w="3252" w:type="dxa"/>
            <w:vAlign w:val="center"/>
          </w:tcPr>
          <w:p w14:paraId="2EECA27C">
            <w:pPr>
              <w:widowControl w:val="0"/>
              <w:bidi w:val="0"/>
              <w:spacing w:line="240" w:lineRule="auto"/>
              <w:jc w:val="center"/>
              <w:rPr>
                <w:sz w:val="21"/>
                <w:szCs w:val="21"/>
              </w:rPr>
            </w:pPr>
            <w:r>
              <w:rPr>
                <w:rFonts w:hint="default"/>
                <w:sz w:val="21"/>
                <w:szCs w:val="21"/>
                <w:lang w:val="en-US" w:eastAsia="zh-CN"/>
              </w:rPr>
              <w:t>银包铜浆料</w:t>
            </w:r>
            <w:r>
              <w:rPr>
                <w:rFonts w:hint="eastAsia"/>
                <w:sz w:val="21"/>
                <w:szCs w:val="21"/>
                <w:lang w:val="en-US" w:eastAsia="zh-CN"/>
              </w:rPr>
              <w:t>2.5t</w:t>
            </w:r>
          </w:p>
        </w:tc>
        <w:tc>
          <w:tcPr>
            <w:tcW w:w="2812" w:type="dxa"/>
            <w:vAlign w:val="center"/>
          </w:tcPr>
          <w:p w14:paraId="4484C97E">
            <w:pPr>
              <w:widowControl w:val="0"/>
              <w:bidi w:val="0"/>
              <w:spacing w:line="240" w:lineRule="auto"/>
              <w:jc w:val="center"/>
              <w:rPr>
                <w:rFonts w:hint="default"/>
                <w:sz w:val="21"/>
                <w:szCs w:val="21"/>
                <w:lang w:val="en-US"/>
              </w:rPr>
            </w:pPr>
            <w:r>
              <w:rPr>
                <w:rFonts w:hint="eastAsia"/>
                <w:sz w:val="21"/>
                <w:szCs w:val="21"/>
                <w:lang w:val="en-US" w:eastAsia="zh-CN"/>
              </w:rPr>
              <w:t>根据MSDS，银最大含量为70%</w:t>
            </w:r>
          </w:p>
        </w:tc>
        <w:tc>
          <w:tcPr>
            <w:tcW w:w="2815" w:type="dxa"/>
            <w:vAlign w:val="center"/>
          </w:tcPr>
          <w:p w14:paraId="163E5690">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1.75</w:t>
            </w:r>
          </w:p>
        </w:tc>
      </w:tr>
      <w:tr w14:paraId="0ADE2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shd w:val="clear" w:color="auto" w:fill="auto"/>
            <w:vAlign w:val="center"/>
          </w:tcPr>
          <w:p w14:paraId="610C598F">
            <w:pPr>
              <w:widowControl w:val="0"/>
              <w:bidi w:val="0"/>
              <w:spacing w:line="240" w:lineRule="auto"/>
              <w:jc w:val="center"/>
              <w:rPr>
                <w:rFonts w:hint="eastAsia"/>
                <w:sz w:val="21"/>
                <w:szCs w:val="21"/>
                <w:lang w:val="en-US" w:eastAsia="zh-CN"/>
              </w:rPr>
            </w:pPr>
            <w:r>
              <w:rPr>
                <w:rFonts w:hint="eastAsia"/>
                <w:sz w:val="21"/>
                <w:szCs w:val="21"/>
                <w:lang w:val="en-US" w:eastAsia="zh-CN"/>
              </w:rPr>
              <w:t>电池车间2</w:t>
            </w:r>
            <w:r>
              <w:rPr>
                <w:rFonts w:hint="default"/>
                <w:sz w:val="21"/>
                <w:szCs w:val="21"/>
                <w:lang w:val="en-US" w:eastAsia="en-US"/>
              </w:rPr>
              <w:t>三氯化硼暂存区</w:t>
            </w:r>
          </w:p>
        </w:tc>
        <w:tc>
          <w:tcPr>
            <w:tcW w:w="2812" w:type="dxa"/>
            <w:shd w:val="clear" w:color="auto" w:fill="auto"/>
            <w:vAlign w:val="center"/>
          </w:tcPr>
          <w:p w14:paraId="00DB23ED">
            <w:pPr>
              <w:widowControl w:val="0"/>
              <w:bidi w:val="0"/>
              <w:spacing w:line="240" w:lineRule="auto"/>
              <w:jc w:val="center"/>
              <w:rPr>
                <w:sz w:val="21"/>
                <w:szCs w:val="21"/>
                <w:lang w:val="en-US" w:eastAsia="en-US"/>
              </w:rPr>
            </w:pPr>
            <w:r>
              <w:rPr>
                <w:rFonts w:hint="default"/>
                <w:sz w:val="21"/>
                <w:szCs w:val="21"/>
                <w:lang w:val="en-US" w:eastAsia="en-US"/>
              </w:rPr>
              <w:t>三氯化硼</w:t>
            </w:r>
          </w:p>
        </w:tc>
        <w:tc>
          <w:tcPr>
            <w:tcW w:w="3252" w:type="dxa"/>
            <w:vAlign w:val="center"/>
          </w:tcPr>
          <w:p w14:paraId="675FF549">
            <w:pPr>
              <w:widowControl w:val="0"/>
              <w:bidi w:val="0"/>
              <w:spacing w:line="240" w:lineRule="auto"/>
              <w:jc w:val="center"/>
              <w:rPr>
                <w:rFonts w:hint="default"/>
                <w:sz w:val="21"/>
                <w:szCs w:val="21"/>
                <w:lang w:val="en-US" w:eastAsia="zh-CN"/>
              </w:rPr>
            </w:pPr>
            <w:r>
              <w:rPr>
                <w:rFonts w:hint="eastAsia"/>
                <w:sz w:val="21"/>
                <w:szCs w:val="21"/>
                <w:lang w:val="en-US" w:eastAsia="zh-CN"/>
              </w:rPr>
              <w:t>6</w:t>
            </w:r>
            <w:r>
              <w:rPr>
                <w:sz w:val="21"/>
                <w:szCs w:val="21"/>
              </w:rPr>
              <w:t>瓶钢瓶</w:t>
            </w:r>
            <w:r>
              <w:rPr>
                <w:rFonts w:hint="eastAsia"/>
                <w:sz w:val="21"/>
                <w:szCs w:val="21"/>
                <w:lang w:eastAsia="zh-CN"/>
              </w:rPr>
              <w:t>，</w:t>
            </w:r>
            <w:r>
              <w:rPr>
                <w:rFonts w:hint="eastAsia"/>
                <w:sz w:val="21"/>
                <w:szCs w:val="21"/>
                <w:lang w:val="en-US" w:eastAsia="zh-CN"/>
              </w:rPr>
              <w:t>每瓶50kg</w:t>
            </w:r>
          </w:p>
        </w:tc>
        <w:tc>
          <w:tcPr>
            <w:tcW w:w="2812" w:type="dxa"/>
            <w:vAlign w:val="center"/>
          </w:tcPr>
          <w:p w14:paraId="79F31662">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2815" w:type="dxa"/>
            <w:vAlign w:val="center"/>
          </w:tcPr>
          <w:p w14:paraId="0394304B">
            <w:pPr>
              <w:widowControl w:val="0"/>
              <w:bidi w:val="0"/>
              <w:spacing w:line="240" w:lineRule="auto"/>
              <w:jc w:val="center"/>
              <w:rPr>
                <w:rFonts w:hint="default"/>
                <w:sz w:val="21"/>
                <w:szCs w:val="21"/>
                <w:lang w:val="en-US" w:eastAsia="zh-CN"/>
              </w:rPr>
            </w:pPr>
            <w:r>
              <w:rPr>
                <w:rFonts w:hint="eastAsia"/>
                <w:sz w:val="21"/>
                <w:szCs w:val="21"/>
                <w:lang w:val="en-US" w:eastAsia="zh-CN"/>
              </w:rPr>
              <w:t>0.3</w:t>
            </w:r>
          </w:p>
        </w:tc>
      </w:tr>
      <w:tr w14:paraId="168DA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47BF466A">
            <w:pPr>
              <w:widowControl w:val="0"/>
              <w:bidi w:val="0"/>
              <w:spacing w:line="240" w:lineRule="auto"/>
              <w:jc w:val="center"/>
              <w:rPr>
                <w:rFonts w:hint="default"/>
                <w:sz w:val="21"/>
                <w:szCs w:val="21"/>
                <w:lang w:val="en-US" w:eastAsia="zh-CN"/>
              </w:rPr>
            </w:pPr>
            <w:r>
              <w:rPr>
                <w:sz w:val="21"/>
                <w:szCs w:val="21"/>
              </w:rPr>
              <w:t>氨气笑气站</w:t>
            </w:r>
          </w:p>
        </w:tc>
        <w:tc>
          <w:tcPr>
            <w:tcW w:w="0" w:type="auto"/>
            <w:shd w:val="clear" w:color="auto" w:fill="auto"/>
            <w:vAlign w:val="center"/>
          </w:tcPr>
          <w:p w14:paraId="4DB3B9C8">
            <w:pPr>
              <w:widowControl w:val="0"/>
              <w:bidi w:val="0"/>
              <w:spacing w:line="240" w:lineRule="auto"/>
              <w:jc w:val="center"/>
              <w:rPr>
                <w:sz w:val="21"/>
                <w:szCs w:val="21"/>
                <w:lang w:val="en-US" w:eastAsia="en-US"/>
              </w:rPr>
            </w:pPr>
            <w:r>
              <w:rPr>
                <w:sz w:val="21"/>
                <w:szCs w:val="21"/>
                <w:lang w:val="en-US" w:eastAsia="en-US"/>
              </w:rPr>
              <w:t>液氨</w:t>
            </w:r>
          </w:p>
        </w:tc>
        <w:tc>
          <w:tcPr>
            <w:tcW w:w="0" w:type="auto"/>
            <w:vAlign w:val="center"/>
          </w:tcPr>
          <w:p w14:paraId="4F6BCE69">
            <w:pPr>
              <w:widowControl w:val="0"/>
              <w:bidi w:val="0"/>
              <w:spacing w:line="240" w:lineRule="auto"/>
              <w:jc w:val="center"/>
              <w:rPr>
                <w:rFonts w:hint="eastAsia"/>
                <w:sz w:val="21"/>
                <w:szCs w:val="21"/>
                <w:lang w:eastAsia="zh-CN"/>
              </w:rPr>
            </w:pPr>
            <w:r>
              <w:rPr>
                <w:sz w:val="21"/>
                <w:szCs w:val="21"/>
              </w:rPr>
              <w:t>6个槽车</w:t>
            </w:r>
            <w:r>
              <w:rPr>
                <w:rFonts w:hint="eastAsia"/>
                <w:sz w:val="21"/>
                <w:szCs w:val="21"/>
                <w:lang w:eastAsia="zh-CN"/>
              </w:rPr>
              <w:t>，</w:t>
            </w:r>
            <w:r>
              <w:rPr>
                <w:rFonts w:hint="eastAsia"/>
                <w:sz w:val="21"/>
                <w:szCs w:val="21"/>
                <w:lang w:val="en-US" w:eastAsia="zh-CN"/>
              </w:rPr>
              <w:t>每个</w:t>
            </w:r>
            <w:r>
              <w:rPr>
                <w:rFonts w:hint="eastAsia"/>
                <w:sz w:val="21"/>
                <w:szCs w:val="21"/>
                <w:lang w:eastAsia="zh-CN"/>
              </w:rPr>
              <w:t>22.5m</w:t>
            </w:r>
            <w:r>
              <w:rPr>
                <w:rFonts w:hint="eastAsia"/>
                <w:sz w:val="21"/>
                <w:szCs w:val="21"/>
                <w:vertAlign w:val="superscript"/>
                <w:lang w:eastAsia="zh-CN"/>
              </w:rPr>
              <w:t>3</w:t>
            </w:r>
          </w:p>
        </w:tc>
        <w:tc>
          <w:tcPr>
            <w:tcW w:w="0" w:type="auto"/>
            <w:vAlign w:val="center"/>
          </w:tcPr>
          <w:p w14:paraId="75AA604A">
            <w:pPr>
              <w:widowControl w:val="0"/>
              <w:bidi w:val="0"/>
              <w:spacing w:line="240" w:lineRule="auto"/>
              <w:jc w:val="center"/>
              <w:rPr>
                <w:rFonts w:hint="default"/>
                <w:sz w:val="21"/>
                <w:szCs w:val="21"/>
                <w:lang w:val="en-US" w:eastAsia="zh-CN"/>
              </w:rPr>
            </w:pPr>
            <w:r>
              <w:rPr>
                <w:rFonts w:hint="eastAsia"/>
                <w:sz w:val="21"/>
                <w:szCs w:val="21"/>
                <w:lang w:val="en-US" w:eastAsia="zh-CN"/>
              </w:rPr>
              <w:t>0.793t/</w:t>
            </w:r>
            <w:r>
              <w:rPr>
                <w:rFonts w:hint="eastAsia"/>
                <w:sz w:val="21"/>
                <w:szCs w:val="21"/>
                <w:lang w:eastAsia="zh-CN"/>
              </w:rPr>
              <w:t>m</w:t>
            </w:r>
            <w:r>
              <w:rPr>
                <w:rFonts w:hint="eastAsia"/>
                <w:sz w:val="21"/>
                <w:szCs w:val="21"/>
                <w:vertAlign w:val="superscript"/>
                <w:lang w:eastAsia="zh-CN"/>
              </w:rPr>
              <w:t>3</w:t>
            </w:r>
          </w:p>
        </w:tc>
        <w:tc>
          <w:tcPr>
            <w:tcW w:w="0" w:type="auto"/>
            <w:vAlign w:val="center"/>
          </w:tcPr>
          <w:p w14:paraId="262404A2">
            <w:pPr>
              <w:widowControl w:val="0"/>
              <w:bidi w:val="0"/>
              <w:spacing w:line="240" w:lineRule="auto"/>
              <w:jc w:val="center"/>
              <w:rPr>
                <w:rFonts w:hint="default"/>
                <w:sz w:val="21"/>
                <w:szCs w:val="21"/>
                <w:lang w:val="en-US" w:eastAsia="zh-CN"/>
              </w:rPr>
            </w:pPr>
            <w:r>
              <w:rPr>
                <w:rFonts w:hint="eastAsia"/>
                <w:sz w:val="21"/>
                <w:szCs w:val="21"/>
                <w:lang w:val="en-US" w:eastAsia="zh-CN"/>
              </w:rPr>
              <w:t>107.055</w:t>
            </w:r>
          </w:p>
        </w:tc>
      </w:tr>
      <w:tr w14:paraId="5DF7A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2867B4BC">
            <w:pPr>
              <w:widowControl w:val="0"/>
              <w:bidi w:val="0"/>
              <w:spacing w:line="240" w:lineRule="auto"/>
              <w:jc w:val="center"/>
              <w:rPr>
                <w:rFonts w:hint="default"/>
                <w:sz w:val="21"/>
                <w:szCs w:val="21"/>
                <w:lang w:val="en-US" w:eastAsia="zh-CN"/>
              </w:rPr>
            </w:pPr>
            <w:r>
              <w:rPr>
                <w:sz w:val="21"/>
                <w:szCs w:val="21"/>
              </w:rPr>
              <w:t>硅烷站</w:t>
            </w:r>
          </w:p>
        </w:tc>
        <w:tc>
          <w:tcPr>
            <w:tcW w:w="0" w:type="auto"/>
            <w:shd w:val="clear" w:color="auto" w:fill="auto"/>
            <w:vAlign w:val="center"/>
          </w:tcPr>
          <w:p w14:paraId="27FF84C7">
            <w:pPr>
              <w:widowControl w:val="0"/>
              <w:bidi w:val="0"/>
              <w:spacing w:line="240" w:lineRule="auto"/>
              <w:jc w:val="center"/>
              <w:rPr>
                <w:sz w:val="21"/>
                <w:szCs w:val="21"/>
                <w:lang w:val="en-US" w:eastAsia="en-US"/>
              </w:rPr>
            </w:pPr>
            <w:r>
              <w:rPr>
                <w:sz w:val="21"/>
                <w:szCs w:val="21"/>
                <w:lang w:val="en-US" w:eastAsia="en-US"/>
              </w:rPr>
              <w:t>硅烷</w:t>
            </w:r>
          </w:p>
        </w:tc>
        <w:tc>
          <w:tcPr>
            <w:tcW w:w="0" w:type="auto"/>
            <w:vAlign w:val="center"/>
          </w:tcPr>
          <w:p w14:paraId="728EF716">
            <w:pPr>
              <w:widowControl w:val="0"/>
              <w:bidi w:val="0"/>
              <w:spacing w:line="240" w:lineRule="auto"/>
              <w:jc w:val="center"/>
              <w:rPr>
                <w:rFonts w:hint="default"/>
                <w:sz w:val="21"/>
                <w:szCs w:val="21"/>
                <w:lang w:val="en-US" w:eastAsia="zh-CN"/>
              </w:rPr>
            </w:pPr>
            <w:r>
              <w:rPr>
                <w:sz w:val="21"/>
                <w:szCs w:val="21"/>
              </w:rPr>
              <w:t>8座硅烷鱼雷车</w:t>
            </w:r>
            <w:r>
              <w:rPr>
                <w:rFonts w:hint="eastAsia"/>
                <w:sz w:val="21"/>
                <w:szCs w:val="21"/>
                <w:lang w:eastAsia="zh-CN"/>
              </w:rPr>
              <w:t>，</w:t>
            </w:r>
            <w:r>
              <w:rPr>
                <w:rFonts w:hint="eastAsia"/>
                <w:sz w:val="21"/>
                <w:szCs w:val="21"/>
                <w:lang w:val="en-US" w:eastAsia="zh-CN"/>
              </w:rPr>
              <w:t>每座13m</w:t>
            </w:r>
            <w:r>
              <w:rPr>
                <w:rFonts w:hint="eastAsia"/>
                <w:sz w:val="21"/>
                <w:szCs w:val="21"/>
                <w:vertAlign w:val="superscript"/>
                <w:lang w:eastAsia="zh-CN"/>
              </w:rPr>
              <w:t>3</w:t>
            </w:r>
          </w:p>
        </w:tc>
        <w:tc>
          <w:tcPr>
            <w:tcW w:w="0" w:type="auto"/>
            <w:vAlign w:val="center"/>
          </w:tcPr>
          <w:p w14:paraId="572DEF48">
            <w:pPr>
              <w:widowControl w:val="0"/>
              <w:bidi w:val="0"/>
              <w:spacing w:line="240" w:lineRule="auto"/>
              <w:jc w:val="center"/>
              <w:rPr>
                <w:rFonts w:hint="default"/>
                <w:sz w:val="21"/>
                <w:szCs w:val="21"/>
                <w:lang w:val="en-US" w:eastAsia="zh-CN"/>
              </w:rPr>
            </w:pPr>
            <w:r>
              <w:rPr>
                <w:rFonts w:hint="eastAsia"/>
                <w:sz w:val="21"/>
                <w:szCs w:val="21"/>
                <w:lang w:val="en-US" w:eastAsia="zh-CN"/>
              </w:rPr>
              <w:t>1.44kg/</w:t>
            </w:r>
            <w:r>
              <w:rPr>
                <w:rFonts w:hint="eastAsia"/>
                <w:sz w:val="21"/>
                <w:szCs w:val="21"/>
                <w:lang w:eastAsia="zh-CN"/>
              </w:rPr>
              <w:t>m</w:t>
            </w:r>
            <w:r>
              <w:rPr>
                <w:rFonts w:hint="eastAsia"/>
                <w:sz w:val="21"/>
                <w:szCs w:val="21"/>
                <w:vertAlign w:val="superscript"/>
                <w:lang w:eastAsia="zh-CN"/>
              </w:rPr>
              <w:t>3</w:t>
            </w:r>
          </w:p>
        </w:tc>
        <w:tc>
          <w:tcPr>
            <w:tcW w:w="0" w:type="auto"/>
            <w:vAlign w:val="center"/>
          </w:tcPr>
          <w:p w14:paraId="5784F164">
            <w:pPr>
              <w:widowControl w:val="0"/>
              <w:bidi w:val="0"/>
              <w:spacing w:line="240" w:lineRule="auto"/>
              <w:jc w:val="center"/>
              <w:rPr>
                <w:rFonts w:hint="default"/>
                <w:sz w:val="21"/>
                <w:szCs w:val="21"/>
                <w:lang w:val="en-US" w:eastAsia="zh-CN"/>
              </w:rPr>
            </w:pPr>
            <w:r>
              <w:rPr>
                <w:rFonts w:hint="eastAsia"/>
                <w:sz w:val="21"/>
                <w:szCs w:val="21"/>
                <w:lang w:val="en-US" w:eastAsia="zh-CN"/>
              </w:rPr>
              <w:t>0.14976</w:t>
            </w:r>
          </w:p>
        </w:tc>
      </w:tr>
      <w:tr w14:paraId="359F9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vAlign w:val="center"/>
          </w:tcPr>
          <w:p w14:paraId="18FB49C3">
            <w:pPr>
              <w:widowControl w:val="0"/>
              <w:bidi w:val="0"/>
              <w:spacing w:line="240" w:lineRule="auto"/>
              <w:jc w:val="center"/>
              <w:rPr>
                <w:sz w:val="21"/>
                <w:szCs w:val="21"/>
                <w:lang w:val="en-US" w:eastAsia="en-US"/>
              </w:rPr>
            </w:pPr>
            <w:r>
              <w:rPr>
                <w:sz w:val="21"/>
                <w:szCs w:val="21"/>
              </w:rPr>
              <w:t>特气房</w:t>
            </w:r>
          </w:p>
        </w:tc>
        <w:tc>
          <w:tcPr>
            <w:tcW w:w="0" w:type="auto"/>
            <w:shd w:val="clear" w:color="auto" w:fill="auto"/>
            <w:vAlign w:val="center"/>
          </w:tcPr>
          <w:p w14:paraId="675C7BC8">
            <w:pPr>
              <w:widowControl w:val="0"/>
              <w:bidi w:val="0"/>
              <w:spacing w:line="240" w:lineRule="auto"/>
              <w:jc w:val="center"/>
              <w:rPr>
                <w:sz w:val="21"/>
                <w:szCs w:val="21"/>
                <w:lang w:val="en-US" w:eastAsia="en-US"/>
              </w:rPr>
            </w:pPr>
            <w:r>
              <w:rPr>
                <w:sz w:val="21"/>
                <w:szCs w:val="21"/>
                <w:lang w:val="en-US" w:eastAsia="en-US"/>
              </w:rPr>
              <w:t>三甲基铝</w:t>
            </w:r>
          </w:p>
        </w:tc>
        <w:tc>
          <w:tcPr>
            <w:tcW w:w="0" w:type="auto"/>
            <w:vAlign w:val="center"/>
          </w:tcPr>
          <w:p w14:paraId="4681766F">
            <w:pPr>
              <w:widowControl w:val="0"/>
              <w:bidi w:val="0"/>
              <w:spacing w:line="240" w:lineRule="auto"/>
              <w:jc w:val="center"/>
              <w:rPr>
                <w:sz w:val="21"/>
                <w:szCs w:val="21"/>
              </w:rPr>
            </w:pPr>
            <w:r>
              <w:rPr>
                <w:sz w:val="21"/>
                <w:szCs w:val="21"/>
              </w:rPr>
              <w:t>4瓶钢瓶</w:t>
            </w:r>
            <w:r>
              <w:rPr>
                <w:rFonts w:hint="eastAsia"/>
                <w:sz w:val="21"/>
                <w:szCs w:val="21"/>
                <w:lang w:eastAsia="zh-CN"/>
              </w:rPr>
              <w:t>，</w:t>
            </w:r>
            <w:r>
              <w:rPr>
                <w:rFonts w:hint="eastAsia"/>
                <w:sz w:val="21"/>
                <w:szCs w:val="21"/>
                <w:lang w:val="en-US" w:eastAsia="zh-CN"/>
              </w:rPr>
              <w:t>每瓶300kg</w:t>
            </w:r>
          </w:p>
        </w:tc>
        <w:tc>
          <w:tcPr>
            <w:tcW w:w="0" w:type="auto"/>
            <w:vAlign w:val="center"/>
          </w:tcPr>
          <w:p w14:paraId="12D2CB69">
            <w:pPr>
              <w:widowControl w:val="0"/>
              <w:bidi w:val="0"/>
              <w:spacing w:line="240" w:lineRule="auto"/>
              <w:jc w:val="center"/>
              <w:rPr>
                <w:sz w:val="21"/>
                <w:szCs w:val="21"/>
              </w:rPr>
            </w:pPr>
            <w:r>
              <w:rPr>
                <w:rFonts w:hint="eastAsia"/>
                <w:sz w:val="21"/>
                <w:szCs w:val="21"/>
                <w:lang w:val="en-US" w:eastAsia="zh-CN"/>
              </w:rPr>
              <w:t>/</w:t>
            </w:r>
          </w:p>
        </w:tc>
        <w:tc>
          <w:tcPr>
            <w:tcW w:w="0" w:type="auto"/>
            <w:vAlign w:val="center"/>
          </w:tcPr>
          <w:p w14:paraId="2B954AB0">
            <w:pPr>
              <w:widowControl w:val="0"/>
              <w:bidi w:val="0"/>
              <w:spacing w:line="240" w:lineRule="auto"/>
              <w:jc w:val="center"/>
              <w:rPr>
                <w:rFonts w:hint="default"/>
                <w:sz w:val="21"/>
                <w:szCs w:val="21"/>
                <w:lang w:val="en-US" w:eastAsia="zh-CN"/>
              </w:rPr>
            </w:pPr>
            <w:r>
              <w:rPr>
                <w:rFonts w:hint="eastAsia"/>
                <w:sz w:val="21"/>
                <w:szCs w:val="21"/>
                <w:lang w:val="en-US" w:eastAsia="zh-CN"/>
              </w:rPr>
              <w:t>1.2</w:t>
            </w:r>
          </w:p>
        </w:tc>
      </w:tr>
      <w:tr w14:paraId="49B25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restart"/>
            <w:shd w:val="clear" w:color="auto" w:fill="auto"/>
            <w:vAlign w:val="center"/>
          </w:tcPr>
          <w:p w14:paraId="4BE783AA">
            <w:pPr>
              <w:widowControl w:val="0"/>
              <w:bidi w:val="0"/>
              <w:spacing w:line="240" w:lineRule="auto"/>
              <w:jc w:val="center"/>
              <w:rPr>
                <w:sz w:val="21"/>
                <w:szCs w:val="21"/>
                <w:lang w:val="en-US" w:eastAsia="en-US"/>
              </w:rPr>
            </w:pPr>
            <w:r>
              <w:rPr>
                <w:sz w:val="21"/>
                <w:szCs w:val="21"/>
              </w:rPr>
              <w:t>化学品库2</w:t>
            </w:r>
          </w:p>
        </w:tc>
        <w:tc>
          <w:tcPr>
            <w:tcW w:w="0" w:type="auto"/>
            <w:shd w:val="clear" w:color="auto" w:fill="auto"/>
            <w:vAlign w:val="center"/>
          </w:tcPr>
          <w:p w14:paraId="4655CD6D">
            <w:pPr>
              <w:widowControl w:val="0"/>
              <w:bidi w:val="0"/>
              <w:spacing w:line="240" w:lineRule="auto"/>
              <w:jc w:val="center"/>
              <w:rPr>
                <w:sz w:val="21"/>
                <w:szCs w:val="21"/>
                <w:lang w:val="en-US" w:eastAsia="en-US"/>
              </w:rPr>
            </w:pPr>
            <w:r>
              <w:rPr>
                <w:sz w:val="21"/>
                <w:szCs w:val="21"/>
              </w:rPr>
              <w:t>氢氟酸（40%）</w:t>
            </w:r>
          </w:p>
        </w:tc>
        <w:tc>
          <w:tcPr>
            <w:tcW w:w="0" w:type="auto"/>
            <w:vAlign w:val="center"/>
          </w:tcPr>
          <w:p w14:paraId="013185F6">
            <w:pPr>
              <w:widowControl w:val="0"/>
              <w:bidi w:val="0"/>
              <w:spacing w:line="240" w:lineRule="auto"/>
              <w:jc w:val="center"/>
              <w:rPr>
                <w:sz w:val="21"/>
                <w:szCs w:val="21"/>
              </w:rPr>
            </w:pPr>
            <w:r>
              <w:rPr>
                <w:sz w:val="21"/>
                <w:szCs w:val="21"/>
              </w:rPr>
              <w:t>2个</w:t>
            </w:r>
            <w:r>
              <w:rPr>
                <w:rFonts w:hint="eastAsia"/>
                <w:sz w:val="21"/>
                <w:szCs w:val="21"/>
                <w:lang w:val="en-US" w:eastAsia="zh-CN"/>
              </w:rPr>
              <w:t>100m</w:t>
            </w:r>
            <w:r>
              <w:rPr>
                <w:rFonts w:hint="eastAsia"/>
                <w:sz w:val="21"/>
                <w:szCs w:val="21"/>
                <w:vertAlign w:val="superscript"/>
                <w:lang w:eastAsia="zh-CN"/>
              </w:rPr>
              <w:t>3</w:t>
            </w:r>
            <w:r>
              <w:rPr>
                <w:sz w:val="21"/>
                <w:szCs w:val="21"/>
              </w:rPr>
              <w:t>储罐</w:t>
            </w:r>
          </w:p>
        </w:tc>
        <w:tc>
          <w:tcPr>
            <w:tcW w:w="0" w:type="auto"/>
            <w:vAlign w:val="center"/>
          </w:tcPr>
          <w:p w14:paraId="219B283C">
            <w:pPr>
              <w:widowControl w:val="0"/>
              <w:bidi w:val="0"/>
              <w:spacing w:line="240" w:lineRule="auto"/>
              <w:jc w:val="center"/>
              <w:rPr>
                <w:rFonts w:hint="default"/>
                <w:sz w:val="21"/>
                <w:szCs w:val="21"/>
                <w:lang w:val="en-US" w:eastAsia="zh-CN"/>
              </w:rPr>
            </w:pPr>
            <w:r>
              <w:rPr>
                <w:rFonts w:hint="eastAsia"/>
                <w:sz w:val="21"/>
                <w:szCs w:val="21"/>
                <w:lang w:val="en-US" w:eastAsia="zh-CN"/>
              </w:rPr>
              <w:t>1.15kg/L</w:t>
            </w:r>
          </w:p>
        </w:tc>
        <w:tc>
          <w:tcPr>
            <w:tcW w:w="0" w:type="auto"/>
            <w:vAlign w:val="center"/>
          </w:tcPr>
          <w:p w14:paraId="00DDCC56">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92</w:t>
            </w:r>
          </w:p>
        </w:tc>
      </w:tr>
      <w:tr w14:paraId="074D9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3680AA4F">
            <w:pPr>
              <w:widowControl w:val="0"/>
              <w:bidi w:val="0"/>
              <w:spacing w:line="240" w:lineRule="auto"/>
              <w:jc w:val="center"/>
              <w:rPr>
                <w:sz w:val="21"/>
                <w:szCs w:val="21"/>
              </w:rPr>
            </w:pPr>
          </w:p>
        </w:tc>
        <w:tc>
          <w:tcPr>
            <w:tcW w:w="0" w:type="auto"/>
            <w:shd w:val="clear" w:color="auto" w:fill="auto"/>
            <w:vAlign w:val="center"/>
          </w:tcPr>
          <w:p w14:paraId="223C8557">
            <w:pPr>
              <w:widowControl w:val="0"/>
              <w:bidi w:val="0"/>
              <w:spacing w:line="240" w:lineRule="auto"/>
              <w:jc w:val="center"/>
              <w:rPr>
                <w:sz w:val="21"/>
                <w:szCs w:val="21"/>
                <w:lang w:val="en-US" w:eastAsia="en-US"/>
              </w:rPr>
            </w:pPr>
            <w:r>
              <w:rPr>
                <w:sz w:val="21"/>
                <w:szCs w:val="21"/>
              </w:rPr>
              <w:t>盐酸（37%）</w:t>
            </w:r>
          </w:p>
        </w:tc>
        <w:tc>
          <w:tcPr>
            <w:tcW w:w="0" w:type="auto"/>
            <w:vAlign w:val="center"/>
          </w:tcPr>
          <w:p w14:paraId="511C79E6">
            <w:pPr>
              <w:widowControl w:val="0"/>
              <w:bidi w:val="0"/>
              <w:spacing w:line="240" w:lineRule="auto"/>
              <w:jc w:val="center"/>
              <w:rPr>
                <w:sz w:val="21"/>
                <w:szCs w:val="21"/>
              </w:rPr>
            </w:pPr>
            <w:r>
              <w:rPr>
                <w:sz w:val="21"/>
                <w:szCs w:val="21"/>
              </w:rPr>
              <w:t>2个</w:t>
            </w:r>
            <w:r>
              <w:rPr>
                <w:rFonts w:hint="eastAsia"/>
                <w:sz w:val="21"/>
                <w:szCs w:val="21"/>
                <w:lang w:val="en-US" w:eastAsia="zh-CN"/>
              </w:rPr>
              <w:t>40m</w:t>
            </w:r>
            <w:r>
              <w:rPr>
                <w:rFonts w:hint="eastAsia"/>
                <w:sz w:val="21"/>
                <w:szCs w:val="21"/>
                <w:vertAlign w:val="superscript"/>
                <w:lang w:eastAsia="zh-CN"/>
              </w:rPr>
              <w:t>3</w:t>
            </w:r>
            <w:r>
              <w:rPr>
                <w:sz w:val="21"/>
                <w:szCs w:val="21"/>
              </w:rPr>
              <w:t>储罐</w:t>
            </w:r>
          </w:p>
        </w:tc>
        <w:tc>
          <w:tcPr>
            <w:tcW w:w="0" w:type="auto"/>
            <w:vAlign w:val="center"/>
          </w:tcPr>
          <w:p w14:paraId="33B4CA53">
            <w:pPr>
              <w:widowControl w:val="0"/>
              <w:bidi w:val="0"/>
              <w:spacing w:line="240" w:lineRule="auto"/>
              <w:jc w:val="center"/>
              <w:rPr>
                <w:sz w:val="21"/>
                <w:szCs w:val="21"/>
              </w:rPr>
            </w:pPr>
            <w:r>
              <w:rPr>
                <w:rFonts w:hint="eastAsia"/>
                <w:sz w:val="21"/>
                <w:szCs w:val="21"/>
                <w:lang w:val="en-US" w:eastAsia="zh-CN"/>
              </w:rPr>
              <w:t>1.19kg/L</w:t>
            </w:r>
          </w:p>
        </w:tc>
        <w:tc>
          <w:tcPr>
            <w:tcW w:w="0" w:type="auto"/>
            <w:vAlign w:val="center"/>
          </w:tcPr>
          <w:p w14:paraId="34CC5D72">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35.224</w:t>
            </w:r>
          </w:p>
        </w:tc>
      </w:tr>
      <w:tr w14:paraId="7729E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52AE0A99">
            <w:pPr>
              <w:widowControl w:val="0"/>
              <w:bidi w:val="0"/>
              <w:spacing w:line="240" w:lineRule="auto"/>
              <w:jc w:val="center"/>
              <w:rPr>
                <w:sz w:val="21"/>
                <w:szCs w:val="21"/>
              </w:rPr>
            </w:pPr>
          </w:p>
        </w:tc>
        <w:tc>
          <w:tcPr>
            <w:tcW w:w="0" w:type="auto"/>
            <w:shd w:val="clear" w:color="auto" w:fill="auto"/>
            <w:vAlign w:val="center"/>
          </w:tcPr>
          <w:p w14:paraId="67F2FEFC">
            <w:pPr>
              <w:widowControl w:val="0"/>
              <w:bidi w:val="0"/>
              <w:spacing w:line="240" w:lineRule="auto"/>
              <w:jc w:val="center"/>
              <w:rPr>
                <w:rFonts w:hint="eastAsia"/>
                <w:sz w:val="21"/>
                <w:szCs w:val="21"/>
                <w:lang w:val="en-US" w:eastAsia="en-US"/>
              </w:rPr>
            </w:pPr>
            <w:r>
              <w:rPr>
                <w:rFonts w:hint="eastAsia"/>
                <w:sz w:val="21"/>
                <w:szCs w:val="21"/>
                <w:lang w:val="en-US" w:eastAsia="zh-CN"/>
              </w:rPr>
              <w:t>双氧水</w:t>
            </w:r>
            <w:r>
              <w:rPr>
                <w:sz w:val="21"/>
                <w:szCs w:val="21"/>
              </w:rPr>
              <w:t>（35%）</w:t>
            </w:r>
          </w:p>
        </w:tc>
        <w:tc>
          <w:tcPr>
            <w:tcW w:w="0" w:type="auto"/>
            <w:vAlign w:val="center"/>
          </w:tcPr>
          <w:p w14:paraId="1225B347">
            <w:pPr>
              <w:widowControl w:val="0"/>
              <w:bidi w:val="0"/>
              <w:spacing w:line="240" w:lineRule="auto"/>
              <w:jc w:val="center"/>
              <w:rPr>
                <w:sz w:val="21"/>
                <w:szCs w:val="21"/>
              </w:rPr>
            </w:pPr>
            <w:r>
              <w:rPr>
                <w:rFonts w:hint="eastAsia"/>
                <w:sz w:val="21"/>
                <w:szCs w:val="21"/>
                <w:lang w:val="en-US" w:eastAsia="zh-CN"/>
              </w:rPr>
              <w:t>3</w:t>
            </w:r>
            <w:r>
              <w:rPr>
                <w:sz w:val="21"/>
                <w:szCs w:val="21"/>
              </w:rPr>
              <w:t>个</w:t>
            </w:r>
            <w:r>
              <w:rPr>
                <w:rFonts w:hint="eastAsia"/>
                <w:sz w:val="21"/>
                <w:szCs w:val="21"/>
                <w:lang w:val="en-US" w:eastAsia="zh-CN"/>
              </w:rPr>
              <w:t>100m</w:t>
            </w:r>
            <w:r>
              <w:rPr>
                <w:rFonts w:hint="eastAsia"/>
                <w:sz w:val="21"/>
                <w:szCs w:val="21"/>
                <w:vertAlign w:val="superscript"/>
                <w:lang w:eastAsia="zh-CN"/>
              </w:rPr>
              <w:t>3</w:t>
            </w:r>
            <w:r>
              <w:rPr>
                <w:sz w:val="21"/>
                <w:szCs w:val="21"/>
              </w:rPr>
              <w:t>储罐</w:t>
            </w:r>
          </w:p>
        </w:tc>
        <w:tc>
          <w:tcPr>
            <w:tcW w:w="0" w:type="auto"/>
            <w:vAlign w:val="center"/>
          </w:tcPr>
          <w:p w14:paraId="205A790C">
            <w:pPr>
              <w:widowControl w:val="0"/>
              <w:bidi w:val="0"/>
              <w:spacing w:line="240" w:lineRule="auto"/>
              <w:jc w:val="center"/>
              <w:rPr>
                <w:sz w:val="21"/>
                <w:szCs w:val="21"/>
              </w:rPr>
            </w:pPr>
            <w:r>
              <w:rPr>
                <w:rFonts w:hint="eastAsia"/>
                <w:sz w:val="21"/>
                <w:szCs w:val="21"/>
                <w:lang w:val="en-US" w:eastAsia="zh-CN"/>
              </w:rPr>
              <w:t>1.132kg/L</w:t>
            </w:r>
          </w:p>
        </w:tc>
        <w:tc>
          <w:tcPr>
            <w:tcW w:w="0" w:type="auto"/>
            <w:vAlign w:val="center"/>
          </w:tcPr>
          <w:p w14:paraId="5B77E01F">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118.86</w:t>
            </w:r>
          </w:p>
        </w:tc>
      </w:tr>
      <w:tr w14:paraId="23524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restart"/>
            <w:shd w:val="clear" w:color="auto" w:fill="auto"/>
            <w:vAlign w:val="center"/>
          </w:tcPr>
          <w:p w14:paraId="44E7B99C">
            <w:pPr>
              <w:widowControl w:val="0"/>
              <w:bidi w:val="0"/>
              <w:spacing w:line="240" w:lineRule="auto"/>
              <w:jc w:val="center"/>
              <w:rPr>
                <w:rFonts w:hint="eastAsia"/>
                <w:sz w:val="21"/>
                <w:szCs w:val="21"/>
                <w:lang w:val="en-US" w:eastAsia="zh-CN"/>
              </w:rPr>
            </w:pPr>
            <w:r>
              <w:rPr>
                <w:sz w:val="21"/>
                <w:szCs w:val="21"/>
              </w:rPr>
              <w:t>化学品库</w:t>
            </w:r>
            <w:r>
              <w:rPr>
                <w:rFonts w:hint="eastAsia"/>
                <w:sz w:val="21"/>
                <w:szCs w:val="21"/>
                <w:lang w:val="en-US" w:eastAsia="zh-CN"/>
              </w:rPr>
              <w:t>1</w:t>
            </w:r>
          </w:p>
        </w:tc>
        <w:tc>
          <w:tcPr>
            <w:tcW w:w="0" w:type="auto"/>
            <w:shd w:val="clear" w:color="auto" w:fill="auto"/>
            <w:vAlign w:val="center"/>
          </w:tcPr>
          <w:p w14:paraId="5382FC5B">
            <w:pPr>
              <w:widowControl w:val="0"/>
              <w:bidi w:val="0"/>
              <w:spacing w:line="240" w:lineRule="auto"/>
              <w:jc w:val="center"/>
              <w:rPr>
                <w:rFonts w:hint="eastAsia"/>
                <w:sz w:val="21"/>
                <w:szCs w:val="21"/>
                <w:lang w:val="en-US" w:eastAsia="en-US"/>
              </w:rPr>
            </w:pPr>
            <w:r>
              <w:rPr>
                <w:sz w:val="21"/>
                <w:szCs w:val="21"/>
              </w:rPr>
              <w:t>盐酸（37%）</w:t>
            </w:r>
          </w:p>
        </w:tc>
        <w:tc>
          <w:tcPr>
            <w:tcW w:w="0" w:type="auto"/>
            <w:vAlign w:val="center"/>
          </w:tcPr>
          <w:p w14:paraId="156471B9">
            <w:pPr>
              <w:widowControl w:val="0"/>
              <w:bidi w:val="0"/>
              <w:spacing w:line="240" w:lineRule="auto"/>
              <w:jc w:val="center"/>
              <w:rPr>
                <w:rFonts w:hint="default"/>
                <w:sz w:val="21"/>
                <w:szCs w:val="21"/>
                <w:lang w:val="en-US" w:eastAsia="zh-CN"/>
              </w:rPr>
            </w:pPr>
            <w:r>
              <w:rPr>
                <w:rFonts w:hint="eastAsia"/>
                <w:sz w:val="21"/>
                <w:szCs w:val="21"/>
                <w:lang w:val="en-US" w:eastAsia="zh-CN"/>
              </w:rPr>
              <w:t>5424L</w:t>
            </w:r>
          </w:p>
        </w:tc>
        <w:tc>
          <w:tcPr>
            <w:tcW w:w="0" w:type="auto"/>
            <w:vAlign w:val="center"/>
          </w:tcPr>
          <w:p w14:paraId="2143B4AD">
            <w:pPr>
              <w:widowControl w:val="0"/>
              <w:bidi w:val="0"/>
              <w:spacing w:line="240" w:lineRule="auto"/>
              <w:jc w:val="center"/>
              <w:rPr>
                <w:sz w:val="21"/>
                <w:szCs w:val="21"/>
              </w:rPr>
            </w:pPr>
            <w:r>
              <w:rPr>
                <w:rFonts w:hint="eastAsia"/>
                <w:sz w:val="21"/>
                <w:szCs w:val="21"/>
                <w:lang w:val="en-US" w:eastAsia="zh-CN"/>
              </w:rPr>
              <w:t>1.19kg/L</w:t>
            </w:r>
          </w:p>
        </w:tc>
        <w:tc>
          <w:tcPr>
            <w:tcW w:w="0" w:type="auto"/>
            <w:vAlign w:val="center"/>
          </w:tcPr>
          <w:p w14:paraId="303C3CA7">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2.388</w:t>
            </w:r>
          </w:p>
        </w:tc>
      </w:tr>
      <w:tr w14:paraId="7C5C5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7A7C4855">
            <w:pPr>
              <w:widowControl w:val="0"/>
              <w:bidi w:val="0"/>
              <w:spacing w:line="240" w:lineRule="auto"/>
              <w:jc w:val="center"/>
              <w:rPr>
                <w:sz w:val="21"/>
                <w:szCs w:val="21"/>
              </w:rPr>
            </w:pPr>
          </w:p>
        </w:tc>
        <w:tc>
          <w:tcPr>
            <w:tcW w:w="0" w:type="auto"/>
            <w:shd w:val="clear" w:color="auto" w:fill="auto"/>
            <w:vAlign w:val="center"/>
          </w:tcPr>
          <w:p w14:paraId="483759BD">
            <w:pPr>
              <w:widowControl w:val="0"/>
              <w:bidi w:val="0"/>
              <w:spacing w:line="240" w:lineRule="auto"/>
              <w:jc w:val="center"/>
              <w:rPr>
                <w:rFonts w:hint="eastAsia"/>
                <w:sz w:val="21"/>
                <w:szCs w:val="21"/>
                <w:lang w:val="en-US" w:eastAsia="en-US"/>
              </w:rPr>
            </w:pPr>
            <w:r>
              <w:rPr>
                <w:rFonts w:hint="eastAsia"/>
                <w:sz w:val="21"/>
                <w:szCs w:val="21"/>
                <w:lang w:val="en-US" w:eastAsia="zh-CN"/>
              </w:rPr>
              <w:t>双氧水</w:t>
            </w:r>
            <w:r>
              <w:rPr>
                <w:sz w:val="21"/>
                <w:szCs w:val="21"/>
              </w:rPr>
              <w:t>（35%）</w:t>
            </w:r>
          </w:p>
        </w:tc>
        <w:tc>
          <w:tcPr>
            <w:tcW w:w="0" w:type="auto"/>
            <w:vAlign w:val="center"/>
          </w:tcPr>
          <w:p w14:paraId="2BE94E3B">
            <w:pPr>
              <w:widowControl w:val="0"/>
              <w:bidi w:val="0"/>
              <w:spacing w:line="240" w:lineRule="auto"/>
              <w:jc w:val="center"/>
              <w:rPr>
                <w:sz w:val="21"/>
                <w:szCs w:val="21"/>
              </w:rPr>
            </w:pPr>
            <w:r>
              <w:rPr>
                <w:rFonts w:hint="eastAsia"/>
                <w:sz w:val="21"/>
                <w:szCs w:val="21"/>
                <w:lang w:val="en-US" w:eastAsia="zh-CN"/>
              </w:rPr>
              <w:t>5424L</w:t>
            </w:r>
          </w:p>
        </w:tc>
        <w:tc>
          <w:tcPr>
            <w:tcW w:w="0" w:type="auto"/>
            <w:vAlign w:val="center"/>
          </w:tcPr>
          <w:p w14:paraId="5667C705">
            <w:pPr>
              <w:widowControl w:val="0"/>
              <w:bidi w:val="0"/>
              <w:spacing w:line="240" w:lineRule="auto"/>
              <w:jc w:val="center"/>
              <w:rPr>
                <w:sz w:val="21"/>
                <w:szCs w:val="21"/>
              </w:rPr>
            </w:pPr>
            <w:r>
              <w:rPr>
                <w:rFonts w:hint="eastAsia"/>
                <w:sz w:val="21"/>
                <w:szCs w:val="21"/>
                <w:lang w:val="en-US" w:eastAsia="zh-CN"/>
              </w:rPr>
              <w:t>1.132kg/L</w:t>
            </w:r>
          </w:p>
        </w:tc>
        <w:tc>
          <w:tcPr>
            <w:tcW w:w="0" w:type="auto"/>
            <w:vAlign w:val="center"/>
          </w:tcPr>
          <w:p w14:paraId="64A82E32">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2.149</w:t>
            </w:r>
          </w:p>
        </w:tc>
      </w:tr>
      <w:tr w14:paraId="7FE96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467DFA90">
            <w:pPr>
              <w:widowControl w:val="0"/>
              <w:bidi w:val="0"/>
              <w:spacing w:line="240" w:lineRule="auto"/>
              <w:jc w:val="center"/>
              <w:rPr>
                <w:sz w:val="21"/>
                <w:szCs w:val="21"/>
              </w:rPr>
            </w:pPr>
          </w:p>
        </w:tc>
        <w:tc>
          <w:tcPr>
            <w:tcW w:w="0" w:type="auto"/>
            <w:shd w:val="clear" w:color="auto" w:fill="auto"/>
            <w:vAlign w:val="center"/>
          </w:tcPr>
          <w:p w14:paraId="41C162CE">
            <w:pPr>
              <w:widowControl w:val="0"/>
              <w:bidi w:val="0"/>
              <w:spacing w:line="240" w:lineRule="auto"/>
              <w:jc w:val="center"/>
              <w:rPr>
                <w:rFonts w:hint="eastAsia"/>
                <w:sz w:val="21"/>
                <w:szCs w:val="21"/>
                <w:lang w:val="en-US" w:eastAsia="en-US"/>
              </w:rPr>
            </w:pPr>
            <w:r>
              <w:rPr>
                <w:sz w:val="21"/>
                <w:szCs w:val="21"/>
                <w:lang w:val="en-US" w:eastAsia="en-US"/>
              </w:rPr>
              <w:t>三氯氧磷</w:t>
            </w:r>
          </w:p>
        </w:tc>
        <w:tc>
          <w:tcPr>
            <w:tcW w:w="0" w:type="auto"/>
            <w:vAlign w:val="center"/>
          </w:tcPr>
          <w:p w14:paraId="30E0C88E">
            <w:pPr>
              <w:widowControl w:val="0"/>
              <w:bidi w:val="0"/>
              <w:spacing w:line="240" w:lineRule="auto"/>
              <w:jc w:val="center"/>
              <w:rPr>
                <w:rFonts w:hint="default"/>
                <w:sz w:val="21"/>
                <w:szCs w:val="21"/>
                <w:lang w:val="en-US" w:eastAsia="zh-CN"/>
              </w:rPr>
            </w:pPr>
            <w:r>
              <w:rPr>
                <w:rFonts w:hint="eastAsia"/>
                <w:sz w:val="21"/>
                <w:szCs w:val="21"/>
                <w:lang w:val="en-US" w:eastAsia="zh-CN"/>
              </w:rPr>
              <w:t>1080L</w:t>
            </w:r>
          </w:p>
        </w:tc>
        <w:tc>
          <w:tcPr>
            <w:tcW w:w="0" w:type="auto"/>
            <w:vAlign w:val="center"/>
          </w:tcPr>
          <w:p w14:paraId="71987940">
            <w:pPr>
              <w:widowControl w:val="0"/>
              <w:bidi w:val="0"/>
              <w:spacing w:line="240" w:lineRule="auto"/>
              <w:jc w:val="center"/>
              <w:rPr>
                <w:rFonts w:hint="default"/>
                <w:sz w:val="21"/>
                <w:szCs w:val="21"/>
                <w:lang w:val="en-US" w:eastAsia="zh-CN"/>
              </w:rPr>
            </w:pPr>
            <w:r>
              <w:rPr>
                <w:rFonts w:hint="eastAsia"/>
                <w:sz w:val="21"/>
                <w:szCs w:val="21"/>
                <w:lang w:val="en-US" w:eastAsia="zh-CN"/>
              </w:rPr>
              <w:t>1.645kg/L</w:t>
            </w:r>
          </w:p>
        </w:tc>
        <w:tc>
          <w:tcPr>
            <w:tcW w:w="0" w:type="auto"/>
            <w:vAlign w:val="center"/>
          </w:tcPr>
          <w:p w14:paraId="5DA50F5B">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1.7766</w:t>
            </w:r>
          </w:p>
        </w:tc>
      </w:tr>
      <w:tr w14:paraId="7C282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5D667128">
            <w:pPr>
              <w:widowControl w:val="0"/>
              <w:bidi w:val="0"/>
              <w:spacing w:line="240" w:lineRule="auto"/>
              <w:jc w:val="center"/>
              <w:rPr>
                <w:sz w:val="21"/>
                <w:szCs w:val="21"/>
              </w:rPr>
            </w:pPr>
          </w:p>
        </w:tc>
        <w:tc>
          <w:tcPr>
            <w:tcW w:w="0" w:type="auto"/>
            <w:shd w:val="clear" w:color="auto" w:fill="auto"/>
            <w:vAlign w:val="center"/>
          </w:tcPr>
          <w:p w14:paraId="3CB47B37">
            <w:pPr>
              <w:widowControl w:val="0"/>
              <w:bidi w:val="0"/>
              <w:spacing w:line="240" w:lineRule="auto"/>
              <w:jc w:val="center"/>
              <w:rPr>
                <w:rFonts w:hint="eastAsia"/>
                <w:sz w:val="21"/>
                <w:szCs w:val="21"/>
                <w:lang w:val="en-US" w:eastAsia="en-US"/>
              </w:rPr>
            </w:pPr>
            <w:r>
              <w:rPr>
                <w:sz w:val="21"/>
                <w:szCs w:val="21"/>
              </w:rPr>
              <w:t>无水乙醇</w:t>
            </w:r>
          </w:p>
        </w:tc>
        <w:tc>
          <w:tcPr>
            <w:tcW w:w="0" w:type="auto"/>
            <w:vAlign w:val="center"/>
          </w:tcPr>
          <w:p w14:paraId="381C7A59">
            <w:pPr>
              <w:widowControl w:val="0"/>
              <w:bidi w:val="0"/>
              <w:spacing w:line="240" w:lineRule="auto"/>
              <w:jc w:val="center"/>
              <w:rPr>
                <w:rFonts w:hint="default"/>
                <w:sz w:val="21"/>
                <w:szCs w:val="21"/>
                <w:lang w:val="en-US" w:eastAsia="zh-CN"/>
              </w:rPr>
            </w:pPr>
            <w:r>
              <w:rPr>
                <w:rFonts w:hint="eastAsia"/>
                <w:sz w:val="21"/>
                <w:szCs w:val="21"/>
                <w:lang w:val="en-US" w:eastAsia="zh-CN"/>
              </w:rPr>
              <w:t>6800L</w:t>
            </w:r>
          </w:p>
        </w:tc>
        <w:tc>
          <w:tcPr>
            <w:tcW w:w="0" w:type="auto"/>
            <w:vAlign w:val="center"/>
          </w:tcPr>
          <w:p w14:paraId="7232AD76">
            <w:pPr>
              <w:widowControl w:val="0"/>
              <w:bidi w:val="0"/>
              <w:spacing w:line="240" w:lineRule="auto"/>
              <w:jc w:val="center"/>
              <w:rPr>
                <w:sz w:val="21"/>
                <w:szCs w:val="21"/>
              </w:rPr>
            </w:pPr>
            <w:r>
              <w:rPr>
                <w:rFonts w:hint="eastAsia"/>
                <w:sz w:val="21"/>
                <w:szCs w:val="21"/>
                <w:lang w:val="en-US" w:eastAsia="zh-CN"/>
              </w:rPr>
              <w:t>0.789kg/L</w:t>
            </w:r>
          </w:p>
        </w:tc>
        <w:tc>
          <w:tcPr>
            <w:tcW w:w="0" w:type="auto"/>
            <w:vAlign w:val="center"/>
          </w:tcPr>
          <w:p w14:paraId="25FCF503">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5.3652</w:t>
            </w:r>
          </w:p>
        </w:tc>
      </w:tr>
      <w:tr w14:paraId="520EF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restart"/>
            <w:shd w:val="clear" w:color="auto" w:fill="auto"/>
            <w:vAlign w:val="center"/>
          </w:tcPr>
          <w:p w14:paraId="510EBAD8">
            <w:pPr>
              <w:widowControl w:val="0"/>
              <w:bidi w:val="0"/>
              <w:spacing w:line="240" w:lineRule="auto"/>
              <w:jc w:val="center"/>
              <w:rPr>
                <w:sz w:val="21"/>
                <w:szCs w:val="21"/>
                <w:lang w:val="en-US" w:eastAsia="en-US"/>
              </w:rPr>
            </w:pPr>
            <w:r>
              <w:rPr>
                <w:rFonts w:hint="eastAsia"/>
                <w:sz w:val="21"/>
                <w:szCs w:val="21"/>
                <w:lang w:val="en-US" w:eastAsia="zh-CN"/>
              </w:rPr>
              <w:t>电池车间1楼顶储罐</w:t>
            </w:r>
          </w:p>
        </w:tc>
        <w:tc>
          <w:tcPr>
            <w:tcW w:w="0" w:type="auto"/>
            <w:shd w:val="clear" w:color="auto" w:fill="auto"/>
            <w:vAlign w:val="center"/>
          </w:tcPr>
          <w:p w14:paraId="0504B67A">
            <w:pPr>
              <w:widowControl w:val="0"/>
              <w:bidi w:val="0"/>
              <w:spacing w:line="240" w:lineRule="auto"/>
              <w:jc w:val="center"/>
              <w:rPr>
                <w:rFonts w:hint="eastAsia"/>
                <w:sz w:val="21"/>
                <w:szCs w:val="21"/>
                <w:lang w:val="en-US" w:eastAsia="en-US"/>
              </w:rPr>
            </w:pPr>
            <w:r>
              <w:rPr>
                <w:rFonts w:hint="eastAsia"/>
                <w:sz w:val="21"/>
                <w:szCs w:val="21"/>
                <w:lang w:val="en-US" w:eastAsia="zh-CN"/>
              </w:rPr>
              <w:t>盐酸（36%）</w:t>
            </w:r>
          </w:p>
        </w:tc>
        <w:tc>
          <w:tcPr>
            <w:tcW w:w="0" w:type="auto"/>
            <w:vAlign w:val="center"/>
          </w:tcPr>
          <w:p w14:paraId="6C4D8B73">
            <w:pPr>
              <w:widowControl w:val="0"/>
              <w:bidi w:val="0"/>
              <w:spacing w:line="240" w:lineRule="auto"/>
              <w:jc w:val="center"/>
              <w:rPr>
                <w:sz w:val="21"/>
                <w:szCs w:val="21"/>
              </w:rPr>
            </w:pPr>
            <w:r>
              <w:rPr>
                <w:rFonts w:hint="eastAsia"/>
                <w:sz w:val="21"/>
                <w:szCs w:val="21"/>
                <w:lang w:val="en-US" w:eastAsia="zh-CN"/>
              </w:rPr>
              <w:t>1</w:t>
            </w:r>
            <w:r>
              <w:rPr>
                <w:sz w:val="21"/>
                <w:szCs w:val="21"/>
              </w:rPr>
              <w:t>个</w:t>
            </w:r>
            <w:r>
              <w:rPr>
                <w:rFonts w:hint="eastAsia"/>
                <w:sz w:val="21"/>
                <w:szCs w:val="21"/>
                <w:lang w:val="en-US" w:eastAsia="zh-CN"/>
              </w:rPr>
              <w:t>40m</w:t>
            </w:r>
            <w:r>
              <w:rPr>
                <w:rFonts w:hint="eastAsia"/>
                <w:sz w:val="21"/>
                <w:szCs w:val="21"/>
                <w:vertAlign w:val="superscript"/>
                <w:lang w:eastAsia="zh-CN"/>
              </w:rPr>
              <w:t>3</w:t>
            </w:r>
            <w:r>
              <w:rPr>
                <w:sz w:val="21"/>
                <w:szCs w:val="21"/>
              </w:rPr>
              <w:t>储罐</w:t>
            </w:r>
          </w:p>
        </w:tc>
        <w:tc>
          <w:tcPr>
            <w:tcW w:w="0" w:type="auto"/>
            <w:vAlign w:val="center"/>
          </w:tcPr>
          <w:p w14:paraId="44BC6874">
            <w:pPr>
              <w:widowControl w:val="0"/>
              <w:bidi w:val="0"/>
              <w:spacing w:line="240" w:lineRule="auto"/>
              <w:jc w:val="center"/>
              <w:rPr>
                <w:sz w:val="21"/>
                <w:szCs w:val="21"/>
              </w:rPr>
            </w:pPr>
            <w:r>
              <w:rPr>
                <w:rFonts w:hint="eastAsia"/>
                <w:sz w:val="21"/>
                <w:szCs w:val="21"/>
                <w:lang w:val="en-US" w:eastAsia="zh-CN"/>
              </w:rPr>
              <w:t>1.179kg/L</w:t>
            </w:r>
          </w:p>
        </w:tc>
        <w:tc>
          <w:tcPr>
            <w:tcW w:w="0" w:type="auto"/>
            <w:vAlign w:val="center"/>
          </w:tcPr>
          <w:p w14:paraId="35A4624C">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16.9776</w:t>
            </w:r>
          </w:p>
        </w:tc>
      </w:tr>
      <w:tr w14:paraId="3CDE4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12" w:type="dxa"/>
            <w:vMerge w:val="continue"/>
            <w:vAlign w:val="center"/>
          </w:tcPr>
          <w:p w14:paraId="188DDFCE">
            <w:pPr>
              <w:widowControl w:val="0"/>
              <w:bidi w:val="0"/>
              <w:spacing w:line="240" w:lineRule="auto"/>
              <w:jc w:val="center"/>
              <w:rPr>
                <w:sz w:val="21"/>
                <w:szCs w:val="21"/>
              </w:rPr>
            </w:pPr>
          </w:p>
        </w:tc>
        <w:tc>
          <w:tcPr>
            <w:tcW w:w="0" w:type="auto"/>
            <w:shd w:val="clear" w:color="auto" w:fill="auto"/>
            <w:vAlign w:val="center"/>
          </w:tcPr>
          <w:p w14:paraId="2CBB0404">
            <w:pPr>
              <w:widowControl w:val="0"/>
              <w:bidi w:val="0"/>
              <w:spacing w:line="240" w:lineRule="auto"/>
              <w:jc w:val="center"/>
              <w:rPr>
                <w:rFonts w:hint="eastAsia"/>
                <w:sz w:val="21"/>
                <w:szCs w:val="21"/>
                <w:lang w:val="en-US" w:eastAsia="en-US"/>
              </w:rPr>
            </w:pPr>
            <w:r>
              <w:rPr>
                <w:sz w:val="21"/>
                <w:szCs w:val="21"/>
                <w:lang w:val="en-US" w:eastAsia="en-US"/>
              </w:rPr>
              <w:t>氢氟酸</w:t>
            </w:r>
            <w:r>
              <w:rPr>
                <w:sz w:val="21"/>
                <w:szCs w:val="21"/>
              </w:rPr>
              <w:t>（40%）</w:t>
            </w:r>
          </w:p>
        </w:tc>
        <w:tc>
          <w:tcPr>
            <w:tcW w:w="0" w:type="auto"/>
            <w:vAlign w:val="center"/>
          </w:tcPr>
          <w:p w14:paraId="01D7C346">
            <w:pPr>
              <w:widowControl w:val="0"/>
              <w:bidi w:val="0"/>
              <w:spacing w:line="240" w:lineRule="auto"/>
              <w:jc w:val="center"/>
              <w:rPr>
                <w:sz w:val="21"/>
                <w:szCs w:val="21"/>
              </w:rPr>
            </w:pPr>
            <w:r>
              <w:rPr>
                <w:rFonts w:hint="eastAsia"/>
                <w:sz w:val="21"/>
                <w:szCs w:val="21"/>
                <w:lang w:val="en-US" w:eastAsia="zh-CN"/>
              </w:rPr>
              <w:t>1</w:t>
            </w:r>
            <w:r>
              <w:rPr>
                <w:sz w:val="21"/>
                <w:szCs w:val="21"/>
              </w:rPr>
              <w:t>个</w:t>
            </w:r>
            <w:r>
              <w:rPr>
                <w:rFonts w:hint="eastAsia"/>
                <w:sz w:val="21"/>
                <w:szCs w:val="21"/>
                <w:lang w:val="en-US" w:eastAsia="zh-CN"/>
              </w:rPr>
              <w:t>40m</w:t>
            </w:r>
            <w:r>
              <w:rPr>
                <w:rFonts w:hint="eastAsia"/>
                <w:sz w:val="21"/>
                <w:szCs w:val="21"/>
                <w:vertAlign w:val="superscript"/>
                <w:lang w:eastAsia="zh-CN"/>
              </w:rPr>
              <w:t>3</w:t>
            </w:r>
            <w:r>
              <w:rPr>
                <w:sz w:val="21"/>
                <w:szCs w:val="21"/>
              </w:rPr>
              <w:t>储罐</w:t>
            </w:r>
          </w:p>
        </w:tc>
        <w:tc>
          <w:tcPr>
            <w:tcW w:w="0" w:type="auto"/>
            <w:vAlign w:val="center"/>
          </w:tcPr>
          <w:p w14:paraId="4B333482">
            <w:pPr>
              <w:widowControl w:val="0"/>
              <w:bidi w:val="0"/>
              <w:spacing w:line="240" w:lineRule="auto"/>
              <w:jc w:val="center"/>
              <w:rPr>
                <w:sz w:val="21"/>
                <w:szCs w:val="21"/>
              </w:rPr>
            </w:pPr>
            <w:r>
              <w:rPr>
                <w:rFonts w:hint="eastAsia"/>
                <w:sz w:val="21"/>
                <w:szCs w:val="21"/>
                <w:lang w:val="en-US" w:eastAsia="zh-CN"/>
              </w:rPr>
              <w:t>1.15kg/L</w:t>
            </w:r>
          </w:p>
        </w:tc>
        <w:tc>
          <w:tcPr>
            <w:tcW w:w="0" w:type="auto"/>
            <w:vAlign w:val="center"/>
          </w:tcPr>
          <w:p w14:paraId="29DA342D">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18.4</w:t>
            </w:r>
          </w:p>
        </w:tc>
      </w:tr>
    </w:tbl>
    <w:p w14:paraId="46F19355">
      <w:pPr>
        <w:bidi w:val="0"/>
      </w:pPr>
    </w:p>
    <w:p w14:paraId="2C436C0C">
      <w:pPr>
        <w:bidi w:val="0"/>
        <w:sectPr>
          <w:pgSz w:w="16838" w:h="11906" w:orient="landscape"/>
          <w:pgMar w:top="1417" w:right="1417" w:bottom="1134" w:left="1134" w:header="851" w:footer="992" w:gutter="0"/>
          <w:pgNumType w:fmt="decimal"/>
          <w:cols w:space="0" w:num="1"/>
          <w:rtlGutter w:val="0"/>
          <w:docGrid w:type="lines" w:linePitch="312" w:charSpace="0"/>
        </w:sectPr>
      </w:pPr>
    </w:p>
    <w:p w14:paraId="222A0F80">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②行业及生产工艺（M）</w:t>
      </w:r>
    </w:p>
    <w:p w14:paraId="746AA849">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分析项目所述行业及生产工艺特点，按照下表评估生产工艺情况。具有多套工艺单元的项目，对每套生产工艺分别评分并求和。将M值划分为（1）M＞20；（2）10&lt;M≤20</w:t>
      </w:r>
      <w:r>
        <w:rPr>
          <w:rFonts w:hint="eastAsia"/>
          <w:color w:val="auto"/>
          <w:lang w:eastAsia="zh-CN"/>
        </w:rPr>
        <w:t>；</w:t>
      </w:r>
      <w:r>
        <w:rPr>
          <w:color w:val="auto"/>
        </w:rPr>
        <w:t>（3）5＜M≤10；（4）M=5，分别以M1、M2、M3和M4表示。</w:t>
      </w:r>
    </w:p>
    <w:p w14:paraId="21A46CCA">
      <w:pPr>
        <w:bidi w:val="0"/>
        <w:jc w:val="center"/>
        <w:rPr>
          <w:b/>
          <w:bCs/>
        </w:rPr>
      </w:pPr>
      <w:r>
        <w:rPr>
          <w:b/>
          <w:bCs/>
        </w:rPr>
        <w:t>表2.4-1</w:t>
      </w:r>
      <w:r>
        <w:rPr>
          <w:rFonts w:hint="eastAsia"/>
          <w:b/>
          <w:bCs/>
          <w:lang w:val="en-US" w:eastAsia="zh-CN"/>
        </w:rPr>
        <w:t xml:space="preserve">5 </w:t>
      </w:r>
      <w:r>
        <w:rPr>
          <w:b/>
          <w:bCs/>
        </w:rPr>
        <w:t>行业及生产工艺对照表（M）</w:t>
      </w:r>
    </w:p>
    <w:tbl>
      <w:tblPr>
        <w:tblStyle w:val="25"/>
        <w:tblW w:w="5012"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9"/>
        <w:gridCol w:w="3584"/>
        <w:gridCol w:w="1232"/>
        <w:gridCol w:w="2689"/>
        <w:gridCol w:w="789"/>
      </w:tblGrid>
      <w:tr w14:paraId="16476D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tcBorders>
              <w:tl2br w:val="nil"/>
              <w:tr2bl w:val="nil"/>
            </w:tcBorders>
            <w:vAlign w:val="center"/>
          </w:tcPr>
          <w:p w14:paraId="599F18D8">
            <w:pPr>
              <w:pStyle w:val="30"/>
              <w:widowControl w:val="0"/>
              <w:bidi w:val="0"/>
              <w:spacing w:line="240" w:lineRule="auto"/>
              <w:rPr>
                <w:b/>
                <w:bCs/>
                <w:color w:val="auto"/>
                <w:lang w:val="en-US" w:eastAsia="en-US"/>
              </w:rPr>
            </w:pPr>
            <w:r>
              <w:rPr>
                <w:b/>
                <w:bCs/>
                <w:color w:val="auto"/>
                <w:lang w:val="en-US" w:eastAsia="en-US"/>
              </w:rPr>
              <w:t>行业</w:t>
            </w:r>
          </w:p>
        </w:tc>
        <w:tc>
          <w:tcPr>
            <w:tcW w:w="3582" w:type="dxa"/>
            <w:tcBorders>
              <w:tl2br w:val="nil"/>
              <w:tr2bl w:val="nil"/>
            </w:tcBorders>
            <w:vAlign w:val="center"/>
          </w:tcPr>
          <w:p w14:paraId="3B63A3AE">
            <w:pPr>
              <w:pStyle w:val="30"/>
              <w:widowControl w:val="0"/>
              <w:bidi w:val="0"/>
              <w:spacing w:line="240" w:lineRule="auto"/>
              <w:rPr>
                <w:b/>
                <w:bCs/>
                <w:color w:val="auto"/>
                <w:lang w:val="en-US" w:eastAsia="en-US"/>
              </w:rPr>
            </w:pPr>
            <w:r>
              <w:rPr>
                <w:b/>
                <w:bCs/>
                <w:color w:val="auto"/>
                <w:lang w:val="en-US" w:eastAsia="en-US"/>
              </w:rPr>
              <w:t>评估依据</w:t>
            </w:r>
          </w:p>
        </w:tc>
        <w:tc>
          <w:tcPr>
            <w:tcW w:w="1231" w:type="dxa"/>
            <w:tcBorders>
              <w:tl2br w:val="nil"/>
              <w:tr2bl w:val="nil"/>
            </w:tcBorders>
            <w:vAlign w:val="center"/>
          </w:tcPr>
          <w:p w14:paraId="1914B7C7">
            <w:pPr>
              <w:pStyle w:val="30"/>
              <w:widowControl w:val="0"/>
              <w:bidi w:val="0"/>
              <w:spacing w:line="240" w:lineRule="auto"/>
              <w:rPr>
                <w:b/>
                <w:bCs/>
                <w:color w:val="auto"/>
                <w:lang w:val="en-US" w:eastAsia="en-US"/>
              </w:rPr>
            </w:pPr>
            <w:r>
              <w:rPr>
                <w:b/>
                <w:bCs/>
                <w:color w:val="auto"/>
                <w:lang w:val="en-US" w:eastAsia="en-US"/>
              </w:rPr>
              <w:t>分值</w:t>
            </w:r>
          </w:p>
        </w:tc>
        <w:tc>
          <w:tcPr>
            <w:tcW w:w="2688" w:type="dxa"/>
            <w:tcBorders>
              <w:tl2br w:val="nil"/>
              <w:tr2bl w:val="nil"/>
            </w:tcBorders>
            <w:shd w:val="clear" w:color="auto" w:fill="auto"/>
            <w:vAlign w:val="center"/>
          </w:tcPr>
          <w:p w14:paraId="59DF0CB2">
            <w:pPr>
              <w:widowControl w:val="0"/>
              <w:spacing w:line="240" w:lineRule="auto"/>
              <w:jc w:val="center"/>
              <w:rPr>
                <w:rFonts w:ascii="Times New Roman" w:hAnsi="Times New Roman" w:eastAsia="宋体" w:cs="Times New Roman"/>
                <w:b/>
                <w:bCs/>
                <w:color w:val="auto"/>
                <w:sz w:val="21"/>
                <w:szCs w:val="21"/>
                <w:lang w:val="en-US" w:eastAsia="en-US" w:bidi="ar-SA"/>
              </w:rPr>
            </w:pPr>
            <w:r>
              <w:rPr>
                <w:rFonts w:ascii="Times New Roman" w:hAnsi="Times New Roman" w:cs="Times New Roman"/>
                <w:b/>
                <w:bCs/>
                <w:color w:val="auto"/>
                <w:sz w:val="21"/>
                <w:szCs w:val="21"/>
              </w:rPr>
              <w:t>企业情况</w:t>
            </w:r>
          </w:p>
        </w:tc>
        <w:tc>
          <w:tcPr>
            <w:tcW w:w="789" w:type="dxa"/>
            <w:tcBorders>
              <w:tl2br w:val="nil"/>
              <w:tr2bl w:val="nil"/>
            </w:tcBorders>
            <w:shd w:val="clear" w:color="auto" w:fill="auto"/>
            <w:vAlign w:val="center"/>
          </w:tcPr>
          <w:p w14:paraId="2B1B9647">
            <w:pPr>
              <w:widowControl w:val="0"/>
              <w:spacing w:line="240" w:lineRule="auto"/>
              <w:jc w:val="center"/>
              <w:rPr>
                <w:rFonts w:ascii="Times New Roman" w:hAnsi="Times New Roman" w:eastAsia="宋体" w:cs="Times New Roman"/>
                <w:b/>
                <w:bCs/>
                <w:color w:val="auto"/>
                <w:sz w:val="21"/>
                <w:szCs w:val="21"/>
                <w:lang w:val="en-US" w:eastAsia="en-US" w:bidi="ar-SA"/>
              </w:rPr>
            </w:pPr>
            <w:r>
              <w:rPr>
                <w:rFonts w:ascii="Times New Roman" w:hAnsi="Times New Roman" w:cs="Times New Roman"/>
                <w:b/>
                <w:bCs/>
                <w:color w:val="auto"/>
                <w:sz w:val="21"/>
                <w:szCs w:val="21"/>
              </w:rPr>
              <w:t>得分</w:t>
            </w:r>
          </w:p>
        </w:tc>
      </w:tr>
      <w:tr w14:paraId="46E43D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vMerge w:val="restart"/>
            <w:tcBorders>
              <w:tl2br w:val="nil"/>
              <w:tr2bl w:val="nil"/>
            </w:tcBorders>
            <w:vAlign w:val="center"/>
          </w:tcPr>
          <w:p w14:paraId="26053D12">
            <w:pPr>
              <w:pStyle w:val="30"/>
              <w:widowControl w:val="0"/>
              <w:bidi w:val="0"/>
              <w:spacing w:line="240" w:lineRule="auto"/>
              <w:rPr>
                <w:color w:val="auto"/>
                <w:lang w:val="en-US" w:eastAsia="en-US"/>
              </w:rPr>
            </w:pPr>
            <w:r>
              <w:rPr>
                <w:color w:val="auto"/>
                <w:lang w:val="en-US" w:eastAsia="en-US"/>
              </w:rPr>
              <w:t>石化、化工、医药、轻工、化纤、有色冶炼等</w:t>
            </w:r>
          </w:p>
        </w:tc>
        <w:tc>
          <w:tcPr>
            <w:tcW w:w="3582" w:type="dxa"/>
            <w:tcBorders>
              <w:tl2br w:val="nil"/>
              <w:tr2bl w:val="nil"/>
            </w:tcBorders>
            <w:vAlign w:val="center"/>
          </w:tcPr>
          <w:p w14:paraId="63F5AA25">
            <w:pPr>
              <w:pStyle w:val="30"/>
              <w:widowControl w:val="0"/>
              <w:bidi w:val="0"/>
              <w:spacing w:line="240" w:lineRule="auto"/>
              <w:rPr>
                <w:color w:val="auto"/>
                <w:lang w:val="en-US" w:eastAsia="en-US"/>
              </w:rPr>
            </w:pPr>
            <w:r>
              <w:rPr>
                <w:color w:val="auto"/>
                <w:lang w:val="en-US" w:eastAsia="en-US"/>
              </w:rPr>
              <w:t>涉及光气及光气化工艺、电解工艺（氯碱）、氯化工艺、硝化工艺、合成氨工艺、裂解（裂化）工艺、氟化工艺、加氢工艺、重氮化工艺、氧化工艺、过氧化工艺、胺基化工艺、磺化工艺、聚合工艺、烷基化工艺、新型煤化工工艺、电石生产工艺、偶氮化工艺</w:t>
            </w:r>
          </w:p>
        </w:tc>
        <w:tc>
          <w:tcPr>
            <w:tcW w:w="1231" w:type="dxa"/>
            <w:tcBorders>
              <w:tl2br w:val="nil"/>
              <w:tr2bl w:val="nil"/>
            </w:tcBorders>
            <w:vAlign w:val="center"/>
          </w:tcPr>
          <w:p w14:paraId="361B300C">
            <w:pPr>
              <w:pStyle w:val="30"/>
              <w:widowControl w:val="0"/>
              <w:bidi w:val="0"/>
              <w:spacing w:line="240" w:lineRule="auto"/>
              <w:rPr>
                <w:color w:val="auto"/>
                <w:lang w:val="en-US" w:eastAsia="en-US"/>
              </w:rPr>
            </w:pPr>
            <w:r>
              <w:rPr>
                <w:color w:val="auto"/>
                <w:lang w:val="en-US" w:eastAsia="en-US"/>
              </w:rPr>
              <w:t>10/套</w:t>
            </w:r>
          </w:p>
        </w:tc>
        <w:tc>
          <w:tcPr>
            <w:tcW w:w="2688" w:type="dxa"/>
            <w:tcBorders>
              <w:tl2br w:val="nil"/>
              <w:tr2bl w:val="nil"/>
            </w:tcBorders>
            <w:shd w:val="clear" w:color="auto" w:fill="auto"/>
            <w:vAlign w:val="center"/>
          </w:tcPr>
          <w:p w14:paraId="54DFE7B0">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无</w:t>
            </w:r>
          </w:p>
        </w:tc>
        <w:tc>
          <w:tcPr>
            <w:tcW w:w="789" w:type="dxa"/>
            <w:tcBorders>
              <w:tl2br w:val="nil"/>
              <w:tr2bl w:val="nil"/>
            </w:tcBorders>
            <w:shd w:val="clear" w:color="auto" w:fill="auto"/>
            <w:vAlign w:val="center"/>
          </w:tcPr>
          <w:p w14:paraId="66B7A165">
            <w:pPr>
              <w:widowControl w:val="0"/>
              <w:spacing w:line="240" w:lineRule="auto"/>
              <w:jc w:val="center"/>
              <w:rPr>
                <w:rFonts w:hint="default" w:ascii="Times New Roman" w:hAnsi="Times New Roman" w:eastAsia="宋体" w:cs="Times New Roman"/>
                <w:color w:val="auto"/>
                <w:sz w:val="21"/>
                <w:szCs w:val="21"/>
                <w:lang w:val="en-US" w:eastAsia="en-US" w:bidi="ar-SA"/>
              </w:rPr>
            </w:pPr>
            <w:r>
              <w:rPr>
                <w:rFonts w:hint="eastAsia" w:cs="Times New Roman"/>
                <w:color w:val="auto"/>
                <w:sz w:val="21"/>
                <w:szCs w:val="21"/>
                <w:lang w:val="en-US" w:eastAsia="zh-CN"/>
              </w:rPr>
              <w:t>0</w:t>
            </w:r>
          </w:p>
        </w:tc>
      </w:tr>
      <w:tr w14:paraId="28B4F8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vMerge w:val="continue"/>
            <w:tcBorders>
              <w:tl2br w:val="nil"/>
              <w:tr2bl w:val="nil"/>
            </w:tcBorders>
            <w:vAlign w:val="center"/>
          </w:tcPr>
          <w:p w14:paraId="742B95A0">
            <w:pPr>
              <w:pStyle w:val="30"/>
              <w:widowControl w:val="0"/>
              <w:bidi w:val="0"/>
              <w:spacing w:line="240" w:lineRule="auto"/>
              <w:rPr>
                <w:color w:val="auto"/>
                <w:lang w:val="en-US" w:eastAsia="en-US"/>
              </w:rPr>
            </w:pPr>
          </w:p>
        </w:tc>
        <w:tc>
          <w:tcPr>
            <w:tcW w:w="3582" w:type="dxa"/>
            <w:tcBorders>
              <w:tl2br w:val="nil"/>
              <w:tr2bl w:val="nil"/>
            </w:tcBorders>
            <w:vAlign w:val="center"/>
          </w:tcPr>
          <w:p w14:paraId="0EEC3E37">
            <w:pPr>
              <w:pStyle w:val="30"/>
              <w:widowControl w:val="0"/>
              <w:bidi w:val="0"/>
              <w:spacing w:line="240" w:lineRule="auto"/>
              <w:rPr>
                <w:color w:val="auto"/>
                <w:lang w:val="en-US" w:eastAsia="en-US"/>
              </w:rPr>
            </w:pPr>
            <w:r>
              <w:rPr>
                <w:color w:val="auto"/>
                <w:lang w:val="en-US" w:eastAsia="en-US"/>
              </w:rPr>
              <w:t>无机酸制酸工艺、焦化工艺</w:t>
            </w:r>
          </w:p>
        </w:tc>
        <w:tc>
          <w:tcPr>
            <w:tcW w:w="1231" w:type="dxa"/>
            <w:tcBorders>
              <w:tl2br w:val="nil"/>
              <w:tr2bl w:val="nil"/>
            </w:tcBorders>
            <w:vAlign w:val="center"/>
          </w:tcPr>
          <w:p w14:paraId="1149A1BE">
            <w:pPr>
              <w:pStyle w:val="30"/>
              <w:widowControl w:val="0"/>
              <w:bidi w:val="0"/>
              <w:spacing w:line="240" w:lineRule="auto"/>
              <w:rPr>
                <w:color w:val="auto"/>
                <w:lang w:val="en-US" w:eastAsia="en-US"/>
              </w:rPr>
            </w:pPr>
            <w:r>
              <w:rPr>
                <w:color w:val="auto"/>
                <w:lang w:val="en-US" w:eastAsia="en-US"/>
              </w:rPr>
              <w:t>5/套</w:t>
            </w:r>
          </w:p>
        </w:tc>
        <w:tc>
          <w:tcPr>
            <w:tcW w:w="2688" w:type="dxa"/>
            <w:tcBorders>
              <w:tl2br w:val="nil"/>
              <w:tr2bl w:val="nil"/>
            </w:tcBorders>
            <w:shd w:val="clear" w:color="auto" w:fill="auto"/>
            <w:vAlign w:val="center"/>
          </w:tcPr>
          <w:p w14:paraId="08E36FBD">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无</w:t>
            </w:r>
          </w:p>
        </w:tc>
        <w:tc>
          <w:tcPr>
            <w:tcW w:w="789" w:type="dxa"/>
            <w:tcBorders>
              <w:tl2br w:val="nil"/>
              <w:tr2bl w:val="nil"/>
            </w:tcBorders>
            <w:shd w:val="clear" w:color="auto" w:fill="auto"/>
            <w:vAlign w:val="center"/>
          </w:tcPr>
          <w:p w14:paraId="5281E44C">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0</w:t>
            </w:r>
          </w:p>
        </w:tc>
      </w:tr>
      <w:tr w14:paraId="663DA6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vMerge w:val="continue"/>
            <w:tcBorders>
              <w:tl2br w:val="nil"/>
              <w:tr2bl w:val="nil"/>
            </w:tcBorders>
            <w:vAlign w:val="center"/>
          </w:tcPr>
          <w:p w14:paraId="7C06BFBC">
            <w:pPr>
              <w:pStyle w:val="30"/>
              <w:widowControl w:val="0"/>
              <w:bidi w:val="0"/>
              <w:spacing w:line="240" w:lineRule="auto"/>
              <w:rPr>
                <w:color w:val="auto"/>
                <w:lang w:val="en-US" w:eastAsia="en-US"/>
              </w:rPr>
            </w:pPr>
          </w:p>
        </w:tc>
        <w:tc>
          <w:tcPr>
            <w:tcW w:w="3582" w:type="dxa"/>
            <w:tcBorders>
              <w:tl2br w:val="nil"/>
              <w:tr2bl w:val="nil"/>
            </w:tcBorders>
            <w:vAlign w:val="center"/>
          </w:tcPr>
          <w:p w14:paraId="59737A26">
            <w:pPr>
              <w:pStyle w:val="30"/>
              <w:widowControl w:val="0"/>
              <w:bidi w:val="0"/>
              <w:spacing w:line="240" w:lineRule="auto"/>
              <w:rPr>
                <w:color w:val="auto"/>
                <w:lang w:val="en-US" w:eastAsia="en-US"/>
              </w:rPr>
            </w:pPr>
            <w:r>
              <w:rPr>
                <w:color w:val="auto"/>
                <w:lang w:val="en-US" w:eastAsia="en-US"/>
              </w:rPr>
              <w:t>其他高温或高压，且涉及危险物质的工艺过程a、危险物质贮存罐区</w:t>
            </w:r>
          </w:p>
        </w:tc>
        <w:tc>
          <w:tcPr>
            <w:tcW w:w="1231" w:type="dxa"/>
            <w:tcBorders>
              <w:tl2br w:val="nil"/>
              <w:tr2bl w:val="nil"/>
            </w:tcBorders>
            <w:vAlign w:val="center"/>
          </w:tcPr>
          <w:p w14:paraId="1CDC465A">
            <w:pPr>
              <w:pStyle w:val="30"/>
              <w:widowControl w:val="0"/>
              <w:bidi w:val="0"/>
              <w:spacing w:line="240" w:lineRule="auto"/>
              <w:rPr>
                <w:color w:val="auto"/>
                <w:lang w:val="en-US" w:eastAsia="en-US"/>
              </w:rPr>
            </w:pPr>
            <w:r>
              <w:rPr>
                <w:rFonts w:ascii="Times New Roman" w:hAnsi="Times New Roman" w:cs="Times New Roman"/>
                <w:color w:val="auto"/>
                <w:sz w:val="21"/>
                <w:szCs w:val="21"/>
              </w:rPr>
              <w:t>5/套</w:t>
            </w:r>
          </w:p>
        </w:tc>
        <w:tc>
          <w:tcPr>
            <w:tcW w:w="2688" w:type="dxa"/>
            <w:tcBorders>
              <w:tl2br w:val="nil"/>
              <w:tr2bl w:val="nil"/>
            </w:tcBorders>
            <w:shd w:val="clear" w:color="auto" w:fill="auto"/>
            <w:vAlign w:val="center"/>
          </w:tcPr>
          <w:p w14:paraId="7B57BCEA">
            <w:pPr>
              <w:widowControl w:val="0"/>
              <w:spacing w:line="240" w:lineRule="auto"/>
              <w:jc w:val="center"/>
              <w:rPr>
                <w:rFonts w:hint="eastAsia" w:ascii="Times New Roman" w:hAnsi="Times New Roman" w:eastAsia="宋体" w:cs="Times New Roman"/>
                <w:color w:val="auto"/>
                <w:sz w:val="21"/>
                <w:szCs w:val="21"/>
                <w:lang w:val="en-US" w:eastAsia="zh-CN" w:bidi="ar-SA"/>
              </w:rPr>
            </w:pPr>
            <w:r>
              <w:rPr>
                <w:rFonts w:hint="default" w:ascii="Times New Roman" w:hAnsi="Times New Roman" w:eastAsia="宋体" w:cs="Times New Roman"/>
                <w:b w:val="0"/>
                <w:bCs/>
                <w:color w:val="000000"/>
                <w:sz w:val="21"/>
                <w:szCs w:val="21"/>
                <w:lang w:val="en-US" w:eastAsia="zh-CN"/>
              </w:rPr>
              <w:t>生产过程涉及危险物质的高温工艺</w:t>
            </w:r>
            <w:r>
              <w:rPr>
                <w:rFonts w:hint="eastAsia" w:ascii="Times New Roman" w:hAnsi="Times New Roman" w:eastAsia="宋体" w:cs="Times New Roman"/>
                <w:b w:val="0"/>
                <w:bCs/>
                <w:color w:val="000000"/>
                <w:sz w:val="21"/>
                <w:szCs w:val="21"/>
                <w:lang w:val="en-US" w:eastAsia="zh-CN"/>
              </w:rPr>
              <w:t>共9套（后氧化、前硼扩、磷扩、LPCVD、ALD、正面镀膜、背面镀膜、烧结、四分片钝化）</w:t>
            </w:r>
            <w:r>
              <w:rPr>
                <w:rFonts w:hint="default" w:ascii="Times New Roman" w:hAnsi="Times New Roman" w:eastAsia="宋体" w:cs="Times New Roman"/>
                <w:b w:val="0"/>
                <w:bCs/>
                <w:color w:val="000000"/>
                <w:sz w:val="21"/>
                <w:szCs w:val="21"/>
                <w:lang w:val="en-US" w:eastAsia="zh-CN"/>
              </w:rPr>
              <w:t>；全厂设置化学品库2</w:t>
            </w:r>
            <w:r>
              <w:rPr>
                <w:rFonts w:hint="eastAsia" w:ascii="Times New Roman" w:hAnsi="Times New Roman" w:eastAsia="宋体" w:cs="Times New Roman"/>
                <w:b w:val="0"/>
                <w:bCs/>
                <w:color w:val="000000"/>
                <w:sz w:val="21"/>
                <w:szCs w:val="21"/>
                <w:lang w:val="en-US" w:eastAsia="zh-CN"/>
              </w:rPr>
              <w:t>和</w:t>
            </w:r>
            <w:r>
              <w:rPr>
                <w:rFonts w:hint="eastAsia"/>
                <w:sz w:val="21"/>
                <w:szCs w:val="21"/>
                <w:lang w:val="en-US" w:eastAsia="zh-CN"/>
              </w:rPr>
              <w:t>电池车间1楼顶2</w:t>
            </w:r>
            <w:r>
              <w:rPr>
                <w:rFonts w:hint="default" w:ascii="Times New Roman" w:hAnsi="Times New Roman" w:eastAsia="宋体" w:cs="Times New Roman"/>
                <w:b w:val="0"/>
                <w:bCs/>
                <w:color w:val="000000"/>
                <w:sz w:val="21"/>
                <w:szCs w:val="21"/>
                <w:lang w:val="en-US" w:eastAsia="zh-CN"/>
              </w:rPr>
              <w:t>个</w:t>
            </w:r>
            <w:r>
              <w:rPr>
                <w:rFonts w:hint="eastAsia" w:ascii="Times New Roman" w:hAnsi="Times New Roman" w:eastAsia="宋体" w:cs="Times New Roman"/>
                <w:b w:val="0"/>
                <w:bCs/>
                <w:color w:val="000000"/>
                <w:sz w:val="21"/>
                <w:szCs w:val="21"/>
                <w:lang w:val="en-US" w:eastAsia="zh-CN"/>
              </w:rPr>
              <w:t>储罐</w:t>
            </w:r>
            <w:r>
              <w:rPr>
                <w:rFonts w:hint="default" w:ascii="Times New Roman" w:hAnsi="Times New Roman" w:eastAsia="宋体" w:cs="Times New Roman"/>
                <w:b w:val="0"/>
                <w:bCs/>
                <w:color w:val="000000"/>
                <w:sz w:val="21"/>
                <w:szCs w:val="21"/>
                <w:lang w:val="en-US" w:eastAsia="zh-CN"/>
              </w:rPr>
              <w:t>区</w:t>
            </w:r>
          </w:p>
        </w:tc>
        <w:tc>
          <w:tcPr>
            <w:tcW w:w="789" w:type="dxa"/>
            <w:tcBorders>
              <w:tl2br w:val="nil"/>
              <w:tr2bl w:val="nil"/>
            </w:tcBorders>
            <w:shd w:val="clear" w:color="auto" w:fill="auto"/>
            <w:vAlign w:val="center"/>
          </w:tcPr>
          <w:p w14:paraId="1371A45D">
            <w:pPr>
              <w:widowControl w:val="0"/>
              <w:spacing w:line="240" w:lineRule="auto"/>
              <w:jc w:val="center"/>
              <w:rPr>
                <w:rFonts w:hint="default" w:ascii="Times New Roman" w:hAnsi="Times New Roman" w:eastAsia="宋体" w:cs="Times New Roman"/>
                <w:color w:val="auto"/>
                <w:sz w:val="21"/>
                <w:szCs w:val="21"/>
                <w:lang w:val="en-US" w:eastAsia="zh-CN" w:bidi="ar-SA"/>
              </w:rPr>
            </w:pPr>
            <w:r>
              <w:rPr>
                <w:rFonts w:hint="eastAsia" w:eastAsia="宋体" w:cs="Times New Roman"/>
                <w:color w:val="auto"/>
                <w:sz w:val="21"/>
                <w:szCs w:val="21"/>
                <w:lang w:val="en-US" w:eastAsia="zh-CN" w:bidi="ar-SA"/>
              </w:rPr>
              <w:t>55</w:t>
            </w:r>
          </w:p>
        </w:tc>
      </w:tr>
      <w:tr w14:paraId="7252FD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tcBorders>
              <w:tl2br w:val="nil"/>
              <w:tr2bl w:val="nil"/>
            </w:tcBorders>
            <w:vAlign w:val="center"/>
          </w:tcPr>
          <w:p w14:paraId="36EE76F5">
            <w:pPr>
              <w:pStyle w:val="30"/>
              <w:widowControl w:val="0"/>
              <w:bidi w:val="0"/>
              <w:spacing w:line="240" w:lineRule="auto"/>
              <w:rPr>
                <w:color w:val="auto"/>
                <w:lang w:val="en-US" w:eastAsia="en-US"/>
              </w:rPr>
            </w:pPr>
            <w:r>
              <w:rPr>
                <w:color w:val="auto"/>
                <w:lang w:val="en-US" w:eastAsia="en-US"/>
              </w:rPr>
              <w:t>管道、港口/码头等</w:t>
            </w:r>
          </w:p>
        </w:tc>
        <w:tc>
          <w:tcPr>
            <w:tcW w:w="3582" w:type="dxa"/>
            <w:tcBorders>
              <w:tl2br w:val="nil"/>
              <w:tr2bl w:val="nil"/>
            </w:tcBorders>
            <w:vAlign w:val="center"/>
          </w:tcPr>
          <w:p w14:paraId="54EF05C7">
            <w:pPr>
              <w:pStyle w:val="30"/>
              <w:widowControl w:val="0"/>
              <w:bidi w:val="0"/>
              <w:spacing w:line="240" w:lineRule="auto"/>
              <w:rPr>
                <w:color w:val="auto"/>
                <w:lang w:val="en-US" w:eastAsia="en-US"/>
              </w:rPr>
            </w:pPr>
            <w:r>
              <w:rPr>
                <w:color w:val="auto"/>
                <w:lang w:val="en-US" w:eastAsia="en-US"/>
              </w:rPr>
              <w:t>涉及危险物质管道运输项目、港口/码头等</w:t>
            </w:r>
          </w:p>
        </w:tc>
        <w:tc>
          <w:tcPr>
            <w:tcW w:w="1231" w:type="dxa"/>
            <w:tcBorders>
              <w:tl2br w:val="nil"/>
              <w:tr2bl w:val="nil"/>
            </w:tcBorders>
            <w:vAlign w:val="center"/>
          </w:tcPr>
          <w:p w14:paraId="62FD8B4A">
            <w:pPr>
              <w:pStyle w:val="30"/>
              <w:widowControl w:val="0"/>
              <w:bidi w:val="0"/>
              <w:spacing w:line="240" w:lineRule="auto"/>
              <w:rPr>
                <w:color w:val="auto"/>
                <w:lang w:val="en-US" w:eastAsia="en-US"/>
              </w:rPr>
            </w:pPr>
            <w:r>
              <w:rPr>
                <w:color w:val="auto"/>
                <w:lang w:val="en-US" w:eastAsia="en-US"/>
              </w:rPr>
              <w:t>10</w:t>
            </w:r>
          </w:p>
        </w:tc>
        <w:tc>
          <w:tcPr>
            <w:tcW w:w="2688" w:type="dxa"/>
            <w:tcBorders>
              <w:tl2br w:val="nil"/>
              <w:tr2bl w:val="nil"/>
            </w:tcBorders>
            <w:shd w:val="clear" w:color="auto" w:fill="auto"/>
            <w:vAlign w:val="center"/>
          </w:tcPr>
          <w:p w14:paraId="415E7636">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无</w:t>
            </w:r>
          </w:p>
        </w:tc>
        <w:tc>
          <w:tcPr>
            <w:tcW w:w="789" w:type="dxa"/>
            <w:tcBorders>
              <w:tl2br w:val="nil"/>
              <w:tr2bl w:val="nil"/>
            </w:tcBorders>
            <w:shd w:val="clear" w:color="auto" w:fill="auto"/>
            <w:vAlign w:val="center"/>
          </w:tcPr>
          <w:p w14:paraId="06F188AA">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0</w:t>
            </w:r>
          </w:p>
        </w:tc>
      </w:tr>
      <w:tr w14:paraId="0F1EE1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tcBorders>
              <w:tl2br w:val="nil"/>
              <w:tr2bl w:val="nil"/>
            </w:tcBorders>
            <w:vAlign w:val="center"/>
          </w:tcPr>
          <w:p w14:paraId="28157DEB">
            <w:pPr>
              <w:pStyle w:val="30"/>
              <w:widowControl w:val="0"/>
              <w:bidi w:val="0"/>
              <w:spacing w:line="240" w:lineRule="auto"/>
              <w:rPr>
                <w:color w:val="auto"/>
                <w:lang w:val="en-US" w:eastAsia="en-US"/>
              </w:rPr>
            </w:pPr>
            <w:r>
              <w:rPr>
                <w:color w:val="auto"/>
                <w:lang w:val="en-US" w:eastAsia="en-US"/>
              </w:rPr>
              <w:t>石油天然气</w:t>
            </w:r>
          </w:p>
        </w:tc>
        <w:tc>
          <w:tcPr>
            <w:tcW w:w="3582" w:type="dxa"/>
            <w:tcBorders>
              <w:tl2br w:val="nil"/>
              <w:tr2bl w:val="nil"/>
            </w:tcBorders>
            <w:vAlign w:val="center"/>
          </w:tcPr>
          <w:p w14:paraId="64BC00F0">
            <w:pPr>
              <w:pStyle w:val="30"/>
              <w:widowControl w:val="0"/>
              <w:bidi w:val="0"/>
              <w:spacing w:line="240" w:lineRule="auto"/>
              <w:rPr>
                <w:color w:val="auto"/>
                <w:lang w:val="en-US" w:eastAsia="en-US"/>
              </w:rPr>
            </w:pPr>
            <w:r>
              <w:rPr>
                <w:color w:val="auto"/>
                <w:lang w:val="en-US" w:eastAsia="en-US"/>
              </w:rPr>
              <w:t>石油、天然气、页岩气开采（含净化），气库（不含加气站的气</w:t>
            </w:r>
          </w:p>
          <w:p w14:paraId="63DA4269">
            <w:pPr>
              <w:pStyle w:val="30"/>
              <w:widowControl w:val="0"/>
              <w:bidi w:val="0"/>
              <w:spacing w:line="240" w:lineRule="auto"/>
              <w:rPr>
                <w:color w:val="auto"/>
                <w:lang w:val="en-US" w:eastAsia="en-US"/>
              </w:rPr>
            </w:pPr>
            <w:r>
              <w:rPr>
                <w:color w:val="auto"/>
                <w:lang w:val="en-US" w:eastAsia="en-US"/>
              </w:rPr>
              <w:t>库），油库（不含加气站的油库）、油气管线b（不含城镇燃气管线）</w:t>
            </w:r>
          </w:p>
        </w:tc>
        <w:tc>
          <w:tcPr>
            <w:tcW w:w="1231" w:type="dxa"/>
            <w:tcBorders>
              <w:tl2br w:val="nil"/>
              <w:tr2bl w:val="nil"/>
            </w:tcBorders>
            <w:vAlign w:val="center"/>
          </w:tcPr>
          <w:p w14:paraId="19D527D2">
            <w:pPr>
              <w:pStyle w:val="30"/>
              <w:widowControl w:val="0"/>
              <w:bidi w:val="0"/>
              <w:spacing w:line="240" w:lineRule="auto"/>
              <w:rPr>
                <w:color w:val="auto"/>
                <w:lang w:val="en-US" w:eastAsia="en-US"/>
              </w:rPr>
            </w:pPr>
            <w:r>
              <w:rPr>
                <w:color w:val="auto"/>
                <w:lang w:val="en-US" w:eastAsia="en-US"/>
              </w:rPr>
              <w:t>10</w:t>
            </w:r>
          </w:p>
        </w:tc>
        <w:tc>
          <w:tcPr>
            <w:tcW w:w="2688" w:type="dxa"/>
            <w:tcBorders>
              <w:tl2br w:val="nil"/>
              <w:tr2bl w:val="nil"/>
            </w:tcBorders>
            <w:shd w:val="clear" w:color="auto" w:fill="auto"/>
            <w:vAlign w:val="center"/>
          </w:tcPr>
          <w:p w14:paraId="022CDB25">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无</w:t>
            </w:r>
          </w:p>
        </w:tc>
        <w:tc>
          <w:tcPr>
            <w:tcW w:w="789" w:type="dxa"/>
            <w:tcBorders>
              <w:tl2br w:val="nil"/>
              <w:tr2bl w:val="nil"/>
            </w:tcBorders>
            <w:shd w:val="clear" w:color="auto" w:fill="auto"/>
            <w:vAlign w:val="center"/>
          </w:tcPr>
          <w:p w14:paraId="38E55C4A">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0</w:t>
            </w:r>
          </w:p>
        </w:tc>
      </w:tr>
      <w:tr w14:paraId="0420CE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089" w:type="dxa"/>
            <w:tcBorders>
              <w:tl2br w:val="nil"/>
              <w:tr2bl w:val="nil"/>
            </w:tcBorders>
            <w:vAlign w:val="center"/>
          </w:tcPr>
          <w:p w14:paraId="62775AE9">
            <w:pPr>
              <w:pStyle w:val="30"/>
              <w:widowControl w:val="0"/>
              <w:bidi w:val="0"/>
              <w:spacing w:line="240" w:lineRule="auto"/>
              <w:rPr>
                <w:color w:val="auto"/>
                <w:lang w:val="en-US" w:eastAsia="en-US"/>
              </w:rPr>
            </w:pPr>
            <w:r>
              <w:rPr>
                <w:color w:val="auto"/>
                <w:lang w:val="en-US" w:eastAsia="en-US"/>
              </w:rPr>
              <w:t>其他</w:t>
            </w:r>
          </w:p>
        </w:tc>
        <w:tc>
          <w:tcPr>
            <w:tcW w:w="3582" w:type="dxa"/>
            <w:tcBorders>
              <w:tl2br w:val="nil"/>
              <w:tr2bl w:val="nil"/>
            </w:tcBorders>
            <w:vAlign w:val="center"/>
          </w:tcPr>
          <w:p w14:paraId="773571CB">
            <w:pPr>
              <w:pStyle w:val="30"/>
              <w:widowControl w:val="0"/>
              <w:bidi w:val="0"/>
              <w:spacing w:line="240" w:lineRule="auto"/>
              <w:rPr>
                <w:color w:val="auto"/>
                <w:lang w:val="en-US" w:eastAsia="en-US"/>
              </w:rPr>
            </w:pPr>
            <w:r>
              <w:rPr>
                <w:color w:val="auto"/>
                <w:lang w:val="en-US" w:eastAsia="en-US"/>
              </w:rPr>
              <w:t>涉及危险物质使用、贮存的项目</w:t>
            </w:r>
          </w:p>
        </w:tc>
        <w:tc>
          <w:tcPr>
            <w:tcW w:w="1231" w:type="dxa"/>
            <w:tcBorders>
              <w:tl2br w:val="nil"/>
              <w:tr2bl w:val="nil"/>
            </w:tcBorders>
            <w:vAlign w:val="center"/>
          </w:tcPr>
          <w:p w14:paraId="2D78EB2A">
            <w:pPr>
              <w:pStyle w:val="30"/>
              <w:widowControl w:val="0"/>
              <w:bidi w:val="0"/>
              <w:spacing w:line="240" w:lineRule="auto"/>
              <w:rPr>
                <w:color w:val="auto"/>
                <w:lang w:val="en-US" w:eastAsia="en-US"/>
              </w:rPr>
            </w:pPr>
            <w:r>
              <w:rPr>
                <w:color w:val="auto"/>
                <w:lang w:val="en-US" w:eastAsia="en-US"/>
              </w:rPr>
              <w:t>5</w:t>
            </w:r>
          </w:p>
        </w:tc>
        <w:tc>
          <w:tcPr>
            <w:tcW w:w="2688" w:type="dxa"/>
            <w:tcBorders>
              <w:tl2br w:val="nil"/>
              <w:tr2bl w:val="nil"/>
            </w:tcBorders>
            <w:shd w:val="clear" w:color="auto" w:fill="auto"/>
            <w:vAlign w:val="center"/>
          </w:tcPr>
          <w:p w14:paraId="61CE35D7">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无</w:t>
            </w:r>
          </w:p>
        </w:tc>
        <w:tc>
          <w:tcPr>
            <w:tcW w:w="789" w:type="dxa"/>
            <w:tcBorders>
              <w:tl2br w:val="nil"/>
              <w:tr2bl w:val="nil"/>
            </w:tcBorders>
            <w:shd w:val="clear" w:color="auto" w:fill="auto"/>
            <w:vAlign w:val="center"/>
          </w:tcPr>
          <w:p w14:paraId="58B23866">
            <w:pPr>
              <w:widowControl w:val="0"/>
              <w:spacing w:line="240" w:lineRule="auto"/>
              <w:jc w:val="center"/>
              <w:rPr>
                <w:rFonts w:ascii="Times New Roman" w:hAnsi="Times New Roman" w:eastAsia="宋体" w:cs="Times New Roman"/>
                <w:color w:val="auto"/>
                <w:sz w:val="21"/>
                <w:szCs w:val="21"/>
                <w:lang w:val="en-US" w:eastAsia="en-US" w:bidi="ar-SA"/>
              </w:rPr>
            </w:pPr>
            <w:r>
              <w:rPr>
                <w:rFonts w:ascii="Times New Roman" w:hAnsi="Times New Roman" w:cs="Times New Roman"/>
                <w:color w:val="auto"/>
                <w:sz w:val="21"/>
                <w:szCs w:val="21"/>
              </w:rPr>
              <w:t>0</w:t>
            </w:r>
          </w:p>
        </w:tc>
      </w:tr>
      <w:tr w14:paraId="26A60C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9379" w:type="dxa"/>
            <w:gridSpan w:val="5"/>
            <w:tcBorders>
              <w:tl2br w:val="nil"/>
              <w:tr2bl w:val="nil"/>
            </w:tcBorders>
            <w:vAlign w:val="center"/>
          </w:tcPr>
          <w:p w14:paraId="01A2C651">
            <w:pPr>
              <w:pStyle w:val="30"/>
              <w:widowControl w:val="0"/>
              <w:bidi w:val="0"/>
              <w:spacing w:line="240" w:lineRule="auto"/>
              <w:rPr>
                <w:color w:val="auto"/>
                <w:lang w:val="en-US" w:eastAsia="en-US"/>
              </w:rPr>
            </w:pPr>
            <w:r>
              <w:rPr>
                <w:color w:val="auto"/>
                <w:lang w:val="en-US" w:eastAsia="en-US"/>
              </w:rPr>
              <w:t>a高温指工艺温度≥300℃</w:t>
            </w:r>
            <w:r>
              <w:rPr>
                <w:rFonts w:hint="eastAsia"/>
                <w:color w:val="auto"/>
                <w:lang w:val="en-US" w:eastAsia="zh-CN"/>
              </w:rPr>
              <w:t>，</w:t>
            </w:r>
            <w:r>
              <w:rPr>
                <w:color w:val="auto"/>
                <w:lang w:val="en-US" w:eastAsia="en-US"/>
              </w:rPr>
              <w:t>高压指压力容器的设计压力（P）≥10.0MPa；b长输管道运输项目应按站场、管线分段进行评价。</w:t>
            </w:r>
          </w:p>
        </w:tc>
      </w:tr>
    </w:tbl>
    <w:p w14:paraId="6C9177F6">
      <w:pPr>
        <w:bidi w:val="0"/>
        <w:ind w:firstLine="480" w:firstLineChars="200"/>
        <w:rPr>
          <w:color w:val="auto"/>
        </w:rPr>
      </w:pPr>
      <w:r>
        <w:rPr>
          <w:color w:val="auto"/>
        </w:rPr>
        <w:t>根据上表，项目行业及生产工艺（M）分值为</w:t>
      </w:r>
      <w:r>
        <w:rPr>
          <w:rFonts w:hint="eastAsia"/>
          <w:color w:val="auto"/>
          <w:lang w:val="en-US" w:eastAsia="zh-CN"/>
        </w:rPr>
        <w:t>55</w:t>
      </w:r>
      <w:r>
        <w:rPr>
          <w:color w:val="auto"/>
        </w:rPr>
        <w:t>分。根据《建设项目环境风险评价技术导则》（HJ 169-2018）附录C，判定本项目行业及工艺为M1等级。</w:t>
      </w:r>
    </w:p>
    <w:p w14:paraId="21021F11">
      <w:pPr>
        <w:bidi w:val="0"/>
        <w:ind w:firstLine="480" w:firstLineChars="200"/>
        <w:rPr>
          <w:color w:val="auto"/>
        </w:rPr>
      </w:pPr>
      <w:r>
        <w:rPr>
          <w:color w:val="auto"/>
        </w:rPr>
        <w:t>③危险物质及工艺系统危险性（P）分级</w:t>
      </w:r>
    </w:p>
    <w:p w14:paraId="2AF6BFB5">
      <w:pPr>
        <w:bidi w:val="0"/>
        <w:jc w:val="center"/>
        <w:rPr>
          <w:b/>
          <w:bCs/>
        </w:rPr>
      </w:pPr>
      <w:r>
        <w:rPr>
          <w:b/>
          <w:bCs/>
        </w:rPr>
        <w:t>表2.4-1</w:t>
      </w:r>
      <w:r>
        <w:rPr>
          <w:rFonts w:hint="eastAsia"/>
          <w:b/>
          <w:bCs/>
          <w:lang w:val="en-US" w:eastAsia="zh-CN"/>
        </w:rPr>
        <w:t xml:space="preserve">6 </w:t>
      </w:r>
      <w:r>
        <w:rPr>
          <w:b/>
          <w:bCs/>
        </w:rPr>
        <w:t>危险物质及工艺系统危险性等级判断（P）</w:t>
      </w:r>
    </w:p>
    <w:tbl>
      <w:tblPr>
        <w:tblStyle w:val="25"/>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76"/>
        <w:gridCol w:w="1870"/>
        <w:gridCol w:w="1870"/>
        <w:gridCol w:w="1870"/>
        <w:gridCol w:w="1875"/>
      </w:tblGrid>
      <w:tr w14:paraId="27D0A5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828" w:type="dxa"/>
            <w:vMerge w:val="restart"/>
            <w:tcBorders>
              <w:bottom w:val="nil"/>
            </w:tcBorders>
            <w:vAlign w:val="center"/>
          </w:tcPr>
          <w:p w14:paraId="1D9B25AE">
            <w:pPr>
              <w:pStyle w:val="30"/>
              <w:widowControl w:val="0"/>
              <w:bidi w:val="0"/>
              <w:rPr>
                <w:b/>
                <w:bCs/>
                <w:color w:val="auto"/>
                <w:lang w:val="en-US" w:eastAsia="en-US"/>
              </w:rPr>
            </w:pPr>
            <w:r>
              <w:rPr>
                <w:b/>
                <w:bCs/>
                <w:color w:val="auto"/>
                <w:lang w:val="en-US" w:eastAsia="en-US"/>
              </w:rPr>
              <w:t>危险物质数量与临界值比值（Q）</w:t>
            </w:r>
          </w:p>
        </w:tc>
        <w:tc>
          <w:tcPr>
            <w:tcW w:w="7293" w:type="dxa"/>
            <w:gridSpan w:val="4"/>
            <w:vAlign w:val="center"/>
          </w:tcPr>
          <w:p w14:paraId="4BE7D992">
            <w:pPr>
              <w:pStyle w:val="30"/>
              <w:widowControl w:val="0"/>
              <w:bidi w:val="0"/>
              <w:rPr>
                <w:b/>
                <w:bCs/>
                <w:color w:val="auto"/>
                <w:lang w:val="en-US" w:eastAsia="en-US"/>
              </w:rPr>
            </w:pPr>
            <w:r>
              <w:rPr>
                <w:b/>
                <w:bCs/>
                <w:color w:val="auto"/>
                <w:lang w:val="en-US" w:eastAsia="en-US"/>
              </w:rPr>
              <w:t>行业及生产工艺（M）</w:t>
            </w:r>
          </w:p>
        </w:tc>
      </w:tr>
      <w:tr w14:paraId="7D0867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828" w:type="dxa"/>
            <w:vMerge w:val="continue"/>
            <w:tcBorders>
              <w:top w:val="nil"/>
            </w:tcBorders>
            <w:vAlign w:val="center"/>
          </w:tcPr>
          <w:p w14:paraId="7DA42A9B">
            <w:pPr>
              <w:pStyle w:val="30"/>
              <w:widowControl w:val="0"/>
              <w:bidi w:val="0"/>
              <w:rPr>
                <w:b/>
                <w:bCs/>
                <w:color w:val="auto"/>
                <w:lang w:val="en-US" w:eastAsia="en-US"/>
              </w:rPr>
            </w:pPr>
          </w:p>
        </w:tc>
        <w:tc>
          <w:tcPr>
            <w:tcW w:w="1822" w:type="dxa"/>
            <w:vAlign w:val="center"/>
          </w:tcPr>
          <w:p w14:paraId="20398657">
            <w:pPr>
              <w:pStyle w:val="30"/>
              <w:widowControl w:val="0"/>
              <w:bidi w:val="0"/>
              <w:rPr>
                <w:b/>
                <w:bCs/>
                <w:color w:val="auto"/>
                <w:lang w:val="en-US" w:eastAsia="en-US"/>
              </w:rPr>
            </w:pPr>
            <w:r>
              <w:rPr>
                <w:b/>
                <w:bCs/>
                <w:color w:val="auto"/>
                <w:lang w:val="en-US" w:eastAsia="en-US"/>
              </w:rPr>
              <w:t>M1</w:t>
            </w:r>
          </w:p>
        </w:tc>
        <w:tc>
          <w:tcPr>
            <w:tcW w:w="1822" w:type="dxa"/>
            <w:vAlign w:val="center"/>
          </w:tcPr>
          <w:p w14:paraId="684FEC95">
            <w:pPr>
              <w:pStyle w:val="30"/>
              <w:widowControl w:val="0"/>
              <w:bidi w:val="0"/>
              <w:rPr>
                <w:b/>
                <w:bCs/>
                <w:color w:val="auto"/>
                <w:lang w:val="en-US" w:eastAsia="en-US"/>
              </w:rPr>
            </w:pPr>
            <w:r>
              <w:rPr>
                <w:b/>
                <w:bCs/>
                <w:color w:val="auto"/>
                <w:lang w:val="en-US" w:eastAsia="en-US"/>
              </w:rPr>
              <w:t>M2</w:t>
            </w:r>
          </w:p>
        </w:tc>
        <w:tc>
          <w:tcPr>
            <w:tcW w:w="1822" w:type="dxa"/>
            <w:vAlign w:val="center"/>
          </w:tcPr>
          <w:p w14:paraId="3FBC4B01">
            <w:pPr>
              <w:pStyle w:val="30"/>
              <w:widowControl w:val="0"/>
              <w:bidi w:val="0"/>
              <w:rPr>
                <w:b/>
                <w:bCs/>
                <w:color w:val="auto"/>
                <w:lang w:val="en-US" w:eastAsia="en-US"/>
              </w:rPr>
            </w:pPr>
            <w:r>
              <w:rPr>
                <w:b/>
                <w:bCs/>
                <w:color w:val="auto"/>
                <w:lang w:val="en-US" w:eastAsia="en-US"/>
              </w:rPr>
              <w:t>M3</w:t>
            </w:r>
          </w:p>
        </w:tc>
        <w:tc>
          <w:tcPr>
            <w:tcW w:w="1827" w:type="dxa"/>
            <w:vAlign w:val="center"/>
          </w:tcPr>
          <w:p w14:paraId="1F61ED8C">
            <w:pPr>
              <w:pStyle w:val="30"/>
              <w:widowControl w:val="0"/>
              <w:bidi w:val="0"/>
              <w:rPr>
                <w:b/>
                <w:bCs/>
                <w:color w:val="auto"/>
                <w:lang w:val="en-US" w:eastAsia="en-US"/>
              </w:rPr>
            </w:pPr>
            <w:r>
              <w:rPr>
                <w:b/>
                <w:bCs/>
                <w:color w:val="auto"/>
                <w:lang w:val="en-US" w:eastAsia="en-US"/>
              </w:rPr>
              <w:t>M4</w:t>
            </w:r>
          </w:p>
        </w:tc>
      </w:tr>
      <w:tr w14:paraId="7D0198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828" w:type="dxa"/>
            <w:vAlign w:val="center"/>
          </w:tcPr>
          <w:p w14:paraId="47B15817">
            <w:pPr>
              <w:pStyle w:val="30"/>
              <w:widowControl w:val="0"/>
              <w:bidi w:val="0"/>
              <w:rPr>
                <w:color w:val="auto"/>
                <w:lang w:val="en-US" w:eastAsia="en-US"/>
              </w:rPr>
            </w:pPr>
            <w:r>
              <w:rPr>
                <w:color w:val="auto"/>
                <w:lang w:val="en-US" w:eastAsia="en-US"/>
              </w:rPr>
              <w:t>Q≥100</w:t>
            </w:r>
          </w:p>
        </w:tc>
        <w:tc>
          <w:tcPr>
            <w:tcW w:w="1822" w:type="dxa"/>
            <w:shd w:val="clear" w:color="auto" w:fill="D7D7D7" w:themeFill="background1" w:themeFillShade="D8"/>
            <w:vAlign w:val="center"/>
          </w:tcPr>
          <w:p w14:paraId="2B021068">
            <w:pPr>
              <w:pStyle w:val="30"/>
              <w:widowControl w:val="0"/>
              <w:bidi w:val="0"/>
              <w:rPr>
                <w:color w:val="auto"/>
                <w:lang w:val="en-US" w:eastAsia="en-US"/>
              </w:rPr>
            </w:pPr>
            <w:r>
              <w:rPr>
                <w:color w:val="auto"/>
                <w:lang w:val="en-US" w:eastAsia="en-US"/>
              </w:rPr>
              <w:t>P1</w:t>
            </w:r>
          </w:p>
        </w:tc>
        <w:tc>
          <w:tcPr>
            <w:tcW w:w="1822" w:type="dxa"/>
            <w:vAlign w:val="center"/>
          </w:tcPr>
          <w:p w14:paraId="58C8AB9D">
            <w:pPr>
              <w:pStyle w:val="30"/>
              <w:widowControl w:val="0"/>
              <w:bidi w:val="0"/>
              <w:rPr>
                <w:color w:val="auto"/>
                <w:lang w:val="en-US" w:eastAsia="en-US"/>
              </w:rPr>
            </w:pPr>
            <w:r>
              <w:rPr>
                <w:color w:val="auto"/>
                <w:lang w:val="en-US" w:eastAsia="en-US"/>
              </w:rPr>
              <w:t>P1</w:t>
            </w:r>
          </w:p>
        </w:tc>
        <w:tc>
          <w:tcPr>
            <w:tcW w:w="1822" w:type="dxa"/>
            <w:vAlign w:val="center"/>
          </w:tcPr>
          <w:p w14:paraId="0C017374">
            <w:pPr>
              <w:pStyle w:val="30"/>
              <w:widowControl w:val="0"/>
              <w:bidi w:val="0"/>
              <w:rPr>
                <w:color w:val="auto"/>
                <w:lang w:val="en-US" w:eastAsia="en-US"/>
              </w:rPr>
            </w:pPr>
            <w:r>
              <w:rPr>
                <w:color w:val="auto"/>
                <w:lang w:val="en-US" w:eastAsia="en-US"/>
              </w:rPr>
              <w:t>P2</w:t>
            </w:r>
          </w:p>
        </w:tc>
        <w:tc>
          <w:tcPr>
            <w:tcW w:w="1827" w:type="dxa"/>
            <w:vAlign w:val="center"/>
          </w:tcPr>
          <w:p w14:paraId="5AA3D624">
            <w:pPr>
              <w:pStyle w:val="30"/>
              <w:widowControl w:val="0"/>
              <w:bidi w:val="0"/>
              <w:rPr>
                <w:color w:val="auto"/>
                <w:lang w:val="en-US" w:eastAsia="en-US"/>
              </w:rPr>
            </w:pPr>
            <w:r>
              <w:rPr>
                <w:color w:val="auto"/>
                <w:lang w:val="en-US" w:eastAsia="en-US"/>
              </w:rPr>
              <w:t>P3</w:t>
            </w:r>
          </w:p>
        </w:tc>
      </w:tr>
      <w:tr w14:paraId="314F85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828" w:type="dxa"/>
            <w:vAlign w:val="center"/>
          </w:tcPr>
          <w:p w14:paraId="546A298D">
            <w:pPr>
              <w:pStyle w:val="30"/>
              <w:widowControl w:val="0"/>
              <w:bidi w:val="0"/>
              <w:rPr>
                <w:color w:val="auto"/>
                <w:lang w:val="en-US" w:eastAsia="en-US"/>
              </w:rPr>
            </w:pPr>
            <w:r>
              <w:rPr>
                <w:color w:val="auto"/>
                <w:lang w:val="en-US" w:eastAsia="en-US"/>
              </w:rPr>
              <w:t>10≤Q＜100</w:t>
            </w:r>
          </w:p>
        </w:tc>
        <w:tc>
          <w:tcPr>
            <w:tcW w:w="1822" w:type="dxa"/>
            <w:shd w:val="clear" w:color="auto" w:fill="auto"/>
            <w:vAlign w:val="center"/>
          </w:tcPr>
          <w:p w14:paraId="42765373">
            <w:pPr>
              <w:pStyle w:val="30"/>
              <w:widowControl w:val="0"/>
              <w:bidi w:val="0"/>
              <w:rPr>
                <w:color w:val="auto"/>
                <w:lang w:val="en-US" w:eastAsia="en-US"/>
              </w:rPr>
            </w:pPr>
            <w:r>
              <w:rPr>
                <w:color w:val="auto"/>
                <w:lang w:val="en-US" w:eastAsia="en-US"/>
              </w:rPr>
              <w:t>P1</w:t>
            </w:r>
          </w:p>
        </w:tc>
        <w:tc>
          <w:tcPr>
            <w:tcW w:w="1822" w:type="dxa"/>
            <w:shd w:val="clear" w:color="auto" w:fill="auto"/>
            <w:vAlign w:val="center"/>
          </w:tcPr>
          <w:p w14:paraId="3C643C69">
            <w:pPr>
              <w:pStyle w:val="30"/>
              <w:widowControl w:val="0"/>
              <w:bidi w:val="0"/>
              <w:rPr>
                <w:color w:val="auto"/>
                <w:lang w:val="en-US" w:eastAsia="en-US"/>
              </w:rPr>
            </w:pPr>
            <w:r>
              <w:rPr>
                <w:color w:val="auto"/>
                <w:lang w:val="en-US" w:eastAsia="en-US"/>
              </w:rPr>
              <w:t>P2</w:t>
            </w:r>
          </w:p>
        </w:tc>
        <w:tc>
          <w:tcPr>
            <w:tcW w:w="1822" w:type="dxa"/>
            <w:vAlign w:val="center"/>
          </w:tcPr>
          <w:p w14:paraId="7D37F836">
            <w:pPr>
              <w:pStyle w:val="30"/>
              <w:widowControl w:val="0"/>
              <w:bidi w:val="0"/>
              <w:rPr>
                <w:color w:val="auto"/>
                <w:lang w:val="en-US" w:eastAsia="en-US"/>
              </w:rPr>
            </w:pPr>
            <w:r>
              <w:rPr>
                <w:color w:val="auto"/>
                <w:lang w:val="en-US" w:eastAsia="en-US"/>
              </w:rPr>
              <w:t>P3</w:t>
            </w:r>
          </w:p>
        </w:tc>
        <w:tc>
          <w:tcPr>
            <w:tcW w:w="1827" w:type="dxa"/>
            <w:vAlign w:val="center"/>
          </w:tcPr>
          <w:p w14:paraId="186A5FF1">
            <w:pPr>
              <w:pStyle w:val="30"/>
              <w:widowControl w:val="0"/>
              <w:bidi w:val="0"/>
              <w:rPr>
                <w:color w:val="auto"/>
                <w:lang w:val="en-US" w:eastAsia="en-US"/>
              </w:rPr>
            </w:pPr>
            <w:r>
              <w:rPr>
                <w:color w:val="auto"/>
                <w:lang w:val="en-US" w:eastAsia="en-US"/>
              </w:rPr>
              <w:t>P4</w:t>
            </w:r>
          </w:p>
        </w:tc>
      </w:tr>
      <w:tr w14:paraId="2B3DAD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828" w:type="dxa"/>
            <w:vAlign w:val="center"/>
          </w:tcPr>
          <w:p w14:paraId="5BAD2C49">
            <w:pPr>
              <w:pStyle w:val="30"/>
              <w:widowControl w:val="0"/>
              <w:bidi w:val="0"/>
              <w:rPr>
                <w:color w:val="auto"/>
                <w:lang w:val="en-US" w:eastAsia="en-US"/>
              </w:rPr>
            </w:pPr>
            <w:r>
              <w:rPr>
                <w:color w:val="auto"/>
                <w:lang w:val="en-US" w:eastAsia="en-US"/>
              </w:rPr>
              <w:t>1≤Q＜10</w:t>
            </w:r>
          </w:p>
        </w:tc>
        <w:tc>
          <w:tcPr>
            <w:tcW w:w="1822" w:type="dxa"/>
            <w:vAlign w:val="center"/>
          </w:tcPr>
          <w:p w14:paraId="403E9F82">
            <w:pPr>
              <w:pStyle w:val="30"/>
              <w:widowControl w:val="0"/>
              <w:bidi w:val="0"/>
              <w:rPr>
                <w:color w:val="auto"/>
                <w:lang w:val="en-US" w:eastAsia="en-US"/>
              </w:rPr>
            </w:pPr>
            <w:r>
              <w:rPr>
                <w:color w:val="auto"/>
                <w:lang w:val="en-US" w:eastAsia="en-US"/>
              </w:rPr>
              <w:t>P2</w:t>
            </w:r>
          </w:p>
        </w:tc>
        <w:tc>
          <w:tcPr>
            <w:tcW w:w="1822" w:type="dxa"/>
            <w:vAlign w:val="center"/>
          </w:tcPr>
          <w:p w14:paraId="209DC6CE">
            <w:pPr>
              <w:pStyle w:val="30"/>
              <w:widowControl w:val="0"/>
              <w:bidi w:val="0"/>
              <w:rPr>
                <w:color w:val="auto"/>
                <w:lang w:val="en-US" w:eastAsia="en-US"/>
              </w:rPr>
            </w:pPr>
            <w:r>
              <w:rPr>
                <w:color w:val="auto"/>
                <w:lang w:val="en-US" w:eastAsia="en-US"/>
              </w:rPr>
              <w:t>P3</w:t>
            </w:r>
          </w:p>
        </w:tc>
        <w:tc>
          <w:tcPr>
            <w:tcW w:w="1822" w:type="dxa"/>
            <w:vAlign w:val="center"/>
          </w:tcPr>
          <w:p w14:paraId="0B75820D">
            <w:pPr>
              <w:pStyle w:val="30"/>
              <w:widowControl w:val="0"/>
              <w:bidi w:val="0"/>
              <w:rPr>
                <w:color w:val="auto"/>
                <w:lang w:val="en-US" w:eastAsia="en-US"/>
              </w:rPr>
            </w:pPr>
            <w:r>
              <w:rPr>
                <w:color w:val="auto"/>
                <w:lang w:val="en-US" w:eastAsia="en-US"/>
              </w:rPr>
              <w:t>P4</w:t>
            </w:r>
          </w:p>
        </w:tc>
        <w:tc>
          <w:tcPr>
            <w:tcW w:w="1827" w:type="dxa"/>
            <w:vAlign w:val="center"/>
          </w:tcPr>
          <w:p w14:paraId="3BA9A4FF">
            <w:pPr>
              <w:pStyle w:val="30"/>
              <w:widowControl w:val="0"/>
              <w:bidi w:val="0"/>
              <w:rPr>
                <w:color w:val="auto"/>
                <w:lang w:val="en-US" w:eastAsia="en-US"/>
              </w:rPr>
            </w:pPr>
            <w:r>
              <w:rPr>
                <w:color w:val="auto"/>
                <w:lang w:val="en-US" w:eastAsia="en-US"/>
              </w:rPr>
              <w:t>P4</w:t>
            </w:r>
          </w:p>
        </w:tc>
      </w:tr>
    </w:tbl>
    <w:p w14:paraId="15EA338F">
      <w:pPr>
        <w:bidi w:val="0"/>
        <w:ind w:firstLine="480" w:firstLineChars="200"/>
        <w:rPr>
          <w:color w:val="auto"/>
        </w:rPr>
      </w:pPr>
      <w:r>
        <w:rPr>
          <w:color w:val="auto"/>
        </w:rPr>
        <w:t>由上表可知，本项目危险物质及工艺系统危险性等级为P1。</w:t>
      </w:r>
    </w:p>
    <w:p w14:paraId="0EF538C2">
      <w:pPr>
        <w:bidi w:val="0"/>
        <w:ind w:firstLine="480" w:firstLineChars="200"/>
        <w:rPr>
          <w:color w:val="auto"/>
        </w:rPr>
      </w:pPr>
      <w:r>
        <w:rPr>
          <w:color w:val="auto"/>
        </w:rPr>
        <w:t>（2）环境敏感程度分析</w:t>
      </w:r>
    </w:p>
    <w:p w14:paraId="27B124B2">
      <w:pPr>
        <w:bidi w:val="0"/>
        <w:ind w:firstLine="480" w:firstLineChars="200"/>
        <w:rPr>
          <w:color w:val="auto"/>
        </w:rPr>
      </w:pPr>
      <w:r>
        <w:rPr>
          <w:color w:val="auto"/>
        </w:rPr>
        <w:t>①大气环境</w:t>
      </w:r>
    </w:p>
    <w:p w14:paraId="00506D93">
      <w:pPr>
        <w:bidi w:val="0"/>
        <w:ind w:firstLine="480" w:firstLineChars="200"/>
        <w:rPr>
          <w:color w:val="auto"/>
        </w:rPr>
      </w:pPr>
      <w:r>
        <w:rPr>
          <w:color w:val="auto"/>
        </w:rPr>
        <w:t>依据环境敏感目标敏感性及人口密度划分环境风险受体的敏感性，共分为三种类型</w:t>
      </w:r>
      <w:r>
        <w:rPr>
          <w:rFonts w:hint="eastAsia"/>
          <w:color w:val="auto"/>
          <w:lang w:eastAsia="zh-CN"/>
        </w:rPr>
        <w:t>，</w:t>
      </w:r>
      <w:r>
        <w:rPr>
          <w:color w:val="auto"/>
        </w:rPr>
        <w:t>E1为环境高度敏感区，E2为环境中度敏感区，E3为环境低度敏感区，分级原则见下表所示。</w:t>
      </w:r>
    </w:p>
    <w:p w14:paraId="4496E4A5">
      <w:pPr>
        <w:bidi w:val="0"/>
        <w:jc w:val="center"/>
        <w:rPr>
          <w:b/>
          <w:bCs/>
        </w:rPr>
      </w:pPr>
      <w:r>
        <w:rPr>
          <w:b/>
          <w:bCs/>
        </w:rPr>
        <w:t>表2.4-1</w:t>
      </w:r>
      <w:r>
        <w:rPr>
          <w:rFonts w:hint="eastAsia"/>
          <w:b/>
          <w:bCs/>
          <w:lang w:val="en-US" w:eastAsia="zh-CN"/>
        </w:rPr>
        <w:t xml:space="preserve">6 </w:t>
      </w:r>
      <w:r>
        <w:rPr>
          <w:b/>
          <w:bCs/>
        </w:rPr>
        <w:t>大气环境敏感程度分级</w:t>
      </w:r>
    </w:p>
    <w:tbl>
      <w:tblPr>
        <w:tblStyle w:val="25"/>
        <w:tblW w:w="9123"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
        <w:gridCol w:w="890"/>
        <w:gridCol w:w="1"/>
        <w:gridCol w:w="8230"/>
        <w:gridCol w:w="1"/>
      </w:tblGrid>
      <w:tr w14:paraId="0C2F1C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 w:type="dxa"/>
          <w:trHeight w:val="340" w:hRule="atLeast"/>
        </w:trPr>
        <w:tc>
          <w:tcPr>
            <w:tcW w:w="891" w:type="dxa"/>
            <w:gridSpan w:val="2"/>
            <w:vAlign w:val="center"/>
          </w:tcPr>
          <w:p w14:paraId="612C5F12">
            <w:pPr>
              <w:pStyle w:val="30"/>
              <w:widowControl w:val="0"/>
              <w:bidi w:val="0"/>
              <w:rPr>
                <w:b/>
                <w:bCs/>
                <w:color w:val="auto"/>
                <w:lang w:val="en-US" w:eastAsia="en-US"/>
              </w:rPr>
            </w:pPr>
            <w:r>
              <w:rPr>
                <w:b/>
                <w:bCs/>
                <w:color w:val="auto"/>
                <w:lang w:val="en-US" w:eastAsia="en-US"/>
              </w:rPr>
              <w:t>分级</w:t>
            </w:r>
          </w:p>
        </w:tc>
        <w:tc>
          <w:tcPr>
            <w:tcW w:w="8231" w:type="dxa"/>
            <w:gridSpan w:val="2"/>
            <w:vAlign w:val="center"/>
          </w:tcPr>
          <w:p w14:paraId="51067BF5">
            <w:pPr>
              <w:pStyle w:val="30"/>
              <w:widowControl w:val="0"/>
              <w:bidi w:val="0"/>
              <w:rPr>
                <w:b/>
                <w:bCs/>
                <w:color w:val="auto"/>
                <w:lang w:val="en-US" w:eastAsia="en-US"/>
              </w:rPr>
            </w:pPr>
            <w:r>
              <w:rPr>
                <w:b/>
                <w:bCs/>
                <w:color w:val="auto"/>
                <w:lang w:val="en-US" w:eastAsia="en-US"/>
              </w:rPr>
              <w:t>大气环境敏感性</w:t>
            </w:r>
          </w:p>
        </w:tc>
      </w:tr>
      <w:tr w14:paraId="54063B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1" w:type="dxa"/>
          <w:trHeight w:val="340" w:hRule="atLeast"/>
        </w:trPr>
        <w:tc>
          <w:tcPr>
            <w:tcW w:w="891" w:type="dxa"/>
            <w:gridSpan w:val="2"/>
            <w:vAlign w:val="center"/>
          </w:tcPr>
          <w:p w14:paraId="5D33CA76">
            <w:pPr>
              <w:pStyle w:val="30"/>
              <w:widowControl w:val="0"/>
              <w:bidi w:val="0"/>
              <w:rPr>
                <w:color w:val="auto"/>
                <w:lang w:val="en-US" w:eastAsia="en-US"/>
              </w:rPr>
            </w:pPr>
            <w:r>
              <w:rPr>
                <w:color w:val="auto"/>
                <w:lang w:val="en-US" w:eastAsia="en-US"/>
              </w:rPr>
              <w:t>E1</w:t>
            </w:r>
          </w:p>
        </w:tc>
        <w:tc>
          <w:tcPr>
            <w:tcW w:w="8231" w:type="dxa"/>
            <w:gridSpan w:val="2"/>
            <w:vAlign w:val="center"/>
          </w:tcPr>
          <w:p w14:paraId="2DB3F7BF">
            <w:pPr>
              <w:pStyle w:val="30"/>
              <w:widowControl w:val="0"/>
              <w:bidi w:val="0"/>
              <w:rPr>
                <w:color w:val="auto"/>
                <w:lang w:val="en-US" w:eastAsia="en-US"/>
              </w:rPr>
            </w:pPr>
            <w:r>
              <w:rPr>
                <w:color w:val="auto"/>
                <w:lang w:val="en-US" w:eastAsia="en-US"/>
              </w:rPr>
              <w:t>周边5km范围内居住区、医疗卫生、文化教育、科研、行政办公等机构人口总数大于5万人；或其他需要特殊保护区域；或周边500m范围内人口总数大于1000人；油气、化学品输送管线管段周边200m范围内，每千米管段人口数大于200人</w:t>
            </w:r>
          </w:p>
        </w:tc>
      </w:tr>
      <w:tr w14:paraId="5D63F4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dxa"/>
          <w:trHeight w:val="340" w:hRule="atLeast"/>
        </w:trPr>
        <w:tc>
          <w:tcPr>
            <w:tcW w:w="891" w:type="dxa"/>
            <w:gridSpan w:val="2"/>
            <w:shd w:val="clear" w:color="auto" w:fill="D7D7D7" w:themeFill="background1" w:themeFillShade="D8"/>
            <w:vAlign w:val="center"/>
          </w:tcPr>
          <w:p w14:paraId="42287D5B">
            <w:pPr>
              <w:pStyle w:val="30"/>
              <w:widowControl w:val="0"/>
              <w:bidi w:val="0"/>
              <w:rPr>
                <w:color w:val="auto"/>
                <w:lang w:val="en-US" w:eastAsia="en-US"/>
              </w:rPr>
            </w:pPr>
            <w:r>
              <w:rPr>
                <w:color w:val="auto"/>
                <w:lang w:val="en-US" w:eastAsia="en-US"/>
              </w:rPr>
              <w:t>E2</w:t>
            </w:r>
          </w:p>
        </w:tc>
        <w:tc>
          <w:tcPr>
            <w:tcW w:w="8231" w:type="dxa"/>
            <w:gridSpan w:val="2"/>
            <w:shd w:val="clear" w:color="auto" w:fill="D7D7D7" w:themeFill="background1" w:themeFillShade="D8"/>
            <w:vAlign w:val="center"/>
          </w:tcPr>
          <w:p w14:paraId="0668CA86">
            <w:pPr>
              <w:pStyle w:val="30"/>
              <w:widowControl w:val="0"/>
              <w:bidi w:val="0"/>
              <w:rPr>
                <w:color w:val="auto"/>
                <w:lang w:val="en-US" w:eastAsia="en-US"/>
              </w:rPr>
            </w:pPr>
            <w:r>
              <w:rPr>
                <w:color w:val="auto"/>
                <w:lang w:val="en-US" w:eastAsia="en-US"/>
              </w:rPr>
              <w:t>周边5km范围内居住区、医疗卫生、文化教育、科研、行政办公等机构人口总数大于1万人，小于5万人；或周边500m范围内人口总数大于500人，小于1000人；油气、化学品输送管线管段周边200m范围内，每千米管段人口数大于100人，小于200人</w:t>
            </w:r>
          </w:p>
        </w:tc>
      </w:tr>
      <w:tr w14:paraId="782C5D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1" w:type="dxa"/>
          <w:trHeight w:val="340" w:hRule="atLeast"/>
        </w:trPr>
        <w:tc>
          <w:tcPr>
            <w:tcW w:w="891" w:type="dxa"/>
            <w:gridSpan w:val="2"/>
            <w:vAlign w:val="center"/>
          </w:tcPr>
          <w:p w14:paraId="3DFBDD85">
            <w:pPr>
              <w:pStyle w:val="30"/>
              <w:widowControl w:val="0"/>
              <w:bidi w:val="0"/>
              <w:rPr>
                <w:color w:val="auto"/>
                <w:lang w:val="en-US" w:eastAsia="en-US"/>
              </w:rPr>
            </w:pPr>
            <w:r>
              <w:rPr>
                <w:color w:val="auto"/>
                <w:lang w:val="en-US" w:eastAsia="en-US"/>
              </w:rPr>
              <w:t>E3</w:t>
            </w:r>
          </w:p>
        </w:tc>
        <w:tc>
          <w:tcPr>
            <w:tcW w:w="8231" w:type="dxa"/>
            <w:gridSpan w:val="2"/>
            <w:vAlign w:val="center"/>
          </w:tcPr>
          <w:p w14:paraId="16F636AA">
            <w:pPr>
              <w:pStyle w:val="30"/>
              <w:widowControl w:val="0"/>
              <w:bidi w:val="0"/>
              <w:rPr>
                <w:color w:val="auto"/>
                <w:lang w:val="en-US" w:eastAsia="en-US"/>
              </w:rPr>
            </w:pPr>
            <w:r>
              <w:rPr>
                <w:color w:val="auto"/>
                <w:lang w:val="en-US" w:eastAsia="en-US"/>
              </w:rPr>
              <w:t>边5km范围内居住区、医疗卫生、文化教育、科研、行政办公等机构人口总数小于1万人；或周边500m范围内人口总数小于500人</w:t>
            </w:r>
            <w:r>
              <w:rPr>
                <w:rFonts w:hint="eastAsia"/>
                <w:color w:val="auto"/>
                <w:lang w:val="en-US" w:eastAsia="zh-CN"/>
              </w:rPr>
              <w:t>，</w:t>
            </w:r>
            <w:r>
              <w:rPr>
                <w:color w:val="auto"/>
                <w:lang w:val="en-US" w:eastAsia="en-US"/>
              </w:rPr>
              <w:t>油气、化学品输送管线管段周边200m范围内，每千米管段人口数小于100人</w:t>
            </w:r>
          </w:p>
        </w:tc>
      </w:tr>
    </w:tbl>
    <w:p w14:paraId="73115ED2">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本项目选址位于合肥循环经济示范园。根据环境保护目标统计结果，本项目</w:t>
      </w:r>
      <w:r>
        <w:rPr>
          <w:rFonts w:hint="default" w:ascii="Times New Roman" w:hAnsi="Times New Roman" w:eastAsia="宋体" w:cs="Times New Roman"/>
          <w:color w:val="000000"/>
          <w:sz w:val="24"/>
          <w:szCs w:val="20"/>
        </w:rPr>
        <w:t>周边500米范围内无环境敏感受体</w:t>
      </w:r>
      <w:r>
        <w:rPr>
          <w:rFonts w:hint="eastAsia" w:ascii="Times New Roman" w:hAnsi="Times New Roman" w:eastAsia="宋体" w:cs="Times New Roman"/>
          <w:color w:val="000000"/>
          <w:sz w:val="24"/>
          <w:szCs w:val="20"/>
          <w:lang w:eastAsia="zh-CN"/>
        </w:rPr>
        <w:t>，</w:t>
      </w:r>
      <w:r>
        <w:rPr>
          <w:color w:val="auto"/>
        </w:rPr>
        <w:t>5km范围内居民约26185人左右，大于1万人小于5万人。因此，判断本项目大气环境敏感程度为以E2表示。</w:t>
      </w:r>
    </w:p>
    <w:p w14:paraId="7302364B">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②地下水</w:t>
      </w:r>
    </w:p>
    <w:p w14:paraId="6593773B">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依据地下水功能敏感性与包气带防污性能，共分为三种类型，E1为环境高度敏感区</w:t>
      </w:r>
      <w:r>
        <w:rPr>
          <w:rFonts w:hint="eastAsia"/>
          <w:color w:val="auto"/>
          <w:lang w:eastAsia="zh-CN"/>
        </w:rPr>
        <w:t>，</w:t>
      </w:r>
      <w:r>
        <w:rPr>
          <w:color w:val="auto"/>
        </w:rPr>
        <w:t>E2为环境中度敏感区，E3为环境低度敏感区，分级原则见下表。</w:t>
      </w:r>
    </w:p>
    <w:p w14:paraId="44113290">
      <w:pPr>
        <w:bidi w:val="0"/>
        <w:jc w:val="center"/>
        <w:rPr>
          <w:b/>
          <w:bCs/>
        </w:rPr>
      </w:pPr>
      <w:r>
        <w:rPr>
          <w:b/>
          <w:bCs/>
        </w:rPr>
        <w:t>表2.4-1</w:t>
      </w:r>
      <w:r>
        <w:rPr>
          <w:rFonts w:hint="eastAsia"/>
          <w:b/>
          <w:bCs/>
          <w:lang w:val="en-US" w:eastAsia="zh-CN"/>
        </w:rPr>
        <w:t xml:space="preserve">7 </w:t>
      </w:r>
      <w:r>
        <w:rPr>
          <w:b/>
          <w:bCs/>
        </w:rPr>
        <w:t>地下水功能敏感性分区</w:t>
      </w:r>
    </w:p>
    <w:tbl>
      <w:tblPr>
        <w:tblStyle w:val="25"/>
        <w:tblW w:w="9122" w:type="dxa"/>
        <w:tblInd w:w="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09"/>
        <w:gridCol w:w="8213"/>
      </w:tblGrid>
      <w:tr w14:paraId="75FAF0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09" w:type="dxa"/>
            <w:vAlign w:val="center"/>
          </w:tcPr>
          <w:p w14:paraId="51E5D09A">
            <w:pPr>
              <w:pStyle w:val="30"/>
              <w:widowControl w:val="0"/>
              <w:bidi w:val="0"/>
              <w:rPr>
                <w:b/>
                <w:bCs/>
                <w:color w:val="auto"/>
                <w:lang w:val="en-US" w:eastAsia="en-US"/>
              </w:rPr>
            </w:pPr>
            <w:r>
              <w:rPr>
                <w:b/>
                <w:bCs/>
                <w:color w:val="auto"/>
                <w:lang w:val="en-US" w:eastAsia="en-US"/>
              </w:rPr>
              <w:t>敏感性</w:t>
            </w:r>
          </w:p>
        </w:tc>
        <w:tc>
          <w:tcPr>
            <w:tcW w:w="8213" w:type="dxa"/>
            <w:vAlign w:val="center"/>
          </w:tcPr>
          <w:p w14:paraId="689D9672">
            <w:pPr>
              <w:pStyle w:val="30"/>
              <w:widowControl w:val="0"/>
              <w:bidi w:val="0"/>
              <w:rPr>
                <w:b/>
                <w:bCs/>
                <w:color w:val="auto"/>
                <w:lang w:val="en-US" w:eastAsia="en-US"/>
              </w:rPr>
            </w:pPr>
            <w:r>
              <w:rPr>
                <w:b/>
                <w:bCs/>
                <w:color w:val="auto"/>
                <w:lang w:val="en-US" w:eastAsia="en-US"/>
              </w:rPr>
              <w:t>地下水环境敏感性</w:t>
            </w:r>
          </w:p>
        </w:tc>
      </w:tr>
      <w:tr w14:paraId="656604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09" w:type="dxa"/>
            <w:vAlign w:val="center"/>
          </w:tcPr>
          <w:p w14:paraId="1D8B6CFE">
            <w:pPr>
              <w:pStyle w:val="30"/>
              <w:widowControl w:val="0"/>
              <w:bidi w:val="0"/>
              <w:rPr>
                <w:color w:val="auto"/>
                <w:lang w:val="en-US" w:eastAsia="en-US"/>
              </w:rPr>
            </w:pPr>
            <w:r>
              <w:rPr>
                <w:color w:val="auto"/>
                <w:lang w:val="en-US" w:eastAsia="en-US"/>
              </w:rPr>
              <w:t>敏感G1</w:t>
            </w:r>
          </w:p>
        </w:tc>
        <w:tc>
          <w:tcPr>
            <w:tcW w:w="8213" w:type="dxa"/>
            <w:vAlign w:val="center"/>
          </w:tcPr>
          <w:p w14:paraId="1F0057F2">
            <w:pPr>
              <w:pStyle w:val="30"/>
              <w:widowControl w:val="0"/>
              <w:bidi w:val="0"/>
              <w:rPr>
                <w:color w:val="auto"/>
                <w:lang w:val="en-US" w:eastAsia="en-US"/>
              </w:rPr>
            </w:pPr>
            <w:r>
              <w:rPr>
                <w:color w:val="auto"/>
                <w:lang w:val="en-US" w:eastAsia="en-US"/>
              </w:rPr>
              <w:t>集中式饮用水水源（包括已建成的在用、备用、应急水源，在建和规划的饮用水水源）</w:t>
            </w:r>
          </w:p>
          <w:p w14:paraId="2AC253D3">
            <w:pPr>
              <w:pStyle w:val="30"/>
              <w:widowControl w:val="0"/>
              <w:bidi w:val="0"/>
              <w:rPr>
                <w:color w:val="auto"/>
                <w:lang w:val="en-US" w:eastAsia="en-US"/>
              </w:rPr>
            </w:pPr>
            <w:r>
              <w:rPr>
                <w:color w:val="auto"/>
                <w:lang w:val="en-US" w:eastAsia="en-US"/>
              </w:rPr>
              <w:t>准保护区；除集中式饮用水水源以外的国家或地方政府设定的与地下水环境相关的其他</w:t>
            </w:r>
          </w:p>
          <w:p w14:paraId="41C83DFF">
            <w:pPr>
              <w:pStyle w:val="30"/>
              <w:widowControl w:val="0"/>
              <w:bidi w:val="0"/>
              <w:rPr>
                <w:color w:val="auto"/>
                <w:lang w:val="en-US" w:eastAsia="en-US"/>
              </w:rPr>
            </w:pPr>
            <w:r>
              <w:rPr>
                <w:color w:val="auto"/>
                <w:lang w:val="en-US" w:eastAsia="en-US"/>
              </w:rPr>
              <w:t>保护区，如热水、矿泉水、温泉等特殊地下水资源保护区</w:t>
            </w:r>
          </w:p>
        </w:tc>
      </w:tr>
      <w:tr w14:paraId="42F9FE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09" w:type="dxa"/>
            <w:vAlign w:val="center"/>
          </w:tcPr>
          <w:p w14:paraId="582A64FD">
            <w:pPr>
              <w:pStyle w:val="30"/>
              <w:widowControl w:val="0"/>
              <w:bidi w:val="0"/>
              <w:rPr>
                <w:color w:val="auto"/>
                <w:lang w:val="en-US" w:eastAsia="en-US"/>
              </w:rPr>
            </w:pPr>
            <w:r>
              <w:rPr>
                <w:color w:val="auto"/>
                <w:lang w:val="en-US" w:eastAsia="en-US"/>
              </w:rPr>
              <w:t>较敏感</w:t>
            </w:r>
          </w:p>
          <w:p w14:paraId="42AF0A81">
            <w:pPr>
              <w:pStyle w:val="30"/>
              <w:widowControl w:val="0"/>
              <w:bidi w:val="0"/>
              <w:rPr>
                <w:color w:val="auto"/>
                <w:lang w:val="en-US" w:eastAsia="en-US"/>
              </w:rPr>
            </w:pPr>
            <w:r>
              <w:rPr>
                <w:color w:val="auto"/>
                <w:lang w:val="en-US" w:eastAsia="en-US"/>
              </w:rPr>
              <w:t>G2</w:t>
            </w:r>
          </w:p>
        </w:tc>
        <w:tc>
          <w:tcPr>
            <w:tcW w:w="8213" w:type="dxa"/>
            <w:vAlign w:val="center"/>
          </w:tcPr>
          <w:p w14:paraId="1E3488DC">
            <w:pPr>
              <w:pStyle w:val="30"/>
              <w:widowControl w:val="0"/>
              <w:bidi w:val="0"/>
              <w:rPr>
                <w:color w:val="auto"/>
                <w:lang w:val="en-US" w:eastAsia="en-US"/>
              </w:rPr>
            </w:pPr>
            <w:r>
              <w:rPr>
                <w:color w:val="auto"/>
                <w:lang w:val="en-US" w:eastAsia="en-US"/>
              </w:rPr>
              <w:t>集中式饮用水水源（包括已建成的在用、备用、应急水源，在建和规划的饮用水水源）</w:t>
            </w:r>
          </w:p>
          <w:p w14:paraId="1EFDA528">
            <w:pPr>
              <w:pStyle w:val="30"/>
              <w:widowControl w:val="0"/>
              <w:bidi w:val="0"/>
              <w:rPr>
                <w:color w:val="auto"/>
                <w:lang w:val="en-US" w:eastAsia="en-US"/>
              </w:rPr>
            </w:pPr>
            <w:r>
              <w:rPr>
                <w:color w:val="auto"/>
                <w:lang w:val="en-US" w:eastAsia="en-US"/>
              </w:rPr>
              <w:t>准保护区以外的补给径流区；未划定准保护区的集中式饮用水水源，其保护区以外的补</w:t>
            </w:r>
          </w:p>
          <w:p w14:paraId="54B1C3A9">
            <w:pPr>
              <w:pStyle w:val="30"/>
              <w:widowControl w:val="0"/>
              <w:bidi w:val="0"/>
              <w:rPr>
                <w:color w:val="auto"/>
                <w:lang w:val="en-US" w:eastAsia="en-US"/>
              </w:rPr>
            </w:pPr>
            <w:r>
              <w:rPr>
                <w:color w:val="auto"/>
                <w:lang w:val="en-US" w:eastAsia="en-US"/>
              </w:rPr>
              <w:t>给径流区；分散式饮用水水源地；特殊地下水资源（如热水、矿泉水、温泉等）保护区</w:t>
            </w:r>
          </w:p>
          <w:p w14:paraId="23488E66">
            <w:pPr>
              <w:pStyle w:val="30"/>
              <w:widowControl w:val="0"/>
              <w:bidi w:val="0"/>
              <w:rPr>
                <w:color w:val="auto"/>
                <w:lang w:val="en-US" w:eastAsia="en-US"/>
              </w:rPr>
            </w:pPr>
            <w:r>
              <w:rPr>
                <w:color w:val="auto"/>
                <w:lang w:val="en-US" w:eastAsia="en-US"/>
              </w:rPr>
              <w:t>以外的分布区等其他未列入上述敏感分级的环境敏感区a</w:t>
            </w:r>
          </w:p>
        </w:tc>
      </w:tr>
      <w:tr w14:paraId="6AB0C0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09" w:type="dxa"/>
            <w:shd w:val="clear" w:color="auto" w:fill="D7D7D7" w:themeFill="background1" w:themeFillShade="D8"/>
            <w:vAlign w:val="center"/>
          </w:tcPr>
          <w:p w14:paraId="2276B132">
            <w:pPr>
              <w:pStyle w:val="30"/>
              <w:widowControl w:val="0"/>
              <w:bidi w:val="0"/>
              <w:rPr>
                <w:color w:val="auto"/>
                <w:lang w:val="en-US" w:eastAsia="en-US"/>
              </w:rPr>
            </w:pPr>
            <w:r>
              <w:rPr>
                <w:color w:val="auto"/>
                <w:lang w:val="en-US" w:eastAsia="en-US"/>
              </w:rPr>
              <w:t>不敏感G3</w:t>
            </w:r>
          </w:p>
        </w:tc>
        <w:tc>
          <w:tcPr>
            <w:tcW w:w="8213" w:type="dxa"/>
            <w:shd w:val="clear" w:color="auto" w:fill="D7D7D7" w:themeFill="background1" w:themeFillShade="D8"/>
            <w:vAlign w:val="center"/>
          </w:tcPr>
          <w:p w14:paraId="4D387EE7">
            <w:pPr>
              <w:pStyle w:val="30"/>
              <w:widowControl w:val="0"/>
              <w:bidi w:val="0"/>
              <w:rPr>
                <w:color w:val="auto"/>
                <w:lang w:val="en-US" w:eastAsia="en-US"/>
              </w:rPr>
            </w:pPr>
            <w:r>
              <w:rPr>
                <w:color w:val="auto"/>
                <w:lang w:val="en-US" w:eastAsia="en-US"/>
              </w:rPr>
              <w:t>上述地区之外的其他地区</w:t>
            </w:r>
          </w:p>
        </w:tc>
      </w:tr>
      <w:tr w14:paraId="4DA6A8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122" w:type="dxa"/>
            <w:gridSpan w:val="2"/>
            <w:vAlign w:val="center"/>
          </w:tcPr>
          <w:p w14:paraId="2E179A67">
            <w:pPr>
              <w:pStyle w:val="30"/>
              <w:widowControl w:val="0"/>
              <w:bidi w:val="0"/>
              <w:rPr>
                <w:color w:val="auto"/>
                <w:lang w:val="en-US" w:eastAsia="en-US"/>
              </w:rPr>
            </w:pPr>
            <w:r>
              <w:rPr>
                <w:color w:val="auto"/>
                <w:lang w:val="en-US" w:eastAsia="en-US"/>
              </w:rPr>
              <w:t>a“环境敏感区”是指《建设项目环境影响评价分类管理名录》中所界定的涉及地下水的环境敏感区</w:t>
            </w:r>
          </w:p>
        </w:tc>
      </w:tr>
    </w:tbl>
    <w:p w14:paraId="3077A760">
      <w:pPr>
        <w:bidi w:val="0"/>
        <w:ind w:firstLine="480" w:firstLineChars="200"/>
        <w:rPr>
          <w:color w:val="auto"/>
        </w:rPr>
      </w:pPr>
      <w:r>
        <w:rPr>
          <w:color w:val="auto"/>
        </w:rPr>
        <w:t>本项目周边无集中式饮用水水源，无特殊地下水资源，因此本项目地下水功能敏感度为G3不敏感区。</w:t>
      </w:r>
    </w:p>
    <w:p w14:paraId="2E2AA1D4">
      <w:pPr>
        <w:bidi w:val="0"/>
        <w:jc w:val="center"/>
        <w:rPr>
          <w:b/>
          <w:bCs/>
        </w:rPr>
      </w:pPr>
      <w:r>
        <w:rPr>
          <w:b/>
          <w:bCs/>
        </w:rPr>
        <w:t>表2.4-1</w:t>
      </w:r>
      <w:r>
        <w:rPr>
          <w:rFonts w:hint="eastAsia"/>
          <w:b/>
          <w:bCs/>
          <w:lang w:val="en-US" w:eastAsia="zh-CN"/>
        </w:rPr>
        <w:t xml:space="preserve">8 </w:t>
      </w:r>
      <w:r>
        <w:rPr>
          <w:b/>
          <w:bCs/>
        </w:rPr>
        <w:t>包气带防污性能分级</w:t>
      </w:r>
    </w:p>
    <w:tbl>
      <w:tblPr>
        <w:tblStyle w:val="25"/>
        <w:tblW w:w="5003" w:type="pct"/>
        <w:tblInd w:w="6"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446"/>
        <w:gridCol w:w="7921"/>
      </w:tblGrid>
      <w:tr w14:paraId="2459D5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445" w:type="dxa"/>
            <w:vAlign w:val="center"/>
          </w:tcPr>
          <w:p w14:paraId="2AB4D114">
            <w:pPr>
              <w:pStyle w:val="30"/>
              <w:widowControl w:val="0"/>
              <w:bidi w:val="0"/>
              <w:rPr>
                <w:b/>
                <w:bCs/>
                <w:color w:val="auto"/>
                <w:lang w:val="en-US" w:eastAsia="en-US"/>
              </w:rPr>
            </w:pPr>
            <w:r>
              <w:rPr>
                <w:b/>
                <w:bCs/>
                <w:color w:val="auto"/>
                <w:lang w:val="en-US" w:eastAsia="en-US"/>
              </w:rPr>
              <w:t>分级</w:t>
            </w:r>
          </w:p>
        </w:tc>
        <w:tc>
          <w:tcPr>
            <w:tcW w:w="7916" w:type="dxa"/>
            <w:vAlign w:val="center"/>
          </w:tcPr>
          <w:p w14:paraId="448F367B">
            <w:pPr>
              <w:pStyle w:val="30"/>
              <w:widowControl w:val="0"/>
              <w:bidi w:val="0"/>
              <w:rPr>
                <w:b/>
                <w:bCs/>
                <w:color w:val="auto"/>
                <w:lang w:val="en-US" w:eastAsia="en-US"/>
              </w:rPr>
            </w:pPr>
            <w:r>
              <w:rPr>
                <w:b/>
                <w:bCs/>
                <w:color w:val="auto"/>
                <w:lang w:val="en-US" w:eastAsia="en-US"/>
              </w:rPr>
              <w:t>包气带岩土的渗透性</w:t>
            </w:r>
          </w:p>
        </w:tc>
      </w:tr>
      <w:tr w14:paraId="675FAB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445" w:type="dxa"/>
            <w:vAlign w:val="center"/>
          </w:tcPr>
          <w:p w14:paraId="598EB56E">
            <w:pPr>
              <w:pStyle w:val="30"/>
              <w:widowControl w:val="0"/>
              <w:bidi w:val="0"/>
              <w:rPr>
                <w:color w:val="auto"/>
                <w:lang w:val="en-US" w:eastAsia="en-US"/>
              </w:rPr>
            </w:pPr>
            <w:r>
              <w:rPr>
                <w:color w:val="auto"/>
                <w:lang w:val="en-US" w:eastAsia="en-US"/>
              </w:rPr>
              <w:t>D3</w:t>
            </w:r>
          </w:p>
        </w:tc>
        <w:tc>
          <w:tcPr>
            <w:tcW w:w="7916" w:type="dxa"/>
            <w:vAlign w:val="center"/>
          </w:tcPr>
          <w:p w14:paraId="235E10A4">
            <w:pPr>
              <w:pStyle w:val="30"/>
              <w:widowControl w:val="0"/>
              <w:bidi w:val="0"/>
              <w:rPr>
                <w:color w:val="auto"/>
                <w:lang w:val="en-US" w:eastAsia="en-US"/>
              </w:rPr>
            </w:pPr>
            <w:r>
              <w:rPr>
                <w:color w:val="auto"/>
                <w:lang w:val="en-US" w:eastAsia="en-US"/>
              </w:rPr>
              <w:t>Mb≥1.0m，K≤1.0×10-6cm/s，且分布连续、稳定</w:t>
            </w:r>
          </w:p>
        </w:tc>
      </w:tr>
      <w:tr w14:paraId="003E47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445" w:type="dxa"/>
            <w:shd w:val="clear" w:color="auto" w:fill="D7D7D7" w:themeFill="background1" w:themeFillShade="D8"/>
            <w:vAlign w:val="center"/>
          </w:tcPr>
          <w:p w14:paraId="7A2DD5E4">
            <w:pPr>
              <w:pStyle w:val="30"/>
              <w:widowControl w:val="0"/>
              <w:bidi w:val="0"/>
              <w:rPr>
                <w:color w:val="auto"/>
                <w:lang w:val="en-US" w:eastAsia="en-US"/>
              </w:rPr>
            </w:pPr>
            <w:r>
              <w:rPr>
                <w:color w:val="auto"/>
                <w:lang w:val="en-US" w:eastAsia="en-US"/>
              </w:rPr>
              <w:t>D2</w:t>
            </w:r>
          </w:p>
        </w:tc>
        <w:tc>
          <w:tcPr>
            <w:tcW w:w="7916" w:type="dxa"/>
            <w:shd w:val="clear" w:color="auto" w:fill="D7D7D7" w:themeFill="background1" w:themeFillShade="D8"/>
            <w:vAlign w:val="center"/>
          </w:tcPr>
          <w:p w14:paraId="7A464C3D">
            <w:pPr>
              <w:pStyle w:val="30"/>
              <w:widowControl w:val="0"/>
              <w:bidi w:val="0"/>
              <w:rPr>
                <w:color w:val="auto"/>
                <w:lang w:val="en-US" w:eastAsia="en-US"/>
              </w:rPr>
            </w:pPr>
            <w:r>
              <w:rPr>
                <w:color w:val="auto"/>
                <w:lang w:val="en-US" w:eastAsia="en-US"/>
              </w:rPr>
              <w:t>0.5m≤Mb&lt;1.0m，K≤1.0×10-6cm/s，且分布连续、稳定</w:t>
            </w:r>
          </w:p>
          <w:p w14:paraId="741C24D8">
            <w:pPr>
              <w:pStyle w:val="30"/>
              <w:widowControl w:val="0"/>
              <w:bidi w:val="0"/>
              <w:rPr>
                <w:color w:val="auto"/>
                <w:lang w:val="en-US" w:eastAsia="en-US"/>
              </w:rPr>
            </w:pPr>
            <w:r>
              <w:rPr>
                <w:color w:val="auto"/>
                <w:lang w:val="en-US" w:eastAsia="en-US"/>
              </w:rPr>
              <w:t>Mb≥1.0m，1.0×10-6cm/s＜K≤1.0×10-4cm/s，且分布连续、稳定</w:t>
            </w:r>
          </w:p>
        </w:tc>
      </w:tr>
      <w:tr w14:paraId="03A8EF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445" w:type="dxa"/>
            <w:vAlign w:val="center"/>
          </w:tcPr>
          <w:p w14:paraId="530ACEBE">
            <w:pPr>
              <w:pStyle w:val="30"/>
              <w:widowControl w:val="0"/>
              <w:bidi w:val="0"/>
              <w:rPr>
                <w:color w:val="auto"/>
                <w:lang w:val="en-US" w:eastAsia="en-US"/>
              </w:rPr>
            </w:pPr>
            <w:r>
              <w:rPr>
                <w:color w:val="auto"/>
                <w:lang w:val="en-US" w:eastAsia="en-US"/>
              </w:rPr>
              <w:t>D1</w:t>
            </w:r>
          </w:p>
        </w:tc>
        <w:tc>
          <w:tcPr>
            <w:tcW w:w="7916" w:type="dxa"/>
            <w:vAlign w:val="center"/>
          </w:tcPr>
          <w:p w14:paraId="6B891DFA">
            <w:pPr>
              <w:pStyle w:val="30"/>
              <w:widowControl w:val="0"/>
              <w:bidi w:val="0"/>
              <w:rPr>
                <w:color w:val="auto"/>
                <w:lang w:val="en-US" w:eastAsia="en-US"/>
              </w:rPr>
            </w:pPr>
            <w:r>
              <w:rPr>
                <w:color w:val="auto"/>
                <w:lang w:val="en-US" w:eastAsia="en-US"/>
              </w:rPr>
              <w:t>岩（土）层不满足上述“D2”和“D3”条件</w:t>
            </w:r>
          </w:p>
        </w:tc>
      </w:tr>
      <w:tr w14:paraId="6A35D1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361" w:type="dxa"/>
            <w:gridSpan w:val="2"/>
            <w:vAlign w:val="center"/>
          </w:tcPr>
          <w:p w14:paraId="6DD536DF">
            <w:pPr>
              <w:pStyle w:val="30"/>
              <w:widowControl w:val="0"/>
              <w:bidi w:val="0"/>
              <w:rPr>
                <w:color w:val="auto"/>
                <w:lang w:val="en-US" w:eastAsia="en-US"/>
              </w:rPr>
            </w:pPr>
            <w:r>
              <w:rPr>
                <w:color w:val="auto"/>
                <w:lang w:val="en-US" w:eastAsia="en-US"/>
              </w:rPr>
              <w:t>Mb：岩土层单层厚度。K：渗透系数。</w:t>
            </w:r>
          </w:p>
        </w:tc>
      </w:tr>
    </w:tbl>
    <w:p w14:paraId="02C99FDF">
      <w:pPr>
        <w:pStyle w:val="32"/>
        <w:bidi w:val="0"/>
        <w:rPr>
          <w:rFonts w:ascii="宋体" w:hAnsi="宋体" w:eastAsia="宋体" w:cs="宋体"/>
          <w:color w:val="auto"/>
          <w:szCs w:val="24"/>
        </w:rPr>
      </w:pPr>
      <w:r>
        <w:rPr>
          <w:color w:val="auto"/>
        </w:rPr>
        <w:t>根据现场调查，地下水环境包气带防污性能为D2。</w:t>
      </w:r>
    </w:p>
    <w:p w14:paraId="60F751C1">
      <w:pPr>
        <w:bidi w:val="0"/>
        <w:jc w:val="center"/>
        <w:rPr>
          <w:b/>
          <w:bCs/>
        </w:rPr>
      </w:pPr>
      <w:r>
        <w:rPr>
          <w:b/>
          <w:bCs/>
        </w:rPr>
        <w:t>表2.4-1</w:t>
      </w:r>
      <w:r>
        <w:rPr>
          <w:rFonts w:hint="eastAsia"/>
          <w:b/>
          <w:bCs/>
          <w:lang w:val="en-US" w:eastAsia="zh-CN"/>
        </w:rPr>
        <w:t xml:space="preserve">9 </w:t>
      </w:r>
      <w:r>
        <w:rPr>
          <w:b/>
          <w:bCs/>
        </w:rPr>
        <w:t>地下水环境敏感程度分级</w:t>
      </w:r>
    </w:p>
    <w:tbl>
      <w:tblPr>
        <w:tblStyle w:val="25"/>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342"/>
        <w:gridCol w:w="2338"/>
        <w:gridCol w:w="2338"/>
        <w:gridCol w:w="2343"/>
      </w:tblGrid>
      <w:tr w14:paraId="03EC26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282" w:type="dxa"/>
            <w:vMerge w:val="restart"/>
            <w:tcBorders>
              <w:bottom w:val="nil"/>
            </w:tcBorders>
            <w:vAlign w:val="center"/>
          </w:tcPr>
          <w:p w14:paraId="48704797">
            <w:pPr>
              <w:pStyle w:val="30"/>
              <w:widowControl w:val="0"/>
              <w:bidi w:val="0"/>
              <w:rPr>
                <w:b/>
                <w:bCs/>
                <w:color w:val="auto"/>
                <w:lang w:val="en-US" w:eastAsia="en-US"/>
              </w:rPr>
            </w:pPr>
            <w:r>
              <w:rPr>
                <w:b/>
                <w:bCs/>
                <w:color w:val="auto"/>
                <w:lang w:val="en-US" w:eastAsia="en-US"/>
              </w:rPr>
              <w:t>包气带防污性能</w:t>
            </w:r>
          </w:p>
        </w:tc>
        <w:tc>
          <w:tcPr>
            <w:tcW w:w="6841" w:type="dxa"/>
            <w:gridSpan w:val="3"/>
            <w:vAlign w:val="center"/>
          </w:tcPr>
          <w:p w14:paraId="18A942B5">
            <w:pPr>
              <w:pStyle w:val="30"/>
              <w:widowControl w:val="0"/>
              <w:bidi w:val="0"/>
              <w:rPr>
                <w:b/>
                <w:bCs/>
                <w:color w:val="auto"/>
                <w:lang w:val="en-US" w:eastAsia="en-US"/>
              </w:rPr>
            </w:pPr>
            <w:r>
              <w:rPr>
                <w:b/>
                <w:bCs/>
                <w:color w:val="auto"/>
                <w:lang w:val="en-US" w:eastAsia="en-US"/>
              </w:rPr>
              <w:t>地下水功能敏感度</w:t>
            </w:r>
          </w:p>
        </w:tc>
      </w:tr>
      <w:tr w14:paraId="0777DF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282" w:type="dxa"/>
            <w:vMerge w:val="continue"/>
            <w:tcBorders>
              <w:top w:val="nil"/>
            </w:tcBorders>
            <w:vAlign w:val="center"/>
          </w:tcPr>
          <w:p w14:paraId="4EBAB266">
            <w:pPr>
              <w:pStyle w:val="30"/>
              <w:widowControl w:val="0"/>
              <w:bidi w:val="0"/>
              <w:rPr>
                <w:b/>
                <w:bCs/>
                <w:color w:val="auto"/>
                <w:lang w:val="en-US" w:eastAsia="en-US"/>
              </w:rPr>
            </w:pPr>
          </w:p>
        </w:tc>
        <w:tc>
          <w:tcPr>
            <w:tcW w:w="2279" w:type="dxa"/>
            <w:vAlign w:val="center"/>
          </w:tcPr>
          <w:p w14:paraId="55DF9386">
            <w:pPr>
              <w:pStyle w:val="30"/>
              <w:widowControl w:val="0"/>
              <w:bidi w:val="0"/>
              <w:rPr>
                <w:b/>
                <w:bCs/>
                <w:color w:val="auto"/>
                <w:lang w:val="en-US" w:eastAsia="en-US"/>
              </w:rPr>
            </w:pPr>
            <w:r>
              <w:rPr>
                <w:b/>
                <w:bCs/>
                <w:color w:val="auto"/>
                <w:lang w:val="en-US" w:eastAsia="en-US"/>
              </w:rPr>
              <w:t>G1</w:t>
            </w:r>
          </w:p>
        </w:tc>
        <w:tc>
          <w:tcPr>
            <w:tcW w:w="2279" w:type="dxa"/>
            <w:vAlign w:val="center"/>
          </w:tcPr>
          <w:p w14:paraId="7BA2F8D5">
            <w:pPr>
              <w:pStyle w:val="30"/>
              <w:widowControl w:val="0"/>
              <w:bidi w:val="0"/>
              <w:rPr>
                <w:b/>
                <w:bCs/>
                <w:color w:val="auto"/>
                <w:lang w:val="en-US" w:eastAsia="en-US"/>
              </w:rPr>
            </w:pPr>
            <w:r>
              <w:rPr>
                <w:b/>
                <w:bCs/>
                <w:color w:val="auto"/>
                <w:lang w:val="en-US" w:eastAsia="en-US"/>
              </w:rPr>
              <w:t>G2</w:t>
            </w:r>
          </w:p>
        </w:tc>
        <w:tc>
          <w:tcPr>
            <w:tcW w:w="2283" w:type="dxa"/>
            <w:vAlign w:val="center"/>
          </w:tcPr>
          <w:p w14:paraId="2BD8E22D">
            <w:pPr>
              <w:pStyle w:val="30"/>
              <w:widowControl w:val="0"/>
              <w:bidi w:val="0"/>
              <w:rPr>
                <w:b/>
                <w:bCs/>
                <w:color w:val="auto"/>
                <w:lang w:val="en-US" w:eastAsia="en-US"/>
              </w:rPr>
            </w:pPr>
            <w:r>
              <w:rPr>
                <w:b/>
                <w:bCs/>
                <w:color w:val="auto"/>
                <w:lang w:val="en-US" w:eastAsia="en-US"/>
              </w:rPr>
              <w:t>G3</w:t>
            </w:r>
          </w:p>
        </w:tc>
      </w:tr>
      <w:tr w14:paraId="2F5F2D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282" w:type="dxa"/>
            <w:vAlign w:val="center"/>
          </w:tcPr>
          <w:p w14:paraId="7DC9B811">
            <w:pPr>
              <w:pStyle w:val="30"/>
              <w:widowControl w:val="0"/>
              <w:bidi w:val="0"/>
              <w:rPr>
                <w:color w:val="auto"/>
                <w:lang w:val="en-US" w:eastAsia="en-US"/>
              </w:rPr>
            </w:pPr>
            <w:r>
              <w:rPr>
                <w:color w:val="auto"/>
                <w:lang w:val="en-US" w:eastAsia="en-US"/>
              </w:rPr>
              <w:t>D1</w:t>
            </w:r>
          </w:p>
        </w:tc>
        <w:tc>
          <w:tcPr>
            <w:tcW w:w="2279" w:type="dxa"/>
            <w:vAlign w:val="center"/>
          </w:tcPr>
          <w:p w14:paraId="76C870F6">
            <w:pPr>
              <w:pStyle w:val="30"/>
              <w:widowControl w:val="0"/>
              <w:bidi w:val="0"/>
              <w:rPr>
                <w:color w:val="auto"/>
                <w:lang w:val="en-US" w:eastAsia="en-US"/>
              </w:rPr>
            </w:pPr>
            <w:r>
              <w:rPr>
                <w:color w:val="auto"/>
                <w:lang w:val="en-US" w:eastAsia="en-US"/>
              </w:rPr>
              <w:t>E1</w:t>
            </w:r>
          </w:p>
        </w:tc>
        <w:tc>
          <w:tcPr>
            <w:tcW w:w="2279" w:type="dxa"/>
            <w:shd w:val="clear" w:color="auto" w:fill="auto"/>
            <w:vAlign w:val="center"/>
          </w:tcPr>
          <w:p w14:paraId="7C07CD8F">
            <w:pPr>
              <w:pStyle w:val="30"/>
              <w:widowControl w:val="0"/>
              <w:bidi w:val="0"/>
              <w:rPr>
                <w:color w:val="auto"/>
                <w:lang w:val="en-US" w:eastAsia="en-US"/>
              </w:rPr>
            </w:pPr>
            <w:r>
              <w:rPr>
                <w:color w:val="auto"/>
                <w:lang w:val="en-US" w:eastAsia="en-US"/>
              </w:rPr>
              <w:t>E1</w:t>
            </w:r>
          </w:p>
        </w:tc>
        <w:tc>
          <w:tcPr>
            <w:tcW w:w="2283" w:type="dxa"/>
            <w:shd w:val="clear" w:color="auto" w:fill="auto"/>
            <w:vAlign w:val="center"/>
          </w:tcPr>
          <w:p w14:paraId="55BD7635">
            <w:pPr>
              <w:pStyle w:val="30"/>
              <w:widowControl w:val="0"/>
              <w:bidi w:val="0"/>
              <w:rPr>
                <w:color w:val="auto"/>
                <w:lang w:val="en-US" w:eastAsia="en-US"/>
              </w:rPr>
            </w:pPr>
            <w:r>
              <w:rPr>
                <w:color w:val="auto"/>
                <w:lang w:val="en-US" w:eastAsia="en-US"/>
              </w:rPr>
              <w:t>E2</w:t>
            </w:r>
          </w:p>
        </w:tc>
      </w:tr>
      <w:tr w14:paraId="6B47D6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282" w:type="dxa"/>
            <w:vAlign w:val="center"/>
          </w:tcPr>
          <w:p w14:paraId="6B9F8908">
            <w:pPr>
              <w:pStyle w:val="30"/>
              <w:widowControl w:val="0"/>
              <w:bidi w:val="0"/>
              <w:rPr>
                <w:color w:val="auto"/>
                <w:lang w:val="en-US" w:eastAsia="en-US"/>
              </w:rPr>
            </w:pPr>
            <w:r>
              <w:rPr>
                <w:color w:val="auto"/>
                <w:lang w:val="en-US" w:eastAsia="en-US"/>
              </w:rPr>
              <w:t>D2</w:t>
            </w:r>
          </w:p>
        </w:tc>
        <w:tc>
          <w:tcPr>
            <w:tcW w:w="2279" w:type="dxa"/>
            <w:vAlign w:val="center"/>
          </w:tcPr>
          <w:p w14:paraId="386B7586">
            <w:pPr>
              <w:pStyle w:val="30"/>
              <w:widowControl w:val="0"/>
              <w:bidi w:val="0"/>
              <w:rPr>
                <w:color w:val="auto"/>
                <w:lang w:val="en-US" w:eastAsia="en-US"/>
              </w:rPr>
            </w:pPr>
            <w:r>
              <w:rPr>
                <w:color w:val="auto"/>
                <w:lang w:val="en-US" w:eastAsia="en-US"/>
              </w:rPr>
              <w:t>E1</w:t>
            </w:r>
          </w:p>
        </w:tc>
        <w:tc>
          <w:tcPr>
            <w:tcW w:w="2279" w:type="dxa"/>
            <w:vAlign w:val="center"/>
          </w:tcPr>
          <w:p w14:paraId="511B8F2A">
            <w:pPr>
              <w:pStyle w:val="30"/>
              <w:widowControl w:val="0"/>
              <w:bidi w:val="0"/>
              <w:rPr>
                <w:color w:val="auto"/>
                <w:lang w:val="en-US" w:eastAsia="en-US"/>
              </w:rPr>
            </w:pPr>
            <w:r>
              <w:rPr>
                <w:color w:val="auto"/>
                <w:lang w:val="en-US" w:eastAsia="en-US"/>
              </w:rPr>
              <w:t>E2</w:t>
            </w:r>
          </w:p>
        </w:tc>
        <w:tc>
          <w:tcPr>
            <w:tcW w:w="2283" w:type="dxa"/>
            <w:shd w:val="clear" w:color="auto" w:fill="D7D7D7" w:themeFill="background1" w:themeFillShade="D8"/>
            <w:vAlign w:val="center"/>
          </w:tcPr>
          <w:p w14:paraId="54B9AB96">
            <w:pPr>
              <w:pStyle w:val="30"/>
              <w:widowControl w:val="0"/>
              <w:bidi w:val="0"/>
              <w:rPr>
                <w:color w:val="auto"/>
                <w:lang w:val="en-US" w:eastAsia="en-US"/>
              </w:rPr>
            </w:pPr>
            <w:r>
              <w:rPr>
                <w:color w:val="auto"/>
                <w:lang w:val="en-US" w:eastAsia="en-US"/>
              </w:rPr>
              <w:t>E3</w:t>
            </w:r>
          </w:p>
        </w:tc>
      </w:tr>
      <w:tr w14:paraId="5DB042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282" w:type="dxa"/>
            <w:vAlign w:val="center"/>
          </w:tcPr>
          <w:p w14:paraId="40F8DC01">
            <w:pPr>
              <w:pStyle w:val="30"/>
              <w:widowControl w:val="0"/>
              <w:bidi w:val="0"/>
              <w:rPr>
                <w:color w:val="auto"/>
                <w:lang w:val="en-US" w:eastAsia="en-US"/>
              </w:rPr>
            </w:pPr>
            <w:r>
              <w:rPr>
                <w:color w:val="auto"/>
                <w:lang w:val="en-US" w:eastAsia="en-US"/>
              </w:rPr>
              <w:t>D3</w:t>
            </w:r>
          </w:p>
        </w:tc>
        <w:tc>
          <w:tcPr>
            <w:tcW w:w="2279" w:type="dxa"/>
            <w:vAlign w:val="center"/>
          </w:tcPr>
          <w:p w14:paraId="0ED7E9FE">
            <w:pPr>
              <w:pStyle w:val="30"/>
              <w:widowControl w:val="0"/>
              <w:bidi w:val="0"/>
              <w:rPr>
                <w:color w:val="auto"/>
                <w:lang w:val="en-US" w:eastAsia="en-US"/>
              </w:rPr>
            </w:pPr>
            <w:r>
              <w:rPr>
                <w:color w:val="auto"/>
                <w:lang w:val="en-US" w:eastAsia="en-US"/>
              </w:rPr>
              <w:t>E2</w:t>
            </w:r>
          </w:p>
        </w:tc>
        <w:tc>
          <w:tcPr>
            <w:tcW w:w="2279" w:type="dxa"/>
            <w:vAlign w:val="center"/>
          </w:tcPr>
          <w:p w14:paraId="73D85CB0">
            <w:pPr>
              <w:pStyle w:val="30"/>
              <w:widowControl w:val="0"/>
              <w:bidi w:val="0"/>
              <w:rPr>
                <w:color w:val="auto"/>
                <w:lang w:val="en-US" w:eastAsia="en-US"/>
              </w:rPr>
            </w:pPr>
            <w:r>
              <w:rPr>
                <w:color w:val="auto"/>
                <w:lang w:val="en-US" w:eastAsia="en-US"/>
              </w:rPr>
              <w:t>E3</w:t>
            </w:r>
          </w:p>
        </w:tc>
        <w:tc>
          <w:tcPr>
            <w:tcW w:w="2283" w:type="dxa"/>
            <w:vAlign w:val="center"/>
          </w:tcPr>
          <w:p w14:paraId="536FBC1D">
            <w:pPr>
              <w:pStyle w:val="30"/>
              <w:widowControl w:val="0"/>
              <w:bidi w:val="0"/>
              <w:rPr>
                <w:color w:val="auto"/>
                <w:lang w:val="en-US" w:eastAsia="en-US"/>
              </w:rPr>
            </w:pPr>
            <w:r>
              <w:rPr>
                <w:color w:val="auto"/>
                <w:lang w:val="en-US" w:eastAsia="en-US"/>
              </w:rPr>
              <w:t>E3</w:t>
            </w:r>
          </w:p>
        </w:tc>
      </w:tr>
    </w:tbl>
    <w:p w14:paraId="7BC65484">
      <w:pPr>
        <w:bidi w:val="0"/>
        <w:ind w:firstLine="480" w:firstLineChars="200"/>
        <w:rPr>
          <w:color w:val="auto"/>
        </w:rPr>
      </w:pPr>
      <w:r>
        <w:rPr>
          <w:color w:val="auto"/>
        </w:rPr>
        <w:t>由上表可知，本项目地下水环境敏感程度为E3环境低敏感区。</w:t>
      </w:r>
    </w:p>
    <w:p w14:paraId="2B9F719E">
      <w:pPr>
        <w:bidi w:val="0"/>
        <w:ind w:firstLine="480" w:firstLineChars="200"/>
        <w:rPr>
          <w:color w:val="auto"/>
        </w:rPr>
      </w:pPr>
      <w:r>
        <w:rPr>
          <w:color w:val="auto"/>
        </w:rPr>
        <w:t>③地表水</w:t>
      </w:r>
    </w:p>
    <w:p w14:paraId="61F28112">
      <w:pPr>
        <w:bidi w:val="0"/>
        <w:jc w:val="center"/>
        <w:rPr>
          <w:b/>
          <w:bCs/>
        </w:rPr>
      </w:pPr>
      <w:r>
        <w:rPr>
          <w:b/>
          <w:bCs/>
        </w:rPr>
        <w:t>表2.4-</w:t>
      </w:r>
      <w:r>
        <w:rPr>
          <w:rFonts w:hint="eastAsia"/>
          <w:b/>
          <w:bCs/>
          <w:lang w:val="en-US" w:eastAsia="zh-CN"/>
        </w:rPr>
        <w:t xml:space="preserve">20 </w:t>
      </w:r>
      <w:r>
        <w:rPr>
          <w:b/>
          <w:bCs/>
        </w:rPr>
        <w:t>地表水功能敏感性分区</w:t>
      </w:r>
    </w:p>
    <w:tbl>
      <w:tblPr>
        <w:tblStyle w:val="25"/>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68"/>
        <w:gridCol w:w="7993"/>
      </w:tblGrid>
      <w:tr w14:paraId="4001DF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03" w:type="dxa"/>
            <w:vAlign w:val="center"/>
          </w:tcPr>
          <w:p w14:paraId="46D2B3AA">
            <w:pPr>
              <w:pStyle w:val="30"/>
              <w:widowControl w:val="0"/>
              <w:bidi w:val="0"/>
              <w:rPr>
                <w:b/>
                <w:bCs/>
                <w:color w:val="auto"/>
                <w:lang w:val="en-US" w:eastAsia="en-US"/>
              </w:rPr>
            </w:pPr>
            <w:r>
              <w:rPr>
                <w:b/>
                <w:bCs/>
                <w:color w:val="auto"/>
                <w:lang w:val="en-US" w:eastAsia="en-US"/>
              </w:rPr>
              <w:t>敏感性</w:t>
            </w:r>
          </w:p>
        </w:tc>
        <w:tc>
          <w:tcPr>
            <w:tcW w:w="7613" w:type="dxa"/>
            <w:vAlign w:val="center"/>
          </w:tcPr>
          <w:p w14:paraId="0A60CCA4">
            <w:pPr>
              <w:pStyle w:val="30"/>
              <w:widowControl w:val="0"/>
              <w:bidi w:val="0"/>
              <w:rPr>
                <w:b/>
                <w:bCs/>
                <w:color w:val="auto"/>
                <w:lang w:val="en-US" w:eastAsia="en-US"/>
              </w:rPr>
            </w:pPr>
            <w:r>
              <w:rPr>
                <w:b/>
                <w:bCs/>
                <w:color w:val="auto"/>
                <w:lang w:val="en-US" w:eastAsia="en-US"/>
              </w:rPr>
              <w:t>地表水环境敏感特征</w:t>
            </w:r>
          </w:p>
        </w:tc>
      </w:tr>
      <w:tr w14:paraId="51ABEB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03" w:type="dxa"/>
            <w:vAlign w:val="center"/>
          </w:tcPr>
          <w:p w14:paraId="32BC98A0">
            <w:pPr>
              <w:pStyle w:val="30"/>
              <w:widowControl w:val="0"/>
              <w:bidi w:val="0"/>
              <w:rPr>
                <w:color w:val="auto"/>
                <w:lang w:val="en-US" w:eastAsia="en-US"/>
              </w:rPr>
            </w:pPr>
            <w:r>
              <w:rPr>
                <w:color w:val="auto"/>
                <w:lang w:val="en-US" w:eastAsia="en-US"/>
              </w:rPr>
              <w:t>敏感F1</w:t>
            </w:r>
          </w:p>
        </w:tc>
        <w:tc>
          <w:tcPr>
            <w:tcW w:w="7613" w:type="dxa"/>
            <w:vAlign w:val="center"/>
          </w:tcPr>
          <w:p w14:paraId="1369214F">
            <w:pPr>
              <w:pStyle w:val="30"/>
              <w:widowControl w:val="0"/>
              <w:bidi w:val="0"/>
              <w:rPr>
                <w:color w:val="auto"/>
                <w:lang w:val="en-US" w:eastAsia="en-US"/>
              </w:rPr>
            </w:pPr>
            <w:r>
              <w:rPr>
                <w:color w:val="auto"/>
                <w:lang w:val="en-US" w:eastAsia="en-US"/>
              </w:rPr>
              <w:t>排放点进入地表水水域环境功能为Ⅱ类及以上，或海水水质分类第一类；或以发生事故时，危险物质泄漏到水体的排放点算起，排放进入受纳河流最大流速时，24h流经范围内涉跨国界的</w:t>
            </w:r>
          </w:p>
        </w:tc>
      </w:tr>
      <w:tr w14:paraId="1432A5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03" w:type="dxa"/>
            <w:vAlign w:val="center"/>
          </w:tcPr>
          <w:p w14:paraId="015AACC7">
            <w:pPr>
              <w:pStyle w:val="30"/>
              <w:widowControl w:val="0"/>
              <w:bidi w:val="0"/>
              <w:rPr>
                <w:color w:val="auto"/>
                <w:lang w:val="en-US" w:eastAsia="en-US"/>
              </w:rPr>
            </w:pPr>
            <w:r>
              <w:rPr>
                <w:color w:val="auto"/>
                <w:lang w:val="en-US" w:eastAsia="en-US"/>
              </w:rPr>
              <w:t>较敏感F2</w:t>
            </w:r>
          </w:p>
        </w:tc>
        <w:tc>
          <w:tcPr>
            <w:tcW w:w="7613" w:type="dxa"/>
            <w:vAlign w:val="center"/>
          </w:tcPr>
          <w:p w14:paraId="42E70E1F">
            <w:pPr>
              <w:pStyle w:val="30"/>
              <w:widowControl w:val="0"/>
              <w:bidi w:val="0"/>
              <w:rPr>
                <w:color w:val="auto"/>
                <w:lang w:val="en-US" w:eastAsia="en-US"/>
              </w:rPr>
            </w:pPr>
            <w:r>
              <w:rPr>
                <w:color w:val="auto"/>
                <w:lang w:val="en-US" w:eastAsia="en-US"/>
              </w:rPr>
              <w:t>排放点进入地表水水域环境功能为Ⅲ类，或海水水质分</w:t>
            </w:r>
            <w:r>
              <w:rPr>
                <w:rFonts w:hint="eastAsia"/>
                <w:color w:val="auto"/>
                <w:lang w:val="en-US" w:eastAsia="zh-CN"/>
              </w:rPr>
              <w:t>类为</w:t>
            </w:r>
            <w:r>
              <w:rPr>
                <w:color w:val="auto"/>
                <w:lang w:val="en-US" w:eastAsia="en-US"/>
              </w:rPr>
              <w:t>第二类；或以发生事故时，危险物质泄漏到水体的排放点算起，排放进入受纳河流最大流速时，24h流经范围内涉跨省界的</w:t>
            </w:r>
          </w:p>
        </w:tc>
      </w:tr>
      <w:tr w14:paraId="1ED6FA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303" w:type="dxa"/>
            <w:shd w:val="clear" w:color="auto" w:fill="D7D7D7" w:themeFill="background1" w:themeFillShade="D8"/>
            <w:vAlign w:val="center"/>
          </w:tcPr>
          <w:p w14:paraId="09D3196A">
            <w:pPr>
              <w:pStyle w:val="30"/>
              <w:widowControl w:val="0"/>
              <w:bidi w:val="0"/>
              <w:rPr>
                <w:color w:val="auto"/>
                <w:lang w:val="en-US" w:eastAsia="en-US"/>
              </w:rPr>
            </w:pPr>
            <w:r>
              <w:rPr>
                <w:color w:val="auto"/>
                <w:lang w:val="en-US" w:eastAsia="en-US"/>
              </w:rPr>
              <w:t>低敏感F3</w:t>
            </w:r>
          </w:p>
        </w:tc>
        <w:tc>
          <w:tcPr>
            <w:tcW w:w="7613" w:type="dxa"/>
            <w:shd w:val="clear" w:color="auto" w:fill="D7D7D7" w:themeFill="background1" w:themeFillShade="D8"/>
            <w:vAlign w:val="center"/>
          </w:tcPr>
          <w:p w14:paraId="4B30170A">
            <w:pPr>
              <w:pStyle w:val="30"/>
              <w:widowControl w:val="0"/>
              <w:bidi w:val="0"/>
              <w:rPr>
                <w:color w:val="auto"/>
                <w:lang w:val="en-US" w:eastAsia="en-US"/>
              </w:rPr>
            </w:pPr>
            <w:r>
              <w:rPr>
                <w:color w:val="auto"/>
                <w:lang w:val="en-US" w:eastAsia="en-US"/>
              </w:rPr>
              <w:t>上述地区之外的其他地区</w:t>
            </w:r>
          </w:p>
        </w:tc>
      </w:tr>
    </w:tbl>
    <w:p w14:paraId="4C1DA16C">
      <w:pPr>
        <w:bidi w:val="0"/>
        <w:ind w:firstLine="480" w:firstLineChars="200"/>
        <w:rPr>
          <w:color w:val="auto"/>
        </w:rPr>
      </w:pPr>
      <w:r>
        <w:rPr>
          <w:color w:val="auto"/>
        </w:rPr>
        <w:t>根据现场调查，项目雨水排入店埠河，水域环境功能为</w:t>
      </w:r>
      <w:r>
        <w:rPr>
          <w:rFonts w:hint="eastAsia"/>
          <w:color w:val="auto"/>
          <w:lang w:eastAsia="zh-CN"/>
        </w:rPr>
        <w:t>Ⅳ类</w:t>
      </w:r>
      <w:r>
        <w:rPr>
          <w:color w:val="auto"/>
        </w:rPr>
        <w:t>，发生事故时危险物质泄漏到水体的排放点算起，排放进入店埠河最大流速时24h流经范围不会跨省。根据上表可知，本项目地表水环境敏感程度为F3。</w:t>
      </w:r>
    </w:p>
    <w:p w14:paraId="70134558">
      <w:pPr>
        <w:bidi w:val="0"/>
        <w:jc w:val="center"/>
        <w:rPr>
          <w:b/>
          <w:bCs/>
        </w:rPr>
      </w:pPr>
      <w:r>
        <w:rPr>
          <w:b/>
          <w:bCs/>
        </w:rPr>
        <w:t>表2.4-</w:t>
      </w:r>
      <w:r>
        <w:rPr>
          <w:rFonts w:hint="eastAsia"/>
          <w:b/>
          <w:bCs/>
          <w:lang w:val="en-US" w:eastAsia="zh-CN"/>
        </w:rPr>
        <w:t xml:space="preserve">21 </w:t>
      </w:r>
      <w:r>
        <w:rPr>
          <w:b/>
          <w:bCs/>
        </w:rPr>
        <w:t>环境敏感目标分级</w:t>
      </w:r>
    </w:p>
    <w:tbl>
      <w:tblPr>
        <w:tblStyle w:val="25"/>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65"/>
        <w:gridCol w:w="8496"/>
      </w:tblGrid>
      <w:tr w14:paraId="279347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24" w:type="dxa"/>
            <w:vAlign w:val="center"/>
          </w:tcPr>
          <w:p w14:paraId="0628A220">
            <w:pPr>
              <w:pStyle w:val="30"/>
              <w:widowControl w:val="0"/>
              <w:bidi w:val="0"/>
              <w:rPr>
                <w:b/>
                <w:bCs/>
                <w:color w:val="auto"/>
                <w:lang w:val="en-US" w:eastAsia="en-US"/>
              </w:rPr>
            </w:pPr>
            <w:r>
              <w:rPr>
                <w:b/>
                <w:bCs/>
                <w:color w:val="auto"/>
                <w:lang w:val="en-US" w:eastAsia="en-US"/>
              </w:rPr>
              <w:t>分级</w:t>
            </w:r>
          </w:p>
        </w:tc>
        <w:tc>
          <w:tcPr>
            <w:tcW w:w="8092" w:type="dxa"/>
            <w:vAlign w:val="center"/>
          </w:tcPr>
          <w:p w14:paraId="413DECFA">
            <w:pPr>
              <w:pStyle w:val="30"/>
              <w:widowControl w:val="0"/>
              <w:bidi w:val="0"/>
              <w:rPr>
                <w:b/>
                <w:bCs/>
                <w:color w:val="auto"/>
                <w:lang w:val="en-US" w:eastAsia="en-US"/>
              </w:rPr>
            </w:pPr>
            <w:r>
              <w:rPr>
                <w:b/>
                <w:bCs/>
                <w:color w:val="auto"/>
                <w:lang w:val="en-US" w:eastAsia="en-US"/>
              </w:rPr>
              <w:t>环境敏感目标</w:t>
            </w:r>
          </w:p>
        </w:tc>
      </w:tr>
      <w:tr w14:paraId="54CC2E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24" w:type="dxa"/>
            <w:vAlign w:val="center"/>
          </w:tcPr>
          <w:p w14:paraId="532F62FF">
            <w:pPr>
              <w:pStyle w:val="30"/>
              <w:widowControl w:val="0"/>
              <w:bidi w:val="0"/>
              <w:rPr>
                <w:color w:val="auto"/>
                <w:lang w:val="en-US" w:eastAsia="en-US"/>
              </w:rPr>
            </w:pPr>
            <w:r>
              <w:rPr>
                <w:color w:val="auto"/>
                <w:lang w:val="en-US" w:eastAsia="en-US"/>
              </w:rPr>
              <w:t>S1</w:t>
            </w:r>
          </w:p>
        </w:tc>
        <w:tc>
          <w:tcPr>
            <w:tcW w:w="8092" w:type="dxa"/>
            <w:vAlign w:val="center"/>
          </w:tcPr>
          <w:p w14:paraId="39796BA9">
            <w:pPr>
              <w:pStyle w:val="30"/>
              <w:widowControl w:val="0"/>
              <w:bidi w:val="0"/>
              <w:rPr>
                <w:color w:val="auto"/>
                <w:lang w:val="en-US" w:eastAsia="en-US"/>
              </w:rPr>
            </w:pPr>
            <w:r>
              <w:rPr>
                <w:color w:val="auto"/>
                <w:lang w:val="en-US" w:eastAsia="en-US"/>
              </w:rPr>
              <w:t>发生事故时，危险物质泄漏到内陆水体的排放点下游（顺水流向）10km范围内、近岸海域一个潮周期水质点可能达到的最大水平距离的两倍范围内，有如下一类或多类环境风险受体：集中式地表水饮用水水源保护区（包括一级保护区、二级保护区及准保护区）；农村及分散式饮用水水源保护区；自然保护区；重要湿地；珍稀濒危野生动植物天然集中分布区；重要水生生物的自然产卵场及索饵场、越冬场和洄游通道；世界文化和自然遗产地；红树林、珊瑚礁等滨海湿地生态系统；珍稀、濒危海洋生物的天然集中分布区；海洋特别保护区；海上自然保护区；盐场保护区；海水浴场；海洋自然历史遗迹；风景名胜区；或其他特殊重要保护区域</w:t>
            </w:r>
          </w:p>
        </w:tc>
      </w:tr>
      <w:tr w14:paraId="3F193A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24" w:type="dxa"/>
            <w:vAlign w:val="center"/>
          </w:tcPr>
          <w:p w14:paraId="25558059">
            <w:pPr>
              <w:pStyle w:val="30"/>
              <w:widowControl w:val="0"/>
              <w:bidi w:val="0"/>
              <w:rPr>
                <w:color w:val="auto"/>
                <w:lang w:val="en-US" w:eastAsia="en-US"/>
              </w:rPr>
            </w:pPr>
            <w:r>
              <w:rPr>
                <w:color w:val="auto"/>
                <w:lang w:val="en-US" w:eastAsia="en-US"/>
              </w:rPr>
              <w:t>S2</w:t>
            </w:r>
          </w:p>
        </w:tc>
        <w:tc>
          <w:tcPr>
            <w:tcW w:w="8092" w:type="dxa"/>
            <w:vAlign w:val="center"/>
          </w:tcPr>
          <w:p w14:paraId="34AE4FC1">
            <w:pPr>
              <w:pStyle w:val="30"/>
              <w:widowControl w:val="0"/>
              <w:bidi w:val="0"/>
              <w:rPr>
                <w:color w:val="auto"/>
                <w:lang w:val="en-US" w:eastAsia="en-US"/>
              </w:rPr>
            </w:pPr>
            <w:r>
              <w:rPr>
                <w:color w:val="auto"/>
                <w:lang w:val="en-US" w:eastAsia="en-US"/>
              </w:rPr>
              <w:t>发生事故时，危险物质泄漏到内陆水体的排放点下游（顺水流向）10km范围内、近岸海域一个潮周期水质点可能达到的最大水平距离的两倍范围内，有如下一类或多类环境风险受体的：水产养殖区；天然渔场；森林公园；地质公园；海滨风景游览区；具有重要经济价值的海洋生物生存区域</w:t>
            </w:r>
          </w:p>
        </w:tc>
      </w:tr>
      <w:tr w14:paraId="23BD78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824" w:type="dxa"/>
            <w:shd w:val="clear" w:color="auto" w:fill="D7D7D7" w:themeFill="background1" w:themeFillShade="D8"/>
            <w:vAlign w:val="center"/>
          </w:tcPr>
          <w:p w14:paraId="6909528C">
            <w:pPr>
              <w:pStyle w:val="30"/>
              <w:widowControl w:val="0"/>
              <w:bidi w:val="0"/>
              <w:rPr>
                <w:color w:val="auto"/>
                <w:lang w:val="en-US" w:eastAsia="en-US"/>
              </w:rPr>
            </w:pPr>
            <w:r>
              <w:rPr>
                <w:color w:val="auto"/>
                <w:lang w:val="en-US" w:eastAsia="en-US"/>
              </w:rPr>
              <w:t>S3</w:t>
            </w:r>
          </w:p>
        </w:tc>
        <w:tc>
          <w:tcPr>
            <w:tcW w:w="8092" w:type="dxa"/>
            <w:shd w:val="clear" w:color="auto" w:fill="D7D7D7" w:themeFill="background1" w:themeFillShade="D8"/>
            <w:vAlign w:val="center"/>
          </w:tcPr>
          <w:p w14:paraId="70D3C1E0">
            <w:pPr>
              <w:pStyle w:val="30"/>
              <w:widowControl w:val="0"/>
              <w:bidi w:val="0"/>
              <w:rPr>
                <w:color w:val="auto"/>
                <w:lang w:val="en-US" w:eastAsia="en-US"/>
              </w:rPr>
            </w:pPr>
            <w:r>
              <w:rPr>
                <w:color w:val="auto"/>
                <w:lang w:val="en-US" w:eastAsia="en-US"/>
              </w:rPr>
              <w:t>排放点下游（顺水流向）10km范围、近岸海域一个潮周期水质点可能达到的最大水平距离的两倍范围内无上述类型1和类型2包括的敏感保护目标</w:t>
            </w:r>
          </w:p>
        </w:tc>
      </w:tr>
    </w:tbl>
    <w:p w14:paraId="571EB211">
      <w:pPr>
        <w:bidi w:val="0"/>
        <w:ind w:firstLine="480" w:firstLineChars="200"/>
        <w:rPr>
          <w:color w:val="auto"/>
        </w:rPr>
      </w:pPr>
      <w:r>
        <w:rPr>
          <w:color w:val="auto"/>
        </w:rPr>
        <w:t>发生事故时进入店埠河，店埠河位于厂区西侧，排放点下游10km范围内无特别敏感点分布，本项目地表水环境敏感目标为S3。</w:t>
      </w:r>
    </w:p>
    <w:p w14:paraId="5BDB1AB5">
      <w:pPr>
        <w:bidi w:val="0"/>
        <w:jc w:val="center"/>
        <w:rPr>
          <w:b/>
          <w:bCs/>
        </w:rPr>
      </w:pPr>
      <w:r>
        <w:rPr>
          <w:b/>
          <w:bCs/>
        </w:rPr>
        <w:t>表2.4-</w:t>
      </w:r>
      <w:r>
        <w:rPr>
          <w:rFonts w:hint="eastAsia"/>
          <w:b/>
          <w:bCs/>
          <w:lang w:val="en-US" w:eastAsia="zh-CN"/>
        </w:rPr>
        <w:t xml:space="preserve">22 </w:t>
      </w:r>
      <w:r>
        <w:rPr>
          <w:b/>
          <w:bCs/>
        </w:rPr>
        <w:t>地表水环境敏感程度分级</w:t>
      </w:r>
    </w:p>
    <w:tbl>
      <w:tblPr>
        <w:tblStyle w:val="25"/>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78"/>
        <w:gridCol w:w="2102"/>
        <w:gridCol w:w="2312"/>
        <w:gridCol w:w="2169"/>
      </w:tblGrid>
      <w:tr w14:paraId="6AE1E2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46" w:type="dxa"/>
            <w:vMerge w:val="restart"/>
            <w:tcBorders>
              <w:bottom w:val="nil"/>
            </w:tcBorders>
            <w:vAlign w:val="center"/>
          </w:tcPr>
          <w:p w14:paraId="05AB47B9">
            <w:pPr>
              <w:pStyle w:val="30"/>
              <w:widowControl w:val="0"/>
              <w:bidi w:val="0"/>
              <w:rPr>
                <w:b/>
                <w:bCs/>
                <w:color w:val="auto"/>
                <w:lang w:val="en-US" w:eastAsia="en-US"/>
              </w:rPr>
            </w:pPr>
            <w:r>
              <w:rPr>
                <w:b/>
                <w:bCs/>
                <w:color w:val="auto"/>
                <w:lang w:val="en-US" w:eastAsia="en-US"/>
              </w:rPr>
              <w:t>环境敏感目标</w:t>
            </w:r>
          </w:p>
        </w:tc>
        <w:tc>
          <w:tcPr>
            <w:tcW w:w="6270" w:type="dxa"/>
            <w:gridSpan w:val="3"/>
            <w:vAlign w:val="center"/>
          </w:tcPr>
          <w:p w14:paraId="4668C103">
            <w:pPr>
              <w:pStyle w:val="30"/>
              <w:widowControl w:val="0"/>
              <w:bidi w:val="0"/>
              <w:rPr>
                <w:b/>
                <w:bCs/>
                <w:color w:val="auto"/>
                <w:lang w:val="en-US" w:eastAsia="en-US"/>
              </w:rPr>
            </w:pPr>
            <w:r>
              <w:rPr>
                <w:b/>
                <w:bCs/>
                <w:color w:val="auto"/>
                <w:lang w:val="en-US" w:eastAsia="en-US"/>
              </w:rPr>
              <w:t>地表水功能敏感性</w:t>
            </w:r>
          </w:p>
        </w:tc>
      </w:tr>
      <w:tr w14:paraId="18C248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46" w:type="dxa"/>
            <w:vMerge w:val="continue"/>
            <w:tcBorders>
              <w:top w:val="nil"/>
            </w:tcBorders>
            <w:vAlign w:val="center"/>
          </w:tcPr>
          <w:p w14:paraId="5A32FD9F">
            <w:pPr>
              <w:pStyle w:val="30"/>
              <w:widowControl w:val="0"/>
              <w:bidi w:val="0"/>
              <w:rPr>
                <w:b/>
                <w:bCs/>
                <w:color w:val="auto"/>
                <w:lang w:val="en-US" w:eastAsia="en-US"/>
              </w:rPr>
            </w:pPr>
          </w:p>
        </w:tc>
        <w:tc>
          <w:tcPr>
            <w:tcW w:w="2002" w:type="dxa"/>
            <w:vAlign w:val="center"/>
          </w:tcPr>
          <w:p w14:paraId="563BB574">
            <w:pPr>
              <w:pStyle w:val="30"/>
              <w:widowControl w:val="0"/>
              <w:bidi w:val="0"/>
              <w:rPr>
                <w:b/>
                <w:bCs/>
                <w:color w:val="auto"/>
                <w:lang w:val="en-US" w:eastAsia="en-US"/>
              </w:rPr>
            </w:pPr>
            <w:r>
              <w:rPr>
                <w:b/>
                <w:bCs/>
                <w:color w:val="auto"/>
                <w:lang w:val="en-US" w:eastAsia="en-US"/>
              </w:rPr>
              <w:t>F1</w:t>
            </w:r>
          </w:p>
        </w:tc>
        <w:tc>
          <w:tcPr>
            <w:tcW w:w="2202" w:type="dxa"/>
            <w:vAlign w:val="center"/>
          </w:tcPr>
          <w:p w14:paraId="6EFCBA02">
            <w:pPr>
              <w:pStyle w:val="30"/>
              <w:widowControl w:val="0"/>
              <w:bidi w:val="0"/>
              <w:rPr>
                <w:b/>
                <w:bCs/>
                <w:color w:val="auto"/>
                <w:lang w:val="en-US" w:eastAsia="en-US"/>
              </w:rPr>
            </w:pPr>
            <w:r>
              <w:rPr>
                <w:b/>
                <w:bCs/>
                <w:color w:val="auto"/>
                <w:lang w:val="en-US" w:eastAsia="en-US"/>
              </w:rPr>
              <w:t>F2</w:t>
            </w:r>
          </w:p>
        </w:tc>
        <w:tc>
          <w:tcPr>
            <w:tcW w:w="2066" w:type="dxa"/>
            <w:vAlign w:val="center"/>
          </w:tcPr>
          <w:p w14:paraId="63E22313">
            <w:pPr>
              <w:pStyle w:val="30"/>
              <w:widowControl w:val="0"/>
              <w:bidi w:val="0"/>
              <w:rPr>
                <w:b/>
                <w:bCs/>
                <w:color w:val="auto"/>
                <w:lang w:val="en-US" w:eastAsia="en-US"/>
              </w:rPr>
            </w:pPr>
            <w:r>
              <w:rPr>
                <w:b/>
                <w:bCs/>
                <w:color w:val="auto"/>
                <w:lang w:val="en-US" w:eastAsia="en-US"/>
              </w:rPr>
              <w:t>F3</w:t>
            </w:r>
          </w:p>
        </w:tc>
      </w:tr>
      <w:tr w14:paraId="35DA13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46" w:type="dxa"/>
            <w:vAlign w:val="center"/>
          </w:tcPr>
          <w:p w14:paraId="503D6C62">
            <w:pPr>
              <w:pStyle w:val="30"/>
              <w:widowControl w:val="0"/>
              <w:bidi w:val="0"/>
              <w:rPr>
                <w:color w:val="auto"/>
                <w:lang w:val="en-US" w:eastAsia="en-US"/>
              </w:rPr>
            </w:pPr>
            <w:r>
              <w:rPr>
                <w:color w:val="auto"/>
                <w:lang w:val="en-US" w:eastAsia="en-US"/>
              </w:rPr>
              <w:t>S1</w:t>
            </w:r>
          </w:p>
        </w:tc>
        <w:tc>
          <w:tcPr>
            <w:tcW w:w="2002" w:type="dxa"/>
            <w:vAlign w:val="center"/>
          </w:tcPr>
          <w:p w14:paraId="69E36A96">
            <w:pPr>
              <w:pStyle w:val="30"/>
              <w:widowControl w:val="0"/>
              <w:bidi w:val="0"/>
              <w:rPr>
                <w:color w:val="auto"/>
                <w:lang w:val="en-US" w:eastAsia="en-US"/>
              </w:rPr>
            </w:pPr>
            <w:r>
              <w:rPr>
                <w:color w:val="auto"/>
                <w:lang w:val="en-US" w:eastAsia="en-US"/>
              </w:rPr>
              <w:t>E1</w:t>
            </w:r>
          </w:p>
        </w:tc>
        <w:tc>
          <w:tcPr>
            <w:tcW w:w="2202" w:type="dxa"/>
            <w:vAlign w:val="center"/>
          </w:tcPr>
          <w:p w14:paraId="6C94A56D">
            <w:pPr>
              <w:pStyle w:val="30"/>
              <w:widowControl w:val="0"/>
              <w:bidi w:val="0"/>
              <w:rPr>
                <w:color w:val="auto"/>
                <w:lang w:val="en-US" w:eastAsia="en-US"/>
              </w:rPr>
            </w:pPr>
            <w:r>
              <w:rPr>
                <w:color w:val="auto"/>
                <w:lang w:val="en-US" w:eastAsia="en-US"/>
              </w:rPr>
              <w:t>E1</w:t>
            </w:r>
          </w:p>
        </w:tc>
        <w:tc>
          <w:tcPr>
            <w:tcW w:w="2066" w:type="dxa"/>
            <w:vAlign w:val="center"/>
          </w:tcPr>
          <w:p w14:paraId="00F34A47">
            <w:pPr>
              <w:pStyle w:val="30"/>
              <w:widowControl w:val="0"/>
              <w:bidi w:val="0"/>
              <w:rPr>
                <w:color w:val="auto"/>
                <w:lang w:val="en-US" w:eastAsia="en-US"/>
              </w:rPr>
            </w:pPr>
            <w:r>
              <w:rPr>
                <w:color w:val="auto"/>
                <w:lang w:val="en-US" w:eastAsia="en-US"/>
              </w:rPr>
              <w:t>E2</w:t>
            </w:r>
          </w:p>
        </w:tc>
      </w:tr>
      <w:tr w14:paraId="59F6C3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46" w:type="dxa"/>
            <w:vAlign w:val="center"/>
          </w:tcPr>
          <w:p w14:paraId="0CF3FED0">
            <w:pPr>
              <w:pStyle w:val="30"/>
              <w:widowControl w:val="0"/>
              <w:bidi w:val="0"/>
              <w:rPr>
                <w:color w:val="auto"/>
                <w:lang w:val="en-US" w:eastAsia="en-US"/>
              </w:rPr>
            </w:pPr>
            <w:r>
              <w:rPr>
                <w:color w:val="auto"/>
                <w:lang w:val="en-US" w:eastAsia="en-US"/>
              </w:rPr>
              <w:t>S2</w:t>
            </w:r>
          </w:p>
        </w:tc>
        <w:tc>
          <w:tcPr>
            <w:tcW w:w="2002" w:type="dxa"/>
            <w:vAlign w:val="center"/>
          </w:tcPr>
          <w:p w14:paraId="5BF39A8E">
            <w:pPr>
              <w:pStyle w:val="30"/>
              <w:widowControl w:val="0"/>
              <w:bidi w:val="0"/>
              <w:rPr>
                <w:color w:val="auto"/>
                <w:lang w:val="en-US" w:eastAsia="en-US"/>
              </w:rPr>
            </w:pPr>
            <w:r>
              <w:rPr>
                <w:color w:val="auto"/>
                <w:lang w:val="en-US" w:eastAsia="en-US"/>
              </w:rPr>
              <w:t>E1</w:t>
            </w:r>
          </w:p>
        </w:tc>
        <w:tc>
          <w:tcPr>
            <w:tcW w:w="2202" w:type="dxa"/>
            <w:shd w:val="clear" w:color="auto" w:fill="auto"/>
            <w:vAlign w:val="center"/>
          </w:tcPr>
          <w:p w14:paraId="194F55BF">
            <w:pPr>
              <w:pStyle w:val="30"/>
              <w:widowControl w:val="0"/>
              <w:bidi w:val="0"/>
              <w:rPr>
                <w:color w:val="auto"/>
                <w:lang w:val="en-US" w:eastAsia="en-US"/>
              </w:rPr>
            </w:pPr>
            <w:r>
              <w:rPr>
                <w:color w:val="auto"/>
                <w:lang w:val="en-US" w:eastAsia="en-US"/>
              </w:rPr>
              <w:t>E2</w:t>
            </w:r>
          </w:p>
        </w:tc>
        <w:tc>
          <w:tcPr>
            <w:tcW w:w="2066" w:type="dxa"/>
            <w:vAlign w:val="center"/>
          </w:tcPr>
          <w:p w14:paraId="0FF161E0">
            <w:pPr>
              <w:pStyle w:val="30"/>
              <w:widowControl w:val="0"/>
              <w:bidi w:val="0"/>
              <w:rPr>
                <w:color w:val="auto"/>
                <w:lang w:val="en-US" w:eastAsia="en-US"/>
              </w:rPr>
            </w:pPr>
            <w:r>
              <w:rPr>
                <w:color w:val="auto"/>
                <w:lang w:val="en-US" w:eastAsia="en-US"/>
              </w:rPr>
              <w:t>E3</w:t>
            </w:r>
          </w:p>
        </w:tc>
      </w:tr>
      <w:tr w14:paraId="7BC544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646" w:type="dxa"/>
            <w:vAlign w:val="center"/>
          </w:tcPr>
          <w:p w14:paraId="5F5AAA22">
            <w:pPr>
              <w:pStyle w:val="30"/>
              <w:widowControl w:val="0"/>
              <w:bidi w:val="0"/>
              <w:rPr>
                <w:color w:val="auto"/>
                <w:lang w:val="en-US" w:eastAsia="en-US"/>
              </w:rPr>
            </w:pPr>
            <w:r>
              <w:rPr>
                <w:color w:val="auto"/>
                <w:lang w:val="en-US" w:eastAsia="en-US"/>
              </w:rPr>
              <w:t>S3</w:t>
            </w:r>
          </w:p>
        </w:tc>
        <w:tc>
          <w:tcPr>
            <w:tcW w:w="2002" w:type="dxa"/>
            <w:vAlign w:val="center"/>
          </w:tcPr>
          <w:p w14:paraId="7E9B5839">
            <w:pPr>
              <w:pStyle w:val="30"/>
              <w:widowControl w:val="0"/>
              <w:bidi w:val="0"/>
              <w:rPr>
                <w:color w:val="auto"/>
                <w:lang w:val="en-US" w:eastAsia="en-US"/>
              </w:rPr>
            </w:pPr>
            <w:r>
              <w:rPr>
                <w:color w:val="auto"/>
                <w:lang w:val="en-US" w:eastAsia="en-US"/>
              </w:rPr>
              <w:t>E1</w:t>
            </w:r>
          </w:p>
        </w:tc>
        <w:tc>
          <w:tcPr>
            <w:tcW w:w="2202" w:type="dxa"/>
            <w:shd w:val="clear" w:color="auto" w:fill="auto"/>
            <w:vAlign w:val="center"/>
          </w:tcPr>
          <w:p w14:paraId="28AD4BA4">
            <w:pPr>
              <w:pStyle w:val="30"/>
              <w:widowControl w:val="0"/>
              <w:bidi w:val="0"/>
              <w:rPr>
                <w:color w:val="auto"/>
                <w:lang w:val="en-US" w:eastAsia="en-US"/>
              </w:rPr>
            </w:pPr>
            <w:r>
              <w:rPr>
                <w:color w:val="auto"/>
                <w:lang w:val="en-US" w:eastAsia="en-US"/>
              </w:rPr>
              <w:t>E2</w:t>
            </w:r>
          </w:p>
        </w:tc>
        <w:tc>
          <w:tcPr>
            <w:tcW w:w="2066" w:type="dxa"/>
            <w:shd w:val="clear" w:color="auto" w:fill="D7D7D7" w:themeFill="background1" w:themeFillShade="D8"/>
            <w:vAlign w:val="center"/>
          </w:tcPr>
          <w:p w14:paraId="3EE96E10">
            <w:pPr>
              <w:pStyle w:val="30"/>
              <w:widowControl w:val="0"/>
              <w:bidi w:val="0"/>
              <w:rPr>
                <w:color w:val="auto"/>
                <w:lang w:val="en-US" w:eastAsia="en-US"/>
              </w:rPr>
            </w:pPr>
            <w:r>
              <w:rPr>
                <w:color w:val="auto"/>
                <w:lang w:val="en-US" w:eastAsia="en-US"/>
              </w:rPr>
              <w:t>E3</w:t>
            </w:r>
          </w:p>
        </w:tc>
      </w:tr>
    </w:tbl>
    <w:p w14:paraId="3590C39E">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综上，对照（HJ169-2018）附录D表D.1，判断本项目地表水环境敏感程度为E3。</w:t>
      </w:r>
    </w:p>
    <w:p w14:paraId="7CD5FD24">
      <w:pPr>
        <w:keepNext w:val="0"/>
        <w:keepLines w:val="0"/>
        <w:pageBreakBefore w:val="0"/>
        <w:widowControl/>
        <w:kinsoku/>
        <w:wordWrap/>
        <w:overflowPunct/>
        <w:topLinePunct w:val="0"/>
        <w:autoSpaceDE/>
        <w:autoSpaceDN/>
        <w:bidi w:val="0"/>
        <w:adjustRightInd/>
        <w:snapToGrid/>
        <w:ind w:firstLine="480" w:firstLineChars="200"/>
        <w:textAlignment w:val="auto"/>
        <w:rPr>
          <w:color w:val="auto"/>
        </w:rPr>
      </w:pPr>
      <w:r>
        <w:rPr>
          <w:color w:val="auto"/>
        </w:rPr>
        <w:t>（3）环境风险潜势判断</w:t>
      </w:r>
    </w:p>
    <w:p w14:paraId="1DF2C05F">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color w:val="auto"/>
          <w:lang w:eastAsia="zh-CN"/>
        </w:rPr>
      </w:pPr>
      <w:r>
        <w:rPr>
          <w:rFonts w:ascii="Times New Roman" w:hAnsi="Times New Roman" w:cs="Times New Roman"/>
        </w:rPr>
        <w:t>根据《建设项目环境风险评价技术导则》</w:t>
      </w:r>
      <w:r>
        <w:rPr>
          <w:rFonts w:hint="eastAsia" w:cs="Times New Roman"/>
          <w:lang w:eastAsia="zh-CN"/>
        </w:rPr>
        <w:t>（</w:t>
      </w:r>
      <w:r>
        <w:rPr>
          <w:rFonts w:ascii="Times New Roman" w:hAnsi="Times New Roman" w:cs="Times New Roman"/>
        </w:rPr>
        <w:t>HJ 169-2018</w:t>
      </w:r>
      <w:r>
        <w:rPr>
          <w:rFonts w:hint="eastAsia" w:cs="Times New Roman"/>
          <w:lang w:eastAsia="zh-CN"/>
        </w:rPr>
        <w:t>）</w:t>
      </w:r>
      <w:r>
        <w:rPr>
          <w:rFonts w:ascii="Times New Roman" w:hAnsi="Times New Roman" w:cs="Times New Roman"/>
        </w:rPr>
        <w:t>，建设项目环境风险潜势划分主要依据项目涉及的物质及工艺系统危险性和所在地的环境敏感性判定。具体见下表。</w:t>
      </w:r>
    </w:p>
    <w:p w14:paraId="1A7FCEE9">
      <w:pPr>
        <w:bidi w:val="0"/>
        <w:jc w:val="center"/>
        <w:rPr>
          <w:b/>
          <w:bCs/>
        </w:rPr>
      </w:pPr>
      <w:r>
        <w:rPr>
          <w:b/>
          <w:bCs/>
        </w:rPr>
        <w:t>表2.4-2</w:t>
      </w:r>
      <w:r>
        <w:rPr>
          <w:rFonts w:hint="eastAsia"/>
          <w:b/>
          <w:bCs/>
          <w:lang w:val="en-US" w:eastAsia="zh-CN"/>
        </w:rPr>
        <w:t xml:space="preserve">3 </w:t>
      </w:r>
      <w:r>
        <w:rPr>
          <w:b/>
          <w:bCs/>
        </w:rPr>
        <w:t>本项目环境风险潜势划分</w:t>
      </w:r>
    </w:p>
    <w:tbl>
      <w:tblPr>
        <w:tblStyle w:val="25"/>
        <w:tblW w:w="5003"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724"/>
        <w:gridCol w:w="1660"/>
        <w:gridCol w:w="1657"/>
        <w:gridCol w:w="1660"/>
        <w:gridCol w:w="1666"/>
      </w:tblGrid>
      <w:tr w14:paraId="642F12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722" w:type="dxa"/>
            <w:vMerge w:val="restart"/>
            <w:tcBorders>
              <w:bottom w:val="nil"/>
            </w:tcBorders>
            <w:vAlign w:val="center"/>
          </w:tcPr>
          <w:p w14:paraId="21D50364">
            <w:pPr>
              <w:pStyle w:val="30"/>
              <w:widowControl w:val="0"/>
              <w:bidi w:val="0"/>
              <w:rPr>
                <w:b/>
                <w:bCs/>
                <w:color w:val="auto"/>
                <w:lang w:val="en-US" w:eastAsia="en-US"/>
              </w:rPr>
            </w:pPr>
            <w:r>
              <w:rPr>
                <w:b/>
                <w:bCs/>
                <w:color w:val="auto"/>
                <w:lang w:val="en-US" w:eastAsia="en-US"/>
              </w:rPr>
              <w:t>环境敏感程度（E）</w:t>
            </w:r>
          </w:p>
        </w:tc>
        <w:tc>
          <w:tcPr>
            <w:tcW w:w="6639" w:type="dxa"/>
            <w:gridSpan w:val="4"/>
            <w:vAlign w:val="center"/>
          </w:tcPr>
          <w:p w14:paraId="07B0F107">
            <w:pPr>
              <w:pStyle w:val="30"/>
              <w:widowControl w:val="0"/>
              <w:bidi w:val="0"/>
              <w:rPr>
                <w:b/>
                <w:bCs/>
                <w:color w:val="auto"/>
                <w:lang w:val="en-US" w:eastAsia="en-US"/>
              </w:rPr>
            </w:pPr>
            <w:r>
              <w:rPr>
                <w:b/>
                <w:bCs/>
                <w:color w:val="auto"/>
                <w:lang w:val="en-US" w:eastAsia="en-US"/>
              </w:rPr>
              <w:t>危险物质及工艺系统危险性（P）</w:t>
            </w:r>
          </w:p>
        </w:tc>
      </w:tr>
      <w:tr w14:paraId="103630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722" w:type="dxa"/>
            <w:vMerge w:val="continue"/>
            <w:tcBorders>
              <w:top w:val="nil"/>
            </w:tcBorders>
            <w:vAlign w:val="center"/>
          </w:tcPr>
          <w:p w14:paraId="0112850C">
            <w:pPr>
              <w:pStyle w:val="30"/>
              <w:widowControl w:val="0"/>
              <w:bidi w:val="0"/>
              <w:rPr>
                <w:b/>
                <w:bCs/>
                <w:color w:val="auto"/>
                <w:lang w:val="en-US" w:eastAsia="en-US"/>
              </w:rPr>
            </w:pPr>
          </w:p>
        </w:tc>
        <w:tc>
          <w:tcPr>
            <w:tcW w:w="1659" w:type="dxa"/>
            <w:vAlign w:val="center"/>
          </w:tcPr>
          <w:p w14:paraId="3C18995D">
            <w:pPr>
              <w:pStyle w:val="30"/>
              <w:widowControl w:val="0"/>
              <w:bidi w:val="0"/>
              <w:rPr>
                <w:b/>
                <w:bCs/>
                <w:color w:val="auto"/>
                <w:lang w:val="en-US" w:eastAsia="en-US"/>
              </w:rPr>
            </w:pPr>
            <w:r>
              <w:rPr>
                <w:b/>
                <w:bCs/>
                <w:color w:val="auto"/>
                <w:lang w:val="en-US" w:eastAsia="en-US"/>
              </w:rPr>
              <w:t>极高危害（P1）</w:t>
            </w:r>
          </w:p>
        </w:tc>
        <w:tc>
          <w:tcPr>
            <w:tcW w:w="1656" w:type="dxa"/>
            <w:vAlign w:val="center"/>
          </w:tcPr>
          <w:p w14:paraId="16CCB467">
            <w:pPr>
              <w:pStyle w:val="30"/>
              <w:widowControl w:val="0"/>
              <w:bidi w:val="0"/>
              <w:rPr>
                <w:b/>
                <w:bCs/>
                <w:color w:val="auto"/>
                <w:lang w:val="en-US" w:eastAsia="en-US"/>
              </w:rPr>
            </w:pPr>
            <w:r>
              <w:rPr>
                <w:b/>
                <w:bCs/>
                <w:color w:val="auto"/>
                <w:lang w:val="en-US" w:eastAsia="en-US"/>
              </w:rPr>
              <w:t>高度危害（P2）</w:t>
            </w:r>
          </w:p>
        </w:tc>
        <w:tc>
          <w:tcPr>
            <w:tcW w:w="1659" w:type="dxa"/>
            <w:vAlign w:val="center"/>
          </w:tcPr>
          <w:p w14:paraId="5F63662A">
            <w:pPr>
              <w:pStyle w:val="30"/>
              <w:widowControl w:val="0"/>
              <w:bidi w:val="0"/>
              <w:rPr>
                <w:b/>
                <w:bCs/>
                <w:color w:val="auto"/>
                <w:lang w:val="en-US" w:eastAsia="en-US"/>
              </w:rPr>
            </w:pPr>
            <w:r>
              <w:rPr>
                <w:b/>
                <w:bCs/>
                <w:color w:val="auto"/>
                <w:lang w:val="en-US" w:eastAsia="en-US"/>
              </w:rPr>
              <w:t>中毒危害（P3）</w:t>
            </w:r>
          </w:p>
        </w:tc>
        <w:tc>
          <w:tcPr>
            <w:tcW w:w="1665" w:type="dxa"/>
            <w:vAlign w:val="center"/>
          </w:tcPr>
          <w:p w14:paraId="01512641">
            <w:pPr>
              <w:pStyle w:val="30"/>
              <w:widowControl w:val="0"/>
              <w:bidi w:val="0"/>
              <w:rPr>
                <w:b/>
                <w:bCs/>
                <w:color w:val="auto"/>
                <w:lang w:val="en-US" w:eastAsia="en-US"/>
              </w:rPr>
            </w:pPr>
            <w:r>
              <w:rPr>
                <w:b/>
                <w:bCs/>
                <w:color w:val="auto"/>
                <w:lang w:val="en-US" w:eastAsia="en-US"/>
              </w:rPr>
              <w:t>轻度危害（P4）</w:t>
            </w:r>
          </w:p>
        </w:tc>
      </w:tr>
      <w:tr w14:paraId="797BBB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722" w:type="dxa"/>
            <w:vAlign w:val="center"/>
          </w:tcPr>
          <w:p w14:paraId="22779475">
            <w:pPr>
              <w:pStyle w:val="30"/>
              <w:widowControl w:val="0"/>
              <w:bidi w:val="0"/>
              <w:rPr>
                <w:color w:val="auto"/>
                <w:lang w:val="en-US" w:eastAsia="en-US"/>
              </w:rPr>
            </w:pPr>
            <w:r>
              <w:rPr>
                <w:color w:val="auto"/>
                <w:lang w:val="en-US" w:eastAsia="en-US"/>
              </w:rPr>
              <w:t>环境高度敏感区（E1）</w:t>
            </w:r>
          </w:p>
        </w:tc>
        <w:tc>
          <w:tcPr>
            <w:tcW w:w="1659" w:type="dxa"/>
            <w:vAlign w:val="center"/>
          </w:tcPr>
          <w:p w14:paraId="4DAB382F">
            <w:pPr>
              <w:pStyle w:val="30"/>
              <w:widowControl w:val="0"/>
              <w:bidi w:val="0"/>
              <w:rPr>
                <w:color w:val="auto"/>
                <w:lang w:val="en-US" w:eastAsia="en-US"/>
              </w:rPr>
            </w:pPr>
            <w:r>
              <w:rPr>
                <w:color w:val="auto"/>
                <w:lang w:val="en-US" w:eastAsia="en-US"/>
              </w:rPr>
              <w:t>IV+</w:t>
            </w:r>
          </w:p>
        </w:tc>
        <w:tc>
          <w:tcPr>
            <w:tcW w:w="1656" w:type="dxa"/>
            <w:vAlign w:val="center"/>
          </w:tcPr>
          <w:p w14:paraId="4AFEF050">
            <w:pPr>
              <w:pStyle w:val="30"/>
              <w:widowControl w:val="0"/>
              <w:bidi w:val="0"/>
              <w:rPr>
                <w:color w:val="auto"/>
                <w:lang w:val="en-US" w:eastAsia="en-US"/>
              </w:rPr>
            </w:pPr>
            <w:r>
              <w:rPr>
                <w:color w:val="auto"/>
                <w:lang w:val="en-US" w:eastAsia="en-US"/>
              </w:rPr>
              <w:t>IV</w:t>
            </w:r>
          </w:p>
        </w:tc>
        <w:tc>
          <w:tcPr>
            <w:tcW w:w="1659" w:type="dxa"/>
            <w:vAlign w:val="center"/>
          </w:tcPr>
          <w:p w14:paraId="7A6BDE57">
            <w:pPr>
              <w:pStyle w:val="30"/>
              <w:widowControl w:val="0"/>
              <w:bidi w:val="0"/>
              <w:rPr>
                <w:color w:val="auto"/>
                <w:lang w:val="en-US" w:eastAsia="en-US"/>
              </w:rPr>
            </w:pPr>
            <w:r>
              <w:rPr>
                <w:rFonts w:hint="eastAsia"/>
                <w:color w:val="auto"/>
                <w:lang w:val="en-US" w:eastAsia="zh-CN"/>
              </w:rPr>
              <w:t>Ⅲ</w:t>
            </w:r>
          </w:p>
        </w:tc>
        <w:tc>
          <w:tcPr>
            <w:tcW w:w="1665" w:type="dxa"/>
            <w:vAlign w:val="center"/>
          </w:tcPr>
          <w:p w14:paraId="12C848F6">
            <w:pPr>
              <w:pStyle w:val="30"/>
              <w:widowControl w:val="0"/>
              <w:bidi w:val="0"/>
              <w:rPr>
                <w:color w:val="auto"/>
                <w:lang w:val="en-US" w:eastAsia="en-US"/>
              </w:rPr>
            </w:pPr>
            <w:r>
              <w:rPr>
                <w:rFonts w:hint="eastAsia"/>
                <w:color w:val="auto"/>
                <w:lang w:val="en-US" w:eastAsia="zh-CN"/>
              </w:rPr>
              <w:t>Ⅲ</w:t>
            </w:r>
          </w:p>
        </w:tc>
      </w:tr>
      <w:tr w14:paraId="1C159B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722" w:type="dxa"/>
            <w:vAlign w:val="center"/>
          </w:tcPr>
          <w:p w14:paraId="4DCC0B19">
            <w:pPr>
              <w:pStyle w:val="30"/>
              <w:widowControl w:val="0"/>
              <w:bidi w:val="0"/>
              <w:rPr>
                <w:color w:val="auto"/>
                <w:lang w:val="en-US" w:eastAsia="en-US"/>
              </w:rPr>
            </w:pPr>
            <w:r>
              <w:rPr>
                <w:color w:val="auto"/>
                <w:lang w:val="en-US" w:eastAsia="en-US"/>
              </w:rPr>
              <w:t>环境中度敏感区（E2）</w:t>
            </w:r>
          </w:p>
        </w:tc>
        <w:tc>
          <w:tcPr>
            <w:tcW w:w="1659" w:type="dxa"/>
            <w:vAlign w:val="center"/>
          </w:tcPr>
          <w:p w14:paraId="65D05B80">
            <w:pPr>
              <w:pStyle w:val="30"/>
              <w:widowControl w:val="0"/>
              <w:bidi w:val="0"/>
              <w:rPr>
                <w:color w:val="auto"/>
                <w:lang w:val="en-US" w:eastAsia="en-US"/>
              </w:rPr>
            </w:pPr>
            <w:r>
              <w:rPr>
                <w:color w:val="auto"/>
                <w:lang w:val="en-US" w:eastAsia="en-US"/>
              </w:rPr>
              <w:t>IV</w:t>
            </w:r>
          </w:p>
        </w:tc>
        <w:tc>
          <w:tcPr>
            <w:tcW w:w="1656" w:type="dxa"/>
            <w:vAlign w:val="center"/>
          </w:tcPr>
          <w:p w14:paraId="63B2715E">
            <w:pPr>
              <w:pStyle w:val="30"/>
              <w:widowControl w:val="0"/>
              <w:bidi w:val="0"/>
              <w:rPr>
                <w:color w:val="auto"/>
                <w:lang w:val="en-US" w:eastAsia="en-US"/>
              </w:rPr>
            </w:pPr>
            <w:r>
              <w:rPr>
                <w:rFonts w:hint="eastAsia"/>
                <w:color w:val="auto"/>
                <w:lang w:val="en-US" w:eastAsia="zh-CN"/>
              </w:rPr>
              <w:t>Ⅲ</w:t>
            </w:r>
          </w:p>
        </w:tc>
        <w:tc>
          <w:tcPr>
            <w:tcW w:w="1659" w:type="dxa"/>
            <w:vAlign w:val="center"/>
          </w:tcPr>
          <w:p w14:paraId="70B4D5F3">
            <w:pPr>
              <w:pStyle w:val="30"/>
              <w:widowControl w:val="0"/>
              <w:bidi w:val="0"/>
              <w:rPr>
                <w:color w:val="auto"/>
                <w:lang w:val="en-US" w:eastAsia="en-US"/>
              </w:rPr>
            </w:pPr>
            <w:r>
              <w:rPr>
                <w:rFonts w:hint="eastAsia"/>
                <w:color w:val="auto"/>
                <w:lang w:val="en-US" w:eastAsia="zh-CN"/>
              </w:rPr>
              <w:t>Ⅲ</w:t>
            </w:r>
          </w:p>
        </w:tc>
        <w:tc>
          <w:tcPr>
            <w:tcW w:w="1665" w:type="dxa"/>
            <w:vAlign w:val="center"/>
          </w:tcPr>
          <w:p w14:paraId="25A7A924">
            <w:pPr>
              <w:pStyle w:val="30"/>
              <w:widowControl w:val="0"/>
              <w:bidi w:val="0"/>
              <w:rPr>
                <w:color w:val="auto"/>
                <w:lang w:val="en-US" w:eastAsia="en-US"/>
              </w:rPr>
            </w:pPr>
            <w:r>
              <w:rPr>
                <w:color w:val="auto"/>
                <w:lang w:val="en-US" w:eastAsia="en-US"/>
              </w:rPr>
              <w:t>II</w:t>
            </w:r>
          </w:p>
        </w:tc>
      </w:tr>
      <w:tr w14:paraId="739E5E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722" w:type="dxa"/>
            <w:vAlign w:val="center"/>
          </w:tcPr>
          <w:p w14:paraId="4FC9305A">
            <w:pPr>
              <w:pStyle w:val="30"/>
              <w:widowControl w:val="0"/>
              <w:bidi w:val="0"/>
              <w:rPr>
                <w:color w:val="auto"/>
                <w:lang w:val="en-US" w:eastAsia="en-US"/>
              </w:rPr>
            </w:pPr>
            <w:r>
              <w:rPr>
                <w:color w:val="auto"/>
                <w:lang w:val="en-US" w:eastAsia="en-US"/>
              </w:rPr>
              <w:t>环境低度敏感区（E3）</w:t>
            </w:r>
          </w:p>
        </w:tc>
        <w:tc>
          <w:tcPr>
            <w:tcW w:w="1659" w:type="dxa"/>
            <w:vAlign w:val="center"/>
          </w:tcPr>
          <w:p w14:paraId="31EA08CA">
            <w:pPr>
              <w:pStyle w:val="30"/>
              <w:widowControl w:val="0"/>
              <w:bidi w:val="0"/>
              <w:rPr>
                <w:color w:val="auto"/>
                <w:lang w:val="en-US" w:eastAsia="en-US"/>
              </w:rPr>
            </w:pPr>
            <w:r>
              <w:rPr>
                <w:rFonts w:hint="eastAsia"/>
                <w:color w:val="auto"/>
                <w:lang w:val="en-US" w:eastAsia="zh-CN"/>
              </w:rPr>
              <w:t>Ⅲ</w:t>
            </w:r>
          </w:p>
        </w:tc>
        <w:tc>
          <w:tcPr>
            <w:tcW w:w="1656" w:type="dxa"/>
            <w:vAlign w:val="center"/>
          </w:tcPr>
          <w:p w14:paraId="570070AD">
            <w:pPr>
              <w:pStyle w:val="30"/>
              <w:widowControl w:val="0"/>
              <w:bidi w:val="0"/>
              <w:rPr>
                <w:color w:val="auto"/>
                <w:lang w:val="en-US" w:eastAsia="en-US"/>
              </w:rPr>
            </w:pPr>
            <w:r>
              <w:rPr>
                <w:rFonts w:hint="eastAsia"/>
                <w:color w:val="auto"/>
                <w:lang w:val="en-US" w:eastAsia="zh-CN"/>
              </w:rPr>
              <w:t>Ⅲ</w:t>
            </w:r>
          </w:p>
        </w:tc>
        <w:tc>
          <w:tcPr>
            <w:tcW w:w="1659" w:type="dxa"/>
            <w:vAlign w:val="center"/>
          </w:tcPr>
          <w:p w14:paraId="54966AAA">
            <w:pPr>
              <w:pStyle w:val="30"/>
              <w:widowControl w:val="0"/>
              <w:bidi w:val="0"/>
              <w:rPr>
                <w:color w:val="auto"/>
                <w:lang w:val="en-US" w:eastAsia="en-US"/>
              </w:rPr>
            </w:pPr>
            <w:r>
              <w:rPr>
                <w:color w:val="auto"/>
                <w:lang w:val="en-US" w:eastAsia="en-US"/>
              </w:rPr>
              <w:t>II</w:t>
            </w:r>
          </w:p>
        </w:tc>
        <w:tc>
          <w:tcPr>
            <w:tcW w:w="1665" w:type="dxa"/>
            <w:vAlign w:val="center"/>
          </w:tcPr>
          <w:p w14:paraId="1F943048">
            <w:pPr>
              <w:pStyle w:val="30"/>
              <w:widowControl w:val="0"/>
              <w:bidi w:val="0"/>
              <w:rPr>
                <w:color w:val="auto"/>
                <w:lang w:val="en-US" w:eastAsia="en-US"/>
              </w:rPr>
            </w:pPr>
            <w:r>
              <w:rPr>
                <w:color w:val="auto"/>
                <w:lang w:val="en-US" w:eastAsia="en-US"/>
              </w:rPr>
              <w:t>I</w:t>
            </w:r>
          </w:p>
        </w:tc>
      </w:tr>
    </w:tbl>
    <w:p w14:paraId="117F8C47">
      <w:pPr>
        <w:bidi w:val="0"/>
        <w:ind w:firstLine="480" w:firstLineChars="200"/>
        <w:rPr>
          <w:color w:val="auto"/>
        </w:rPr>
      </w:pPr>
      <w:r>
        <w:rPr>
          <w:rFonts w:ascii="Times New Roman" w:hAnsi="Times New Roman" w:cs="Times New Roman"/>
        </w:rPr>
        <w:t>根据</w:t>
      </w:r>
      <w:r>
        <w:rPr>
          <w:rFonts w:hint="eastAsia" w:ascii="Times New Roman" w:hAnsi="Times New Roman" w:cs="Times New Roman"/>
          <w:lang w:val="en-US" w:eastAsia="zh-CN"/>
        </w:rPr>
        <w:t>上述</w:t>
      </w:r>
      <w:r>
        <w:rPr>
          <w:rFonts w:ascii="Times New Roman" w:hAnsi="Times New Roman" w:cs="Times New Roman"/>
        </w:rPr>
        <w:t>分析结果，项目危险物质及工艺系统危险性为</w:t>
      </w:r>
      <w:r>
        <w:rPr>
          <w:rFonts w:hint="eastAsia" w:ascii="Times New Roman" w:hAnsi="Times New Roman" w:cs="Times New Roman"/>
          <w:lang w:val="en-US" w:eastAsia="zh-CN"/>
        </w:rPr>
        <w:t>P1级</w:t>
      </w:r>
      <w:r>
        <w:rPr>
          <w:rFonts w:ascii="Times New Roman" w:hAnsi="Times New Roman" w:cs="Times New Roman"/>
        </w:rPr>
        <w:t>，大气环境敏感程度为E</w:t>
      </w:r>
      <w:r>
        <w:rPr>
          <w:rFonts w:hint="eastAsia" w:ascii="Times New Roman" w:hAnsi="Times New Roman" w:cs="Times New Roman"/>
          <w:lang w:val="en-US" w:eastAsia="zh-CN"/>
        </w:rPr>
        <w:t>2</w:t>
      </w:r>
      <w:r>
        <w:rPr>
          <w:rFonts w:hint="eastAsia" w:ascii="Times New Roman" w:hAnsi="Times New Roman" w:cs="Times New Roman"/>
          <w:lang w:eastAsia="zh-CN"/>
        </w:rPr>
        <w:t>级</w:t>
      </w:r>
      <w:r>
        <w:rPr>
          <w:rFonts w:ascii="Times New Roman" w:hAnsi="Times New Roman" w:cs="Times New Roman"/>
        </w:rPr>
        <w:t>，地表水环境敏感程度为E3级，地下水环境敏感程度为E3级。结合上表判定，</w:t>
      </w:r>
      <w:r>
        <w:rPr>
          <w:rFonts w:ascii="Times New Roman" w:hAnsi="Times New Roman" w:cs="Times New Roman"/>
          <w:spacing w:val="2"/>
        </w:rPr>
        <w:t>本项目大气环境风险</w:t>
      </w:r>
      <w:r>
        <w:rPr>
          <w:rFonts w:ascii="Times New Roman" w:hAnsi="Times New Roman" w:cs="Times New Roman"/>
          <w:spacing w:val="7"/>
        </w:rPr>
        <w:t>潜势为Ⅳ级，</w:t>
      </w:r>
      <w:r>
        <w:rPr>
          <w:rFonts w:ascii="Times New Roman" w:hAnsi="Times New Roman" w:cs="Times New Roman"/>
          <w:spacing w:val="2"/>
        </w:rPr>
        <w:t>地表水环境风险</w:t>
      </w:r>
      <w:r>
        <w:rPr>
          <w:rFonts w:ascii="Times New Roman" w:hAnsi="Times New Roman" w:cs="Times New Roman"/>
          <w:spacing w:val="7"/>
        </w:rPr>
        <w:t>潜势为</w:t>
      </w:r>
      <w:r>
        <w:rPr>
          <w:rFonts w:ascii="Times New Roman" w:hAnsi="Times New Roman" w:cs="Times New Roman"/>
        </w:rPr>
        <w:t>Ⅲ</w:t>
      </w:r>
      <w:r>
        <w:rPr>
          <w:rFonts w:ascii="Times New Roman" w:hAnsi="Times New Roman" w:cs="Times New Roman"/>
          <w:spacing w:val="7"/>
        </w:rPr>
        <w:t>级，</w:t>
      </w:r>
      <w:r>
        <w:rPr>
          <w:rFonts w:ascii="Times New Roman" w:hAnsi="Times New Roman" w:cs="Times New Roman"/>
          <w:spacing w:val="2"/>
        </w:rPr>
        <w:t>地下水环境风险</w:t>
      </w:r>
      <w:r>
        <w:rPr>
          <w:rFonts w:ascii="Times New Roman" w:hAnsi="Times New Roman" w:cs="Times New Roman"/>
          <w:spacing w:val="7"/>
        </w:rPr>
        <w:t>潜势为</w:t>
      </w:r>
      <w:r>
        <w:rPr>
          <w:rFonts w:ascii="Times New Roman" w:hAnsi="Times New Roman" w:cs="Times New Roman"/>
        </w:rPr>
        <w:t>Ⅲ</w:t>
      </w:r>
      <w:r>
        <w:rPr>
          <w:rFonts w:ascii="Times New Roman" w:hAnsi="Times New Roman" w:cs="Times New Roman"/>
          <w:spacing w:val="7"/>
        </w:rPr>
        <w:t>级</w:t>
      </w:r>
      <w:r>
        <w:rPr>
          <w:rFonts w:hint="eastAsia" w:ascii="Times New Roman" w:hAnsi="Times New Roman" w:cs="Times New Roman"/>
          <w:spacing w:val="7"/>
          <w:lang w:eastAsia="zh-CN"/>
        </w:rPr>
        <w:t>。</w:t>
      </w:r>
    </w:p>
    <w:p w14:paraId="7A7ABBB1">
      <w:pPr>
        <w:bidi w:val="0"/>
        <w:ind w:firstLine="480" w:firstLineChars="200"/>
        <w:rPr>
          <w:color w:val="auto"/>
        </w:rPr>
      </w:pPr>
      <w:r>
        <w:rPr>
          <w:color w:val="auto"/>
        </w:rPr>
        <w:t>（4）环境风险评价等级</w:t>
      </w:r>
    </w:p>
    <w:p w14:paraId="3F88AABE">
      <w:pPr>
        <w:bidi w:val="0"/>
        <w:ind w:firstLine="480" w:firstLineChars="200"/>
        <w:rPr>
          <w:color w:val="auto"/>
        </w:rPr>
      </w:pPr>
      <w:r>
        <w:rPr>
          <w:color w:val="auto"/>
        </w:rPr>
        <w:t>环境风险评价工作等级划分为一级、二级、三级。根据建设项目涉及的物质及工艺系统危险性和所在地的环境敏感性确定环境风险潜势，按照下表确定评价工作等级。风险潜势为</w:t>
      </w:r>
      <w:r>
        <w:rPr>
          <w:rFonts w:hint="eastAsia"/>
          <w:color w:val="auto"/>
          <w:lang w:eastAsia="zh-CN"/>
        </w:rPr>
        <w:t>Ⅳ</w:t>
      </w:r>
      <w:r>
        <w:rPr>
          <w:color w:val="auto"/>
        </w:rPr>
        <w:t>及以上，进行一级评价；风险潜势为</w:t>
      </w:r>
      <w:r>
        <w:rPr>
          <w:rFonts w:hint="eastAsia"/>
          <w:color w:val="auto"/>
          <w:lang w:eastAsia="zh-CN"/>
        </w:rPr>
        <w:t>Ⅲ</w:t>
      </w:r>
      <w:r>
        <w:rPr>
          <w:color w:val="auto"/>
        </w:rPr>
        <w:t>，进行二级评价；风险潜势为</w:t>
      </w:r>
      <w:r>
        <w:rPr>
          <w:rFonts w:hint="eastAsia"/>
          <w:color w:val="auto"/>
          <w:lang w:eastAsia="zh-CN"/>
        </w:rPr>
        <w:t>Ⅱ</w:t>
      </w:r>
      <w:r>
        <w:rPr>
          <w:color w:val="auto"/>
        </w:rPr>
        <w:t>，进行三级评价；风险潜势为I，可开展简单分析。</w:t>
      </w:r>
    </w:p>
    <w:p w14:paraId="45BE5385">
      <w:pPr>
        <w:bidi w:val="0"/>
        <w:jc w:val="center"/>
        <w:rPr>
          <w:b/>
          <w:bCs/>
        </w:rPr>
      </w:pPr>
      <w:r>
        <w:rPr>
          <w:b/>
          <w:bCs/>
        </w:rPr>
        <w:t>表2.4-2</w:t>
      </w:r>
      <w:r>
        <w:rPr>
          <w:rFonts w:hint="eastAsia"/>
          <w:b/>
          <w:bCs/>
          <w:lang w:val="en-US" w:eastAsia="zh-CN"/>
        </w:rPr>
        <w:t xml:space="preserve">4 </w:t>
      </w:r>
      <w:r>
        <w:rPr>
          <w:b/>
          <w:bCs/>
        </w:rPr>
        <w:t>评价工作等级划分表</w:t>
      </w:r>
    </w:p>
    <w:tbl>
      <w:tblPr>
        <w:tblStyle w:val="25"/>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557"/>
        <w:gridCol w:w="1923"/>
        <w:gridCol w:w="1659"/>
        <w:gridCol w:w="1083"/>
        <w:gridCol w:w="1558"/>
        <w:gridCol w:w="1581"/>
      </w:tblGrid>
      <w:tr w14:paraId="5689A8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517" w:type="dxa"/>
            <w:vAlign w:val="center"/>
          </w:tcPr>
          <w:p w14:paraId="09F5ED00">
            <w:pPr>
              <w:pStyle w:val="30"/>
              <w:widowControl w:val="0"/>
              <w:bidi w:val="0"/>
              <w:rPr>
                <w:b/>
                <w:bCs/>
                <w:color w:val="auto"/>
                <w:lang w:val="en-US" w:eastAsia="en-US"/>
              </w:rPr>
            </w:pPr>
            <w:r>
              <w:rPr>
                <w:b/>
                <w:bCs/>
                <w:color w:val="auto"/>
                <w:lang w:val="en-US" w:eastAsia="en-US"/>
              </w:rPr>
              <w:t>类别</w:t>
            </w:r>
          </w:p>
        </w:tc>
        <w:tc>
          <w:tcPr>
            <w:tcW w:w="1874" w:type="dxa"/>
            <w:vAlign w:val="center"/>
          </w:tcPr>
          <w:p w14:paraId="2CDA5B26">
            <w:pPr>
              <w:pStyle w:val="30"/>
              <w:widowControl w:val="0"/>
              <w:bidi w:val="0"/>
              <w:rPr>
                <w:b/>
                <w:bCs/>
                <w:color w:val="auto"/>
                <w:lang w:val="en-US" w:eastAsia="en-US"/>
              </w:rPr>
            </w:pPr>
            <w:r>
              <w:rPr>
                <w:b/>
                <w:bCs/>
                <w:color w:val="auto"/>
                <w:lang w:val="en-US" w:eastAsia="en-US"/>
              </w:rPr>
              <w:t>环境风险潜势</w:t>
            </w:r>
          </w:p>
        </w:tc>
        <w:tc>
          <w:tcPr>
            <w:tcW w:w="1617" w:type="dxa"/>
            <w:vAlign w:val="center"/>
          </w:tcPr>
          <w:p w14:paraId="085670F2">
            <w:pPr>
              <w:pStyle w:val="30"/>
              <w:widowControl w:val="0"/>
              <w:bidi w:val="0"/>
              <w:rPr>
                <w:b/>
                <w:bCs/>
                <w:color w:val="auto"/>
                <w:lang w:val="en-US" w:eastAsia="en-US"/>
              </w:rPr>
            </w:pPr>
            <w:r>
              <w:rPr>
                <w:rFonts w:hint="eastAsia"/>
                <w:b/>
                <w:bCs/>
                <w:color w:val="auto"/>
                <w:lang w:val="en-US" w:eastAsia="zh-CN"/>
              </w:rPr>
              <w:t>Ⅳ</w:t>
            </w:r>
            <w:r>
              <w:rPr>
                <w:b/>
                <w:bCs/>
                <w:color w:val="auto"/>
                <w:lang w:val="en-US" w:eastAsia="en-US"/>
              </w:rPr>
              <w:t>、</w:t>
            </w:r>
            <w:r>
              <w:rPr>
                <w:rFonts w:hint="eastAsia"/>
                <w:b/>
                <w:bCs/>
                <w:color w:val="auto"/>
                <w:lang w:val="en-US" w:eastAsia="zh-CN"/>
              </w:rPr>
              <w:t>Ⅳ</w:t>
            </w:r>
            <w:r>
              <w:rPr>
                <w:b/>
                <w:bCs/>
                <w:color w:val="auto"/>
                <w:lang w:val="en-US" w:eastAsia="en-US"/>
              </w:rPr>
              <w:t>+</w:t>
            </w:r>
          </w:p>
        </w:tc>
        <w:tc>
          <w:tcPr>
            <w:tcW w:w="1055" w:type="dxa"/>
            <w:vAlign w:val="center"/>
          </w:tcPr>
          <w:p w14:paraId="215080B8">
            <w:pPr>
              <w:pStyle w:val="30"/>
              <w:widowControl w:val="0"/>
              <w:bidi w:val="0"/>
              <w:rPr>
                <w:b/>
                <w:bCs/>
                <w:color w:val="auto"/>
                <w:lang w:val="en-US" w:eastAsia="en-US"/>
              </w:rPr>
            </w:pPr>
            <w:r>
              <w:rPr>
                <w:rFonts w:hint="eastAsia"/>
                <w:b/>
                <w:bCs/>
                <w:color w:val="auto"/>
                <w:lang w:val="en-US" w:eastAsia="zh-CN"/>
              </w:rPr>
              <w:t>Ⅲ</w:t>
            </w:r>
          </w:p>
        </w:tc>
        <w:tc>
          <w:tcPr>
            <w:tcW w:w="1518" w:type="dxa"/>
            <w:vAlign w:val="center"/>
          </w:tcPr>
          <w:p w14:paraId="78661636">
            <w:pPr>
              <w:pStyle w:val="30"/>
              <w:widowControl w:val="0"/>
              <w:bidi w:val="0"/>
              <w:rPr>
                <w:b/>
                <w:bCs/>
                <w:color w:val="auto"/>
                <w:lang w:val="en-US" w:eastAsia="en-US"/>
              </w:rPr>
            </w:pPr>
            <w:r>
              <w:rPr>
                <w:b/>
                <w:bCs/>
                <w:color w:val="auto"/>
                <w:lang w:val="en-US" w:eastAsia="en-US"/>
              </w:rPr>
              <w:t>II</w:t>
            </w:r>
          </w:p>
        </w:tc>
        <w:tc>
          <w:tcPr>
            <w:tcW w:w="1541" w:type="dxa"/>
            <w:vAlign w:val="center"/>
          </w:tcPr>
          <w:p w14:paraId="64D78716">
            <w:pPr>
              <w:pStyle w:val="30"/>
              <w:widowControl w:val="0"/>
              <w:bidi w:val="0"/>
              <w:rPr>
                <w:b/>
                <w:bCs/>
                <w:color w:val="auto"/>
                <w:lang w:val="en-US" w:eastAsia="en-US"/>
              </w:rPr>
            </w:pPr>
            <w:r>
              <w:rPr>
                <w:b/>
                <w:bCs/>
                <w:color w:val="auto"/>
                <w:lang w:val="en-US" w:eastAsia="en-US"/>
              </w:rPr>
              <w:t>I</w:t>
            </w:r>
          </w:p>
        </w:tc>
      </w:tr>
      <w:tr w14:paraId="4611E9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517" w:type="dxa"/>
            <w:vAlign w:val="center"/>
          </w:tcPr>
          <w:p w14:paraId="3A6C012A">
            <w:pPr>
              <w:pStyle w:val="30"/>
              <w:widowControl w:val="0"/>
              <w:bidi w:val="0"/>
              <w:rPr>
                <w:color w:val="auto"/>
                <w:lang w:val="en-US" w:eastAsia="en-US"/>
              </w:rPr>
            </w:pPr>
            <w:r>
              <w:rPr>
                <w:color w:val="auto"/>
                <w:lang w:val="en-US" w:eastAsia="en-US"/>
              </w:rPr>
              <w:t>环境空气</w:t>
            </w:r>
          </w:p>
        </w:tc>
        <w:tc>
          <w:tcPr>
            <w:tcW w:w="1874" w:type="dxa"/>
            <w:vAlign w:val="center"/>
          </w:tcPr>
          <w:p w14:paraId="278DF197">
            <w:pPr>
              <w:pStyle w:val="30"/>
              <w:widowControl w:val="0"/>
              <w:bidi w:val="0"/>
              <w:rPr>
                <w:color w:val="auto"/>
                <w:lang w:val="en-US" w:eastAsia="en-US"/>
              </w:rPr>
            </w:pPr>
            <w:r>
              <w:rPr>
                <w:color w:val="auto"/>
                <w:lang w:val="en-US" w:eastAsia="en-US"/>
              </w:rPr>
              <w:t>评价工作等级</w:t>
            </w:r>
          </w:p>
        </w:tc>
        <w:tc>
          <w:tcPr>
            <w:tcW w:w="1617" w:type="dxa"/>
            <w:vAlign w:val="center"/>
          </w:tcPr>
          <w:p w14:paraId="1318678E">
            <w:pPr>
              <w:pStyle w:val="30"/>
              <w:widowControl w:val="0"/>
              <w:bidi w:val="0"/>
              <w:rPr>
                <w:color w:val="auto"/>
                <w:lang w:val="en-US" w:eastAsia="en-US"/>
              </w:rPr>
            </w:pPr>
            <w:r>
              <w:rPr>
                <w:color w:val="auto"/>
                <w:lang w:val="en-US" w:eastAsia="en-US"/>
              </w:rPr>
              <w:t>一</w:t>
            </w:r>
          </w:p>
        </w:tc>
        <w:tc>
          <w:tcPr>
            <w:tcW w:w="1055" w:type="dxa"/>
            <w:vAlign w:val="center"/>
          </w:tcPr>
          <w:p w14:paraId="11E6D047">
            <w:pPr>
              <w:pStyle w:val="30"/>
              <w:widowControl w:val="0"/>
              <w:bidi w:val="0"/>
              <w:rPr>
                <w:color w:val="auto"/>
                <w:lang w:val="en-US" w:eastAsia="en-US"/>
              </w:rPr>
            </w:pPr>
            <w:r>
              <w:rPr>
                <w:color w:val="auto"/>
                <w:lang w:val="en-US" w:eastAsia="en-US"/>
              </w:rPr>
              <w:t>二</w:t>
            </w:r>
          </w:p>
        </w:tc>
        <w:tc>
          <w:tcPr>
            <w:tcW w:w="1518" w:type="dxa"/>
            <w:vAlign w:val="center"/>
          </w:tcPr>
          <w:p w14:paraId="4C8ECBED">
            <w:pPr>
              <w:pStyle w:val="30"/>
              <w:widowControl w:val="0"/>
              <w:bidi w:val="0"/>
              <w:rPr>
                <w:color w:val="auto"/>
                <w:lang w:val="en-US" w:eastAsia="en-US"/>
              </w:rPr>
            </w:pPr>
            <w:r>
              <w:rPr>
                <w:color w:val="auto"/>
                <w:lang w:val="en-US" w:eastAsia="en-US"/>
              </w:rPr>
              <w:t>三</w:t>
            </w:r>
          </w:p>
        </w:tc>
        <w:tc>
          <w:tcPr>
            <w:tcW w:w="1541" w:type="dxa"/>
            <w:vAlign w:val="center"/>
          </w:tcPr>
          <w:p w14:paraId="4699B4E9">
            <w:pPr>
              <w:pStyle w:val="30"/>
              <w:widowControl w:val="0"/>
              <w:bidi w:val="0"/>
              <w:rPr>
                <w:color w:val="auto"/>
                <w:lang w:val="en-US" w:eastAsia="en-US"/>
              </w:rPr>
            </w:pPr>
            <w:r>
              <w:rPr>
                <w:color w:val="auto"/>
                <w:lang w:val="en-US" w:eastAsia="en-US"/>
              </w:rPr>
              <w:t>简单分析a</w:t>
            </w:r>
          </w:p>
        </w:tc>
      </w:tr>
      <w:tr w14:paraId="55C5F0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517" w:type="dxa"/>
            <w:vAlign w:val="center"/>
          </w:tcPr>
          <w:p w14:paraId="6596C873">
            <w:pPr>
              <w:pStyle w:val="30"/>
              <w:widowControl w:val="0"/>
              <w:bidi w:val="0"/>
              <w:rPr>
                <w:color w:val="auto"/>
                <w:lang w:val="en-US" w:eastAsia="en-US"/>
              </w:rPr>
            </w:pPr>
            <w:r>
              <w:rPr>
                <w:color w:val="auto"/>
                <w:lang w:val="en-US" w:eastAsia="en-US"/>
              </w:rPr>
              <w:t>地表水环境</w:t>
            </w:r>
          </w:p>
        </w:tc>
        <w:tc>
          <w:tcPr>
            <w:tcW w:w="1874" w:type="dxa"/>
            <w:vAlign w:val="center"/>
          </w:tcPr>
          <w:p w14:paraId="37C272AA">
            <w:pPr>
              <w:pStyle w:val="30"/>
              <w:widowControl w:val="0"/>
              <w:bidi w:val="0"/>
              <w:rPr>
                <w:color w:val="auto"/>
                <w:lang w:val="en-US" w:eastAsia="en-US"/>
              </w:rPr>
            </w:pPr>
            <w:r>
              <w:rPr>
                <w:color w:val="auto"/>
                <w:lang w:val="en-US" w:eastAsia="en-US"/>
              </w:rPr>
              <w:t>评价工作等级</w:t>
            </w:r>
          </w:p>
        </w:tc>
        <w:tc>
          <w:tcPr>
            <w:tcW w:w="1617" w:type="dxa"/>
            <w:vAlign w:val="center"/>
          </w:tcPr>
          <w:p w14:paraId="7762A65B">
            <w:pPr>
              <w:pStyle w:val="30"/>
              <w:widowControl w:val="0"/>
              <w:bidi w:val="0"/>
              <w:rPr>
                <w:color w:val="auto"/>
                <w:lang w:val="en-US" w:eastAsia="en-US"/>
              </w:rPr>
            </w:pPr>
            <w:r>
              <w:rPr>
                <w:color w:val="auto"/>
                <w:lang w:val="en-US" w:eastAsia="en-US"/>
              </w:rPr>
              <w:t>一</w:t>
            </w:r>
          </w:p>
        </w:tc>
        <w:tc>
          <w:tcPr>
            <w:tcW w:w="1055" w:type="dxa"/>
            <w:vAlign w:val="center"/>
          </w:tcPr>
          <w:p w14:paraId="42056E02">
            <w:pPr>
              <w:pStyle w:val="30"/>
              <w:widowControl w:val="0"/>
              <w:bidi w:val="0"/>
              <w:rPr>
                <w:color w:val="auto"/>
                <w:lang w:val="en-US" w:eastAsia="en-US"/>
              </w:rPr>
            </w:pPr>
            <w:r>
              <w:rPr>
                <w:color w:val="auto"/>
                <w:lang w:val="en-US" w:eastAsia="en-US"/>
              </w:rPr>
              <w:t>二</w:t>
            </w:r>
          </w:p>
        </w:tc>
        <w:tc>
          <w:tcPr>
            <w:tcW w:w="1518" w:type="dxa"/>
            <w:vAlign w:val="center"/>
          </w:tcPr>
          <w:p w14:paraId="6683B95D">
            <w:pPr>
              <w:pStyle w:val="30"/>
              <w:widowControl w:val="0"/>
              <w:bidi w:val="0"/>
              <w:rPr>
                <w:color w:val="auto"/>
                <w:lang w:val="en-US" w:eastAsia="en-US"/>
              </w:rPr>
            </w:pPr>
            <w:r>
              <w:rPr>
                <w:color w:val="auto"/>
                <w:lang w:val="en-US" w:eastAsia="en-US"/>
              </w:rPr>
              <w:t>三</w:t>
            </w:r>
          </w:p>
        </w:tc>
        <w:tc>
          <w:tcPr>
            <w:tcW w:w="1541" w:type="dxa"/>
            <w:vAlign w:val="center"/>
          </w:tcPr>
          <w:p w14:paraId="020C5F3F">
            <w:pPr>
              <w:pStyle w:val="30"/>
              <w:widowControl w:val="0"/>
              <w:bidi w:val="0"/>
              <w:rPr>
                <w:color w:val="auto"/>
                <w:lang w:val="en-US" w:eastAsia="en-US"/>
              </w:rPr>
            </w:pPr>
            <w:r>
              <w:rPr>
                <w:color w:val="auto"/>
                <w:lang w:val="en-US" w:eastAsia="en-US"/>
              </w:rPr>
              <w:t>简单分析a</w:t>
            </w:r>
          </w:p>
        </w:tc>
      </w:tr>
      <w:tr w14:paraId="2A4C94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1517" w:type="dxa"/>
            <w:vAlign w:val="center"/>
          </w:tcPr>
          <w:p w14:paraId="1898A743">
            <w:pPr>
              <w:pStyle w:val="30"/>
              <w:widowControl w:val="0"/>
              <w:bidi w:val="0"/>
              <w:rPr>
                <w:color w:val="auto"/>
                <w:lang w:val="en-US" w:eastAsia="en-US"/>
              </w:rPr>
            </w:pPr>
            <w:r>
              <w:rPr>
                <w:color w:val="auto"/>
                <w:lang w:val="en-US" w:eastAsia="en-US"/>
              </w:rPr>
              <w:t>地下水环境</w:t>
            </w:r>
          </w:p>
        </w:tc>
        <w:tc>
          <w:tcPr>
            <w:tcW w:w="1874" w:type="dxa"/>
            <w:vAlign w:val="center"/>
          </w:tcPr>
          <w:p w14:paraId="7FBE153B">
            <w:pPr>
              <w:pStyle w:val="30"/>
              <w:widowControl w:val="0"/>
              <w:bidi w:val="0"/>
              <w:rPr>
                <w:color w:val="auto"/>
                <w:lang w:val="en-US" w:eastAsia="en-US"/>
              </w:rPr>
            </w:pPr>
            <w:r>
              <w:rPr>
                <w:color w:val="auto"/>
                <w:lang w:val="en-US" w:eastAsia="en-US"/>
              </w:rPr>
              <w:t>评价工作等级</w:t>
            </w:r>
          </w:p>
        </w:tc>
        <w:tc>
          <w:tcPr>
            <w:tcW w:w="1617" w:type="dxa"/>
            <w:vAlign w:val="center"/>
          </w:tcPr>
          <w:p w14:paraId="2D2B2AD9">
            <w:pPr>
              <w:pStyle w:val="30"/>
              <w:widowControl w:val="0"/>
              <w:bidi w:val="0"/>
              <w:rPr>
                <w:color w:val="auto"/>
                <w:lang w:val="en-US" w:eastAsia="en-US"/>
              </w:rPr>
            </w:pPr>
            <w:r>
              <w:rPr>
                <w:color w:val="auto"/>
                <w:lang w:val="en-US" w:eastAsia="en-US"/>
              </w:rPr>
              <w:t>一</w:t>
            </w:r>
          </w:p>
        </w:tc>
        <w:tc>
          <w:tcPr>
            <w:tcW w:w="1055" w:type="dxa"/>
            <w:vAlign w:val="center"/>
          </w:tcPr>
          <w:p w14:paraId="3FDB955D">
            <w:pPr>
              <w:pStyle w:val="30"/>
              <w:widowControl w:val="0"/>
              <w:bidi w:val="0"/>
              <w:rPr>
                <w:color w:val="auto"/>
                <w:lang w:val="en-US" w:eastAsia="en-US"/>
              </w:rPr>
            </w:pPr>
            <w:r>
              <w:rPr>
                <w:color w:val="auto"/>
                <w:lang w:val="en-US" w:eastAsia="en-US"/>
              </w:rPr>
              <w:t>二</w:t>
            </w:r>
          </w:p>
        </w:tc>
        <w:tc>
          <w:tcPr>
            <w:tcW w:w="1518" w:type="dxa"/>
            <w:vAlign w:val="center"/>
          </w:tcPr>
          <w:p w14:paraId="0BB6EF3F">
            <w:pPr>
              <w:pStyle w:val="30"/>
              <w:widowControl w:val="0"/>
              <w:bidi w:val="0"/>
              <w:rPr>
                <w:color w:val="auto"/>
                <w:lang w:val="en-US" w:eastAsia="en-US"/>
              </w:rPr>
            </w:pPr>
            <w:r>
              <w:rPr>
                <w:color w:val="auto"/>
                <w:lang w:val="en-US" w:eastAsia="en-US"/>
              </w:rPr>
              <w:t>三</w:t>
            </w:r>
          </w:p>
        </w:tc>
        <w:tc>
          <w:tcPr>
            <w:tcW w:w="1541" w:type="dxa"/>
            <w:vAlign w:val="center"/>
          </w:tcPr>
          <w:p w14:paraId="70CB517C">
            <w:pPr>
              <w:pStyle w:val="30"/>
              <w:widowControl w:val="0"/>
              <w:bidi w:val="0"/>
              <w:rPr>
                <w:color w:val="auto"/>
                <w:lang w:val="en-US" w:eastAsia="en-US"/>
              </w:rPr>
            </w:pPr>
            <w:r>
              <w:rPr>
                <w:color w:val="auto"/>
                <w:lang w:val="en-US" w:eastAsia="en-US"/>
              </w:rPr>
              <w:t>简单分析a</w:t>
            </w:r>
          </w:p>
        </w:tc>
      </w:tr>
      <w:tr w14:paraId="4A398A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122" w:type="dxa"/>
            <w:gridSpan w:val="6"/>
            <w:vAlign w:val="center"/>
          </w:tcPr>
          <w:p w14:paraId="5FAA2B02">
            <w:pPr>
              <w:pStyle w:val="30"/>
              <w:widowControl w:val="0"/>
              <w:bidi w:val="0"/>
              <w:rPr>
                <w:color w:val="auto"/>
                <w:lang w:val="en-US" w:eastAsia="en-US"/>
              </w:rPr>
            </w:pPr>
            <w:r>
              <w:rPr>
                <w:color w:val="auto"/>
                <w:lang w:val="en-US" w:eastAsia="en-US"/>
              </w:rPr>
              <w:t>a是相对于详细评价工作内容而言，在描述危险物质、环境影响途径、环境危害后果、风险防范措施等方面给出定性的说明</w:t>
            </w:r>
          </w:p>
        </w:tc>
      </w:tr>
    </w:tbl>
    <w:p w14:paraId="6E3E21C1">
      <w:pPr>
        <w:bidi w:val="0"/>
        <w:ind w:firstLine="480" w:firstLineChars="200"/>
        <w:rPr>
          <w:color w:val="auto"/>
        </w:rPr>
      </w:pPr>
      <w:r>
        <w:rPr>
          <w:rFonts w:hint="eastAsia"/>
          <w:color w:val="auto"/>
          <w:lang w:val="en-US" w:eastAsia="zh-CN"/>
        </w:rPr>
        <w:t>因此，地表水和地下水环境风险评价等级为二级，大气环境风险评价等级为一级，</w:t>
      </w:r>
      <w:r>
        <w:rPr>
          <w:color w:val="auto"/>
        </w:rPr>
        <w:t>综合判定本项目环境风险评价等级为一级。</w:t>
      </w:r>
    </w:p>
    <w:p w14:paraId="57997525">
      <w:pPr>
        <w:bidi w:val="0"/>
        <w:rPr>
          <w:rFonts w:hint="eastAsia"/>
          <w:b/>
          <w:bCs/>
          <w:lang w:val="en-US" w:eastAsia="en-US"/>
        </w:rPr>
      </w:pPr>
      <w:bookmarkStart w:id="75" w:name="_Toc23748"/>
      <w:bookmarkStart w:id="76" w:name="_Toc19184"/>
      <w:bookmarkStart w:id="77" w:name="_Toc29459"/>
      <w:r>
        <w:rPr>
          <w:rFonts w:hint="eastAsia"/>
          <w:b/>
          <w:bCs/>
          <w:lang w:val="en-US" w:eastAsia="en-US"/>
        </w:rPr>
        <w:t>2.4.2</w:t>
      </w:r>
      <w:r>
        <w:rPr>
          <w:rFonts w:hint="eastAsia"/>
          <w:b/>
          <w:bCs/>
          <w:lang w:val="en-US" w:eastAsia="zh-CN"/>
        </w:rPr>
        <w:t xml:space="preserve"> </w:t>
      </w:r>
      <w:r>
        <w:rPr>
          <w:rFonts w:hint="eastAsia"/>
          <w:b/>
          <w:bCs/>
          <w:lang w:val="en-US" w:eastAsia="en-US"/>
        </w:rPr>
        <w:t>评价范围</w:t>
      </w:r>
      <w:bookmarkEnd w:id="75"/>
      <w:bookmarkEnd w:id="76"/>
      <w:bookmarkEnd w:id="77"/>
    </w:p>
    <w:p w14:paraId="7965557C">
      <w:pPr>
        <w:bidi w:val="0"/>
        <w:ind w:firstLine="480" w:firstLineChars="200"/>
        <w:rPr>
          <w:color w:val="auto"/>
        </w:rPr>
      </w:pPr>
      <w:r>
        <w:rPr>
          <w:color w:val="auto"/>
        </w:rPr>
        <w:t>根据当地建设项目污染物排放特点及当地气象条件、自然环境状况确定各环境要素评价范围见下表：</w:t>
      </w:r>
    </w:p>
    <w:p w14:paraId="0612DA72">
      <w:pPr>
        <w:bidi w:val="0"/>
        <w:jc w:val="center"/>
        <w:rPr>
          <w:b/>
          <w:bCs/>
        </w:rPr>
      </w:pPr>
      <w:r>
        <w:rPr>
          <w:b/>
          <w:bCs/>
        </w:rPr>
        <w:t>表2.4-2</w:t>
      </w:r>
      <w:r>
        <w:rPr>
          <w:rFonts w:hint="eastAsia"/>
          <w:b/>
          <w:bCs/>
          <w:lang w:val="en-US" w:eastAsia="zh-CN"/>
        </w:rPr>
        <w:t xml:space="preserve">5 </w:t>
      </w:r>
      <w:r>
        <w:rPr>
          <w:b/>
          <w:bCs/>
        </w:rPr>
        <w:t>评价范围一览表</w:t>
      </w:r>
    </w:p>
    <w:tbl>
      <w:tblPr>
        <w:tblStyle w:val="25"/>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278"/>
        <w:gridCol w:w="1068"/>
        <w:gridCol w:w="7015"/>
      </w:tblGrid>
      <w:tr w14:paraId="014CED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blHeader/>
        </w:trPr>
        <w:tc>
          <w:tcPr>
            <w:tcW w:w="1066" w:type="dxa"/>
            <w:gridSpan w:val="2"/>
            <w:vAlign w:val="center"/>
          </w:tcPr>
          <w:p w14:paraId="735323D4">
            <w:pPr>
              <w:pStyle w:val="30"/>
              <w:widowControl w:val="0"/>
              <w:bidi w:val="0"/>
              <w:snapToGrid w:val="0"/>
              <w:ind w:left="0" w:leftChars="0" w:right="0" w:rightChars="0" w:firstLine="0" w:firstLineChars="0"/>
              <w:rPr>
                <w:b/>
                <w:color w:val="auto"/>
                <w:lang w:val="en-US" w:eastAsia="en-US"/>
              </w:rPr>
            </w:pPr>
            <w:r>
              <w:rPr>
                <w:b/>
                <w:color w:val="auto"/>
                <w:lang w:val="en-US" w:eastAsia="en-US"/>
              </w:rPr>
              <w:t>评价内容</w:t>
            </w:r>
          </w:p>
        </w:tc>
        <w:tc>
          <w:tcPr>
            <w:tcW w:w="7001" w:type="dxa"/>
            <w:vAlign w:val="center"/>
          </w:tcPr>
          <w:p w14:paraId="007FB19D">
            <w:pPr>
              <w:pStyle w:val="30"/>
              <w:widowControl w:val="0"/>
              <w:bidi w:val="0"/>
              <w:snapToGrid w:val="0"/>
              <w:ind w:left="0" w:leftChars="0" w:right="0" w:rightChars="0" w:firstLine="0" w:firstLineChars="0"/>
              <w:rPr>
                <w:b/>
                <w:color w:val="auto"/>
                <w:lang w:val="en-US" w:eastAsia="en-US"/>
              </w:rPr>
            </w:pPr>
            <w:r>
              <w:rPr>
                <w:b/>
                <w:color w:val="auto"/>
                <w:lang w:val="en-US" w:eastAsia="en-US"/>
              </w:rPr>
              <w:t>评价范围</w:t>
            </w:r>
          </w:p>
        </w:tc>
      </w:tr>
      <w:tr w14:paraId="5071BB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restart"/>
            <w:tcBorders>
              <w:bottom w:val="nil"/>
            </w:tcBorders>
            <w:vAlign w:val="center"/>
          </w:tcPr>
          <w:p w14:paraId="7E0BFC11">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大气环境</w:t>
            </w:r>
          </w:p>
        </w:tc>
        <w:tc>
          <w:tcPr>
            <w:tcW w:w="1066" w:type="dxa"/>
            <w:vAlign w:val="center"/>
          </w:tcPr>
          <w:p w14:paraId="64897F54">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现状监测</w:t>
            </w:r>
          </w:p>
        </w:tc>
        <w:tc>
          <w:tcPr>
            <w:tcW w:w="7001" w:type="dxa"/>
            <w:vMerge w:val="restart"/>
            <w:tcBorders>
              <w:bottom w:val="nil"/>
            </w:tcBorders>
            <w:vAlign w:val="center"/>
          </w:tcPr>
          <w:p w14:paraId="793563C4">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以厂址为中心，边长为5km矩形</w:t>
            </w:r>
          </w:p>
        </w:tc>
      </w:tr>
      <w:tr w14:paraId="34569D9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continue"/>
            <w:tcBorders>
              <w:top w:val="nil"/>
            </w:tcBorders>
            <w:vAlign w:val="center"/>
          </w:tcPr>
          <w:p w14:paraId="1FEC1E55">
            <w:pPr>
              <w:pStyle w:val="30"/>
              <w:widowControl w:val="0"/>
              <w:bidi w:val="0"/>
              <w:snapToGrid w:val="0"/>
              <w:ind w:left="0" w:leftChars="0" w:right="0" w:rightChars="0" w:firstLine="0" w:firstLineChars="0"/>
              <w:jc w:val="center"/>
              <w:rPr>
                <w:color w:val="auto"/>
                <w:lang w:val="en-US" w:eastAsia="en-US"/>
              </w:rPr>
            </w:pPr>
          </w:p>
        </w:tc>
        <w:tc>
          <w:tcPr>
            <w:tcW w:w="1066" w:type="dxa"/>
            <w:vAlign w:val="center"/>
          </w:tcPr>
          <w:p w14:paraId="3C3E9515">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Merge w:val="continue"/>
            <w:tcBorders>
              <w:top w:val="nil"/>
            </w:tcBorders>
            <w:vAlign w:val="center"/>
          </w:tcPr>
          <w:p w14:paraId="2EEBF74E">
            <w:pPr>
              <w:pStyle w:val="30"/>
              <w:widowControl w:val="0"/>
              <w:bidi w:val="0"/>
              <w:snapToGrid w:val="0"/>
              <w:ind w:left="0" w:leftChars="0" w:right="0" w:rightChars="0" w:firstLine="0" w:firstLineChars="0"/>
              <w:jc w:val="center"/>
              <w:rPr>
                <w:color w:val="auto"/>
                <w:lang w:val="en-US" w:eastAsia="en-US"/>
              </w:rPr>
            </w:pPr>
          </w:p>
        </w:tc>
      </w:tr>
      <w:tr w14:paraId="30CB80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restart"/>
            <w:tcBorders>
              <w:bottom w:val="nil"/>
            </w:tcBorders>
            <w:vAlign w:val="center"/>
          </w:tcPr>
          <w:p w14:paraId="39F6CF03">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地表水环境</w:t>
            </w:r>
          </w:p>
        </w:tc>
        <w:tc>
          <w:tcPr>
            <w:tcW w:w="1066" w:type="dxa"/>
            <w:vAlign w:val="center"/>
          </w:tcPr>
          <w:p w14:paraId="7BA35596">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现状监测</w:t>
            </w:r>
          </w:p>
        </w:tc>
        <w:tc>
          <w:tcPr>
            <w:tcW w:w="7001" w:type="dxa"/>
            <w:vAlign w:val="center"/>
          </w:tcPr>
          <w:p w14:paraId="3A94FCA8">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合肥市循环经济示范园区污水处理厂入店埠河排口上游500m</w:t>
            </w:r>
            <w:r>
              <w:rPr>
                <w:rFonts w:hint="eastAsia"/>
                <w:color w:val="auto"/>
                <w:lang w:val="en-US" w:eastAsia="zh-CN"/>
              </w:rPr>
              <w:t>～</w:t>
            </w:r>
            <w:r>
              <w:rPr>
                <w:color w:val="auto"/>
                <w:lang w:val="en-US" w:eastAsia="en-US"/>
              </w:rPr>
              <w:t>下游500m；店埠河入南淝河下游1000m</w:t>
            </w:r>
          </w:p>
        </w:tc>
      </w:tr>
      <w:tr w14:paraId="5BDAE6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continue"/>
            <w:tcBorders>
              <w:top w:val="nil"/>
            </w:tcBorders>
            <w:vAlign w:val="center"/>
          </w:tcPr>
          <w:p w14:paraId="51E47525">
            <w:pPr>
              <w:pStyle w:val="30"/>
              <w:widowControl w:val="0"/>
              <w:bidi w:val="0"/>
              <w:snapToGrid w:val="0"/>
              <w:ind w:left="0" w:leftChars="0" w:right="0" w:rightChars="0" w:firstLine="0" w:firstLineChars="0"/>
              <w:jc w:val="center"/>
              <w:rPr>
                <w:color w:val="auto"/>
                <w:lang w:val="en-US" w:eastAsia="en-US"/>
              </w:rPr>
            </w:pPr>
          </w:p>
        </w:tc>
        <w:tc>
          <w:tcPr>
            <w:tcW w:w="1066" w:type="dxa"/>
            <w:vAlign w:val="center"/>
          </w:tcPr>
          <w:p w14:paraId="686EC5E3">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Align w:val="center"/>
          </w:tcPr>
          <w:p w14:paraId="45151757">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w:t>
            </w:r>
          </w:p>
        </w:tc>
      </w:tr>
      <w:tr w14:paraId="06A699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restart"/>
            <w:tcBorders>
              <w:bottom w:val="nil"/>
            </w:tcBorders>
            <w:vAlign w:val="center"/>
          </w:tcPr>
          <w:p w14:paraId="46BB1F21">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地下水环境</w:t>
            </w:r>
          </w:p>
        </w:tc>
        <w:tc>
          <w:tcPr>
            <w:tcW w:w="1066" w:type="dxa"/>
            <w:vAlign w:val="center"/>
          </w:tcPr>
          <w:p w14:paraId="2C8976CF">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现状监测</w:t>
            </w:r>
          </w:p>
        </w:tc>
        <w:tc>
          <w:tcPr>
            <w:tcW w:w="7001" w:type="dxa"/>
            <w:vMerge w:val="restart"/>
            <w:tcBorders>
              <w:bottom w:val="nil"/>
            </w:tcBorders>
            <w:vAlign w:val="center"/>
          </w:tcPr>
          <w:p w14:paraId="5AE1D9DB">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结合项目区地形地貌、相关敏感目标分布以及区域水文地质条件，参照地下水环境现状调查与评价原则，确定本次地下水环境影响评价</w:t>
            </w:r>
            <w:r>
              <w:rPr>
                <w:rFonts w:hint="eastAsia"/>
                <w:color w:val="auto"/>
                <w:lang w:val="en-US" w:eastAsia="zh-CN"/>
              </w:rPr>
              <w:t>范围</w:t>
            </w:r>
            <w:r>
              <w:rPr>
                <w:color w:val="auto"/>
                <w:lang w:val="en-US" w:eastAsia="en-US"/>
              </w:rPr>
              <w:t>围约为6km</w:t>
            </w:r>
            <w:r>
              <w:rPr>
                <w:color w:val="auto"/>
                <w:vertAlign w:val="superscript"/>
                <w:lang w:val="en-US" w:eastAsia="en-US"/>
              </w:rPr>
              <w:t>2</w:t>
            </w:r>
            <w:r>
              <w:rPr>
                <w:color w:val="auto"/>
                <w:lang w:val="en-US" w:eastAsia="en-US"/>
              </w:rPr>
              <w:t>范围，主要针对浅层地下水。</w:t>
            </w:r>
          </w:p>
        </w:tc>
      </w:tr>
      <w:tr w14:paraId="3C89A6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continue"/>
            <w:tcBorders>
              <w:top w:val="nil"/>
            </w:tcBorders>
            <w:vAlign w:val="center"/>
          </w:tcPr>
          <w:p w14:paraId="53A2C7AC">
            <w:pPr>
              <w:pStyle w:val="30"/>
              <w:widowControl w:val="0"/>
              <w:bidi w:val="0"/>
              <w:snapToGrid w:val="0"/>
              <w:ind w:left="0" w:leftChars="0" w:right="0" w:rightChars="0" w:firstLine="0" w:firstLineChars="0"/>
              <w:jc w:val="center"/>
              <w:rPr>
                <w:color w:val="auto"/>
                <w:lang w:val="en-US" w:eastAsia="en-US"/>
              </w:rPr>
            </w:pPr>
          </w:p>
        </w:tc>
        <w:tc>
          <w:tcPr>
            <w:tcW w:w="1066" w:type="dxa"/>
            <w:vAlign w:val="center"/>
          </w:tcPr>
          <w:p w14:paraId="45A45344">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Merge w:val="continue"/>
            <w:tcBorders>
              <w:top w:val="nil"/>
            </w:tcBorders>
            <w:vAlign w:val="center"/>
          </w:tcPr>
          <w:p w14:paraId="3471EBEF">
            <w:pPr>
              <w:pStyle w:val="30"/>
              <w:widowControl w:val="0"/>
              <w:bidi w:val="0"/>
              <w:snapToGrid w:val="0"/>
              <w:ind w:left="0" w:leftChars="0" w:right="0" w:rightChars="0" w:firstLine="0" w:firstLineChars="0"/>
              <w:jc w:val="center"/>
              <w:rPr>
                <w:color w:val="auto"/>
                <w:lang w:val="en-US" w:eastAsia="en-US"/>
              </w:rPr>
            </w:pPr>
          </w:p>
        </w:tc>
      </w:tr>
      <w:tr w14:paraId="41759E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restart"/>
            <w:vAlign w:val="center"/>
          </w:tcPr>
          <w:p w14:paraId="54B4F299">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噪声评价</w:t>
            </w:r>
          </w:p>
        </w:tc>
        <w:tc>
          <w:tcPr>
            <w:tcW w:w="1066" w:type="dxa"/>
            <w:vAlign w:val="center"/>
          </w:tcPr>
          <w:p w14:paraId="2915E00F">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现状监测</w:t>
            </w:r>
          </w:p>
        </w:tc>
        <w:tc>
          <w:tcPr>
            <w:tcW w:w="7001" w:type="dxa"/>
            <w:vMerge w:val="restart"/>
            <w:vAlign w:val="center"/>
          </w:tcPr>
          <w:p w14:paraId="6CF05387">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厂界外1m范围</w:t>
            </w:r>
          </w:p>
        </w:tc>
      </w:tr>
      <w:tr w14:paraId="499888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continue"/>
            <w:vAlign w:val="center"/>
          </w:tcPr>
          <w:p w14:paraId="7C98F38F">
            <w:pPr>
              <w:pStyle w:val="30"/>
              <w:widowControl w:val="0"/>
              <w:bidi w:val="0"/>
              <w:snapToGrid w:val="0"/>
              <w:ind w:left="0" w:leftChars="0" w:right="0" w:rightChars="0" w:firstLine="0" w:firstLineChars="0"/>
              <w:jc w:val="center"/>
              <w:rPr>
                <w:color w:val="auto"/>
                <w:lang w:val="en-US" w:eastAsia="en-US"/>
              </w:rPr>
            </w:pPr>
          </w:p>
        </w:tc>
        <w:tc>
          <w:tcPr>
            <w:tcW w:w="1066" w:type="dxa"/>
            <w:vAlign w:val="center"/>
          </w:tcPr>
          <w:p w14:paraId="0682AB2A">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Merge w:val="continue"/>
            <w:vAlign w:val="center"/>
          </w:tcPr>
          <w:p w14:paraId="78827600">
            <w:pPr>
              <w:pStyle w:val="30"/>
              <w:widowControl w:val="0"/>
              <w:bidi w:val="0"/>
              <w:snapToGrid w:val="0"/>
              <w:ind w:left="0" w:leftChars="0" w:right="0" w:rightChars="0" w:firstLine="0" w:firstLineChars="0"/>
              <w:jc w:val="center"/>
              <w:rPr>
                <w:color w:val="auto"/>
                <w:lang w:val="en-US" w:eastAsia="en-US"/>
              </w:rPr>
            </w:pPr>
          </w:p>
        </w:tc>
      </w:tr>
      <w:tr w14:paraId="1EF4DB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restart"/>
            <w:tcBorders>
              <w:bottom w:val="nil"/>
            </w:tcBorders>
            <w:vAlign w:val="center"/>
          </w:tcPr>
          <w:p w14:paraId="3DB0289A">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土壤评价</w:t>
            </w:r>
          </w:p>
        </w:tc>
        <w:tc>
          <w:tcPr>
            <w:tcW w:w="1066" w:type="dxa"/>
            <w:vAlign w:val="center"/>
          </w:tcPr>
          <w:p w14:paraId="7A57B8FB">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现状监测</w:t>
            </w:r>
          </w:p>
        </w:tc>
        <w:tc>
          <w:tcPr>
            <w:tcW w:w="7001" w:type="dxa"/>
            <w:vMerge w:val="restart"/>
            <w:tcBorders>
              <w:bottom w:val="nil"/>
            </w:tcBorders>
            <w:vAlign w:val="center"/>
          </w:tcPr>
          <w:p w14:paraId="2BE727FB">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项目占地范围内区域以及占地范围外200m范围内</w:t>
            </w:r>
          </w:p>
        </w:tc>
      </w:tr>
      <w:tr w14:paraId="4303480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Merge w:val="continue"/>
            <w:tcBorders>
              <w:top w:val="nil"/>
            </w:tcBorders>
            <w:vAlign w:val="center"/>
          </w:tcPr>
          <w:p w14:paraId="60AE1AF6">
            <w:pPr>
              <w:pStyle w:val="30"/>
              <w:widowControl w:val="0"/>
              <w:bidi w:val="0"/>
              <w:snapToGrid w:val="0"/>
              <w:ind w:left="0" w:leftChars="0" w:right="0" w:rightChars="0" w:firstLine="0" w:firstLineChars="0"/>
              <w:jc w:val="center"/>
              <w:rPr>
                <w:color w:val="auto"/>
                <w:lang w:val="en-US" w:eastAsia="en-US"/>
              </w:rPr>
            </w:pPr>
          </w:p>
        </w:tc>
        <w:tc>
          <w:tcPr>
            <w:tcW w:w="1066" w:type="dxa"/>
            <w:vAlign w:val="center"/>
          </w:tcPr>
          <w:p w14:paraId="5065C73A">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Merge w:val="continue"/>
            <w:tcBorders>
              <w:top w:val="nil"/>
            </w:tcBorders>
            <w:vAlign w:val="center"/>
          </w:tcPr>
          <w:p w14:paraId="0069EE75">
            <w:pPr>
              <w:pStyle w:val="30"/>
              <w:widowControl w:val="0"/>
              <w:bidi w:val="0"/>
              <w:snapToGrid w:val="0"/>
              <w:ind w:left="0" w:leftChars="0" w:right="0" w:rightChars="0" w:firstLine="0" w:firstLineChars="0"/>
              <w:jc w:val="center"/>
              <w:rPr>
                <w:color w:val="auto"/>
                <w:lang w:val="en-US" w:eastAsia="en-US"/>
              </w:rPr>
            </w:pPr>
          </w:p>
        </w:tc>
      </w:tr>
      <w:tr w14:paraId="2FD26D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Align w:val="center"/>
          </w:tcPr>
          <w:p w14:paraId="56F1F4A8">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生态评价</w:t>
            </w:r>
          </w:p>
        </w:tc>
        <w:tc>
          <w:tcPr>
            <w:tcW w:w="1066" w:type="dxa"/>
            <w:vAlign w:val="center"/>
          </w:tcPr>
          <w:p w14:paraId="1331948A">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Align w:val="center"/>
          </w:tcPr>
          <w:p w14:paraId="30B7E95B">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w:t>
            </w:r>
          </w:p>
        </w:tc>
      </w:tr>
      <w:tr w14:paraId="07FB82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1276" w:type="dxa"/>
            <w:vAlign w:val="center"/>
          </w:tcPr>
          <w:p w14:paraId="57C0220D">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风险评价</w:t>
            </w:r>
          </w:p>
        </w:tc>
        <w:tc>
          <w:tcPr>
            <w:tcW w:w="1066" w:type="dxa"/>
            <w:vAlign w:val="center"/>
          </w:tcPr>
          <w:p w14:paraId="0F312170">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影响评价</w:t>
            </w:r>
          </w:p>
        </w:tc>
        <w:tc>
          <w:tcPr>
            <w:tcW w:w="7001" w:type="dxa"/>
            <w:vAlign w:val="center"/>
          </w:tcPr>
          <w:p w14:paraId="0B8DBD34">
            <w:pPr>
              <w:pStyle w:val="30"/>
              <w:widowControl w:val="0"/>
              <w:bidi w:val="0"/>
              <w:snapToGrid w:val="0"/>
              <w:ind w:left="0" w:leftChars="0" w:right="0" w:rightChars="0" w:firstLine="0" w:firstLineChars="0"/>
              <w:jc w:val="center"/>
              <w:rPr>
                <w:color w:val="auto"/>
                <w:lang w:val="en-US" w:eastAsia="en-US"/>
              </w:rPr>
            </w:pPr>
            <w:r>
              <w:rPr>
                <w:color w:val="auto"/>
                <w:lang w:val="en-US" w:eastAsia="en-US"/>
              </w:rPr>
              <w:t>大气风险评价范围是以建设项目为中心的半径5公里范围；地表水风险评价范围同地表水评价范围一致；地下水风险评价范围同地下水评价范围一致</w:t>
            </w:r>
          </w:p>
        </w:tc>
      </w:tr>
    </w:tbl>
    <w:p w14:paraId="0593194B">
      <w:pPr>
        <w:pStyle w:val="2"/>
        <w:bidi w:val="0"/>
        <w:rPr>
          <w:rFonts w:hint="eastAsia"/>
          <w:lang w:val="en-US" w:eastAsia="en-US"/>
        </w:rPr>
      </w:pPr>
      <w:bookmarkStart w:id="78" w:name="_Toc8479"/>
      <w:bookmarkStart w:id="79" w:name="_Toc5997"/>
      <w:r>
        <w:rPr>
          <w:rFonts w:hint="eastAsia"/>
          <w:lang w:val="en-US" w:eastAsia="en-US"/>
        </w:rPr>
        <w:t>2.</w:t>
      </w:r>
      <w:r>
        <w:rPr>
          <w:rFonts w:hint="eastAsia"/>
          <w:lang w:val="en-US" w:eastAsia="zh-CN"/>
        </w:rPr>
        <w:t>5</w:t>
      </w:r>
      <w:r>
        <w:rPr>
          <w:rFonts w:hint="eastAsia"/>
          <w:lang w:val="en-US" w:eastAsia="en-US"/>
        </w:rPr>
        <w:t xml:space="preserve"> 政策和规划符合性分析</w:t>
      </w:r>
      <w:bookmarkEnd w:id="78"/>
      <w:bookmarkEnd w:id="79"/>
    </w:p>
    <w:p w14:paraId="404D9967">
      <w:pPr>
        <w:bidi w:val="0"/>
        <w:rPr>
          <w:b/>
          <w:bCs/>
        </w:rPr>
      </w:pPr>
      <w:r>
        <w:rPr>
          <w:rFonts w:hint="eastAsia"/>
          <w:b/>
          <w:bCs/>
          <w:lang w:val="en-US" w:eastAsia="zh-CN"/>
        </w:rPr>
        <w:t>2</w:t>
      </w:r>
      <w:r>
        <w:rPr>
          <w:b/>
          <w:bCs/>
        </w:rPr>
        <w:t>.</w:t>
      </w:r>
      <w:r>
        <w:rPr>
          <w:rFonts w:hint="eastAsia"/>
          <w:b/>
          <w:bCs/>
          <w:lang w:val="en-US" w:eastAsia="zh-CN"/>
        </w:rPr>
        <w:t>5</w:t>
      </w:r>
      <w:r>
        <w:rPr>
          <w:b/>
          <w:bCs/>
        </w:rPr>
        <w:t>.1 产业政策符合性</w:t>
      </w:r>
    </w:p>
    <w:p w14:paraId="792337D0">
      <w:pPr>
        <w:bidi w:val="0"/>
        <w:ind w:firstLine="480" w:firstLineChars="200"/>
      </w:pPr>
      <w:r>
        <w:t>项目于</w:t>
      </w:r>
      <w:r>
        <w:rPr>
          <w:rFonts w:hint="eastAsia"/>
          <w:lang w:val="en-US" w:eastAsia="zh-CN"/>
        </w:rPr>
        <w:t>2025</w:t>
      </w:r>
      <w:r>
        <w:t>年</w:t>
      </w:r>
      <w:r>
        <w:rPr>
          <w:rFonts w:hint="eastAsia"/>
          <w:lang w:val="en-US" w:eastAsia="zh-CN"/>
        </w:rPr>
        <w:t>12</w:t>
      </w:r>
      <w:r>
        <w:t>月</w:t>
      </w:r>
      <w:r>
        <w:rPr>
          <w:rFonts w:hint="eastAsia"/>
          <w:lang w:val="en-US" w:eastAsia="zh-CN"/>
        </w:rPr>
        <w:t>12</w:t>
      </w:r>
      <w:r>
        <w:t>日取得肥东县经济和信息化局备案，</w:t>
      </w:r>
      <w:r>
        <w:rPr>
          <w:rFonts w:hint="eastAsia"/>
          <w:lang w:val="en-US" w:eastAsia="zh-CN"/>
        </w:rPr>
        <w:t>项目代码：2512-340122-07-02-886230，</w:t>
      </w:r>
      <w:r>
        <w:t>属于《国民经济行业分类》（GB/T4754-2017）中</w:t>
      </w:r>
      <w:r>
        <w:rPr>
          <w:rFonts w:hint="eastAsia"/>
          <w:lang w:eastAsia="zh-CN"/>
        </w:rPr>
        <w:t>“</w:t>
      </w:r>
      <w:r>
        <w:t>光伏设备及元器件制造 C3825</w:t>
      </w:r>
      <w:r>
        <w:rPr>
          <w:rFonts w:hint="eastAsia"/>
          <w:lang w:eastAsia="zh-CN"/>
        </w:rPr>
        <w:t>”</w:t>
      </w:r>
      <w:r>
        <w:t>。</w:t>
      </w:r>
      <w:r>
        <w:rPr>
          <w:rFonts w:hint="eastAsia"/>
          <w:color w:val="auto"/>
          <w:lang w:val="en-US" w:eastAsia="zh-CN"/>
        </w:rPr>
        <w:t>根据</w:t>
      </w:r>
      <w:r>
        <w:rPr>
          <w:rFonts w:hint="eastAsia"/>
          <w:color w:val="auto"/>
        </w:rPr>
        <w:t>《产业结构调整指导目录（2024年本）》</w:t>
      </w:r>
      <w:r>
        <w:rPr>
          <w:color w:val="auto"/>
        </w:rPr>
        <w:t>，本项目属于鼓励类中</w:t>
      </w:r>
      <w:r>
        <w:rPr>
          <w:rFonts w:hint="eastAsia"/>
          <w:color w:val="auto"/>
          <w:lang w:eastAsia="zh-CN"/>
        </w:rPr>
        <w:t>“</w:t>
      </w:r>
      <w:r>
        <w:rPr>
          <w:color w:val="auto"/>
        </w:rPr>
        <w:t>二十八、信息产业</w:t>
      </w:r>
      <w:r>
        <w:rPr>
          <w:rFonts w:hint="eastAsia"/>
          <w:color w:val="auto"/>
          <w:lang w:eastAsia="zh-CN"/>
        </w:rPr>
        <w:t>，</w:t>
      </w:r>
      <w:r>
        <w:rPr>
          <w:rFonts w:hint="eastAsia"/>
          <w:color w:val="auto"/>
          <w:lang w:val="en-US" w:eastAsia="zh-CN"/>
        </w:rPr>
        <w:t>6、</w:t>
      </w:r>
      <w:r>
        <w:rPr>
          <w:rFonts w:hint="eastAsia"/>
          <w:color w:val="auto"/>
        </w:rPr>
        <w:t>电子元器件生产专用材料</w:t>
      </w:r>
      <w:r>
        <w:rPr>
          <w:rFonts w:hint="eastAsia"/>
          <w:color w:val="auto"/>
          <w:lang w:eastAsia="zh-CN"/>
        </w:rPr>
        <w:t>”中</w:t>
      </w:r>
      <w:r>
        <w:rPr>
          <w:rFonts w:hint="eastAsia"/>
          <w:color w:val="auto"/>
          <w:lang w:val="en-US" w:eastAsia="zh-CN"/>
        </w:rPr>
        <w:t>“</w:t>
      </w:r>
      <w:r>
        <w:rPr>
          <w:color w:val="auto"/>
        </w:rPr>
        <w:t>先进的各类太阳能光伏电池及高纯晶体硅材料（多晶硅的综合电耗低于65kWh/kg，单晶硅光伏电池的转换效率大于22.5%，多晶硅电池的转化效率大于21.5%，碲化镉电池的转化效率大于17%，铜铟镓硒电池转化效率大于18%）</w:t>
      </w:r>
      <w:r>
        <w:rPr>
          <w:rFonts w:hint="eastAsia"/>
          <w:color w:val="auto"/>
          <w:lang w:eastAsia="zh-CN"/>
        </w:rPr>
        <w:t>”，</w:t>
      </w:r>
      <w:r>
        <w:rPr>
          <w:color w:val="auto"/>
        </w:rPr>
        <w:t>本项目生产的N型TOPcon双面单晶太阳能电池转化效率为</w:t>
      </w:r>
      <w:r>
        <w:rPr>
          <w:rFonts w:hint="eastAsia"/>
          <w:color w:val="auto"/>
          <w:lang w:val="en-US" w:eastAsia="zh-CN"/>
        </w:rPr>
        <w:t>26%</w:t>
      </w:r>
      <w:r>
        <w:rPr>
          <w:color w:val="auto"/>
        </w:rPr>
        <w:t>，为鼓励类项目</w:t>
      </w:r>
      <w:r>
        <w:t>。</w:t>
      </w:r>
    </w:p>
    <w:p w14:paraId="42C9E1DF">
      <w:pPr>
        <w:bidi w:val="0"/>
        <w:rPr>
          <w:rFonts w:hint="default" w:eastAsia="宋体"/>
          <w:b/>
          <w:bCs/>
          <w:lang w:val="en-US" w:eastAsia="zh-CN"/>
        </w:rPr>
      </w:pPr>
      <w:r>
        <w:rPr>
          <w:rFonts w:hint="eastAsia"/>
          <w:b/>
          <w:bCs/>
          <w:lang w:val="en-US" w:eastAsia="zh-CN"/>
        </w:rPr>
        <w:t>2.5.2 选址合理性</w:t>
      </w:r>
    </w:p>
    <w:p w14:paraId="381165B3">
      <w:pPr>
        <w:bidi w:val="0"/>
        <w:ind w:firstLine="480" w:firstLineChars="200"/>
        <w:rPr>
          <w:rFonts w:ascii="宋体" w:hAnsi="宋体" w:eastAsia="宋体" w:cs="宋体"/>
          <w:color w:val="auto"/>
          <w:spacing w:val="-1"/>
          <w:sz w:val="24"/>
          <w:szCs w:val="24"/>
        </w:rPr>
        <w:sectPr>
          <w:pgSz w:w="11906" w:h="16838"/>
          <w:pgMar w:top="1417" w:right="1134" w:bottom="1134" w:left="1417" w:header="851" w:footer="992" w:gutter="0"/>
          <w:pgNumType w:fmt="decimal"/>
          <w:cols w:space="0" w:num="1"/>
          <w:rtlGutter w:val="0"/>
          <w:docGrid w:type="lines" w:linePitch="312" w:charSpace="0"/>
        </w:sectPr>
      </w:pPr>
      <w:r>
        <w:t>项目位于合肥循环经济示范园龙兴大道与乳泉路交口东北角，项目东侧为安徽驰宇新材料科技有限公司和安徽领方科技有限公司；南侧为乳泉路，隔路为安徽省振兴节能科技有限公司、安徽建鹏智能科技有限公司和安徽东勇机械制造有限公司；西侧为龙兴大道，隔路为安徽华业香料合肥有限公司；北侧为清泉路，隔路为马钢合肥板</w:t>
      </w:r>
      <w:r>
        <w:rPr>
          <w:rFonts w:ascii="宋体" w:hAnsi="宋体" w:eastAsia="宋体" w:cs="宋体"/>
          <w:color w:val="auto"/>
          <w:spacing w:val="-2"/>
          <w:sz w:val="24"/>
          <w:szCs w:val="24"/>
        </w:rPr>
        <w:t>材有限公司。项目废气、废水和</w:t>
      </w:r>
      <w:r>
        <w:rPr>
          <w:rFonts w:ascii="宋体" w:hAnsi="宋体" w:eastAsia="宋体" w:cs="宋体"/>
          <w:color w:val="auto"/>
          <w:spacing w:val="-3"/>
          <w:sz w:val="24"/>
          <w:szCs w:val="24"/>
        </w:rPr>
        <w:t>噪声预处理后均能够满足相应国家排放</w:t>
      </w:r>
      <w:r>
        <w:rPr>
          <w:rFonts w:ascii="宋体" w:hAnsi="宋体" w:eastAsia="宋体" w:cs="宋体"/>
          <w:color w:val="auto"/>
          <w:sz w:val="24"/>
          <w:szCs w:val="24"/>
        </w:rPr>
        <w:t>标准，固废能够全部合理处置，不会降低区域环境质量等级，对区域环境影响较小。</w:t>
      </w:r>
      <w:r>
        <w:rPr>
          <w:rFonts w:ascii="宋体" w:hAnsi="宋体" w:eastAsia="宋体" w:cs="宋体"/>
          <w:color w:val="auto"/>
          <w:spacing w:val="-1"/>
          <w:sz w:val="24"/>
          <w:szCs w:val="24"/>
        </w:rPr>
        <w:t>因此，项目与周边环境是相容的。</w:t>
      </w:r>
    </w:p>
    <w:p w14:paraId="1583D72E">
      <w:pPr>
        <w:bidi w:val="0"/>
        <w:jc w:val="center"/>
      </w:pPr>
      <w:r>
        <w:drawing>
          <wp:inline distT="0" distB="0" distL="114300" distR="114300">
            <wp:extent cx="7149465" cy="5396865"/>
            <wp:effectExtent l="0" t="0" r="13335" b="1333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14"/>
                    <a:stretch>
                      <a:fillRect/>
                    </a:stretch>
                  </pic:blipFill>
                  <pic:spPr>
                    <a:xfrm>
                      <a:off x="0" y="0"/>
                      <a:ext cx="7149465" cy="5396865"/>
                    </a:xfrm>
                    <a:prstGeom prst="rect">
                      <a:avLst/>
                    </a:prstGeom>
                    <a:noFill/>
                    <a:ln>
                      <a:noFill/>
                    </a:ln>
                  </pic:spPr>
                </pic:pic>
              </a:graphicData>
            </a:graphic>
          </wp:inline>
        </w:drawing>
      </w:r>
    </w:p>
    <w:p w14:paraId="0A39F1B7">
      <w:pPr>
        <w:bidi w:val="0"/>
        <w:jc w:val="center"/>
        <w:rPr>
          <w:b/>
          <w:bCs/>
        </w:rPr>
        <w:sectPr>
          <w:pgSz w:w="16838" w:h="11906" w:orient="landscape"/>
          <w:pgMar w:top="1417" w:right="1417" w:bottom="1134" w:left="1134" w:header="851" w:footer="992" w:gutter="0"/>
          <w:pgNumType w:fmt="decimal"/>
          <w:cols w:space="0" w:num="1"/>
          <w:rtlGutter w:val="0"/>
          <w:docGrid w:type="lines" w:linePitch="312" w:charSpace="0"/>
        </w:sectPr>
      </w:pPr>
      <w:r>
        <w:rPr>
          <w:b/>
          <w:bCs/>
        </w:rPr>
        <w:t>图</w:t>
      </w:r>
      <w:r>
        <w:rPr>
          <w:rFonts w:hint="eastAsia"/>
          <w:b/>
          <w:bCs/>
          <w:lang w:val="en-US" w:eastAsia="zh-CN"/>
        </w:rPr>
        <w:t>2.5.2-1</w:t>
      </w:r>
      <w:r>
        <w:rPr>
          <w:b/>
          <w:bCs/>
        </w:rPr>
        <w:t xml:space="preserve"> 项目周边环境概况图</w:t>
      </w:r>
    </w:p>
    <w:p w14:paraId="46CC0FE4">
      <w:pPr>
        <w:bidi w:val="0"/>
        <w:jc w:val="center"/>
      </w:pPr>
      <w:r>
        <w:drawing>
          <wp:inline distT="0" distB="0" distL="0" distR="0">
            <wp:extent cx="8886190" cy="5377815"/>
            <wp:effectExtent l="0" t="0" r="10160" b="13335"/>
            <wp:docPr id="30" name="IM 4"/>
            <wp:cNvGraphicFramePr/>
            <a:graphic xmlns:a="http://schemas.openxmlformats.org/drawingml/2006/main">
              <a:graphicData uri="http://schemas.openxmlformats.org/drawingml/2006/picture">
                <pic:pic xmlns:pic="http://schemas.openxmlformats.org/drawingml/2006/picture">
                  <pic:nvPicPr>
                    <pic:cNvPr id="30" name="IM 4"/>
                    <pic:cNvPicPr/>
                  </pic:nvPicPr>
                  <pic:blipFill>
                    <a:blip r:embed="rId15"/>
                    <a:stretch>
                      <a:fillRect/>
                    </a:stretch>
                  </pic:blipFill>
                  <pic:spPr>
                    <a:xfrm>
                      <a:off x="0" y="0"/>
                      <a:ext cx="8886444" cy="5378195"/>
                    </a:xfrm>
                    <a:prstGeom prst="rect">
                      <a:avLst/>
                    </a:prstGeom>
                  </pic:spPr>
                </pic:pic>
              </a:graphicData>
            </a:graphic>
          </wp:inline>
        </w:drawing>
      </w:r>
    </w:p>
    <w:p w14:paraId="6DD14B02">
      <w:pPr>
        <w:bidi w:val="0"/>
        <w:jc w:val="center"/>
        <w:rPr>
          <w:b/>
          <w:bCs/>
        </w:rPr>
        <w:sectPr>
          <w:pgSz w:w="16838" w:h="11906" w:orient="landscape"/>
          <w:pgMar w:top="1417" w:right="1417" w:bottom="1134" w:left="1134" w:header="851" w:footer="992" w:gutter="0"/>
          <w:pgNumType w:fmt="decimal"/>
          <w:cols w:space="0" w:num="1"/>
          <w:rtlGutter w:val="0"/>
          <w:docGrid w:type="lines" w:linePitch="312" w:charSpace="0"/>
        </w:sectPr>
      </w:pPr>
      <w:r>
        <w:rPr>
          <w:b/>
          <w:bCs/>
        </w:rPr>
        <w:t>图</w:t>
      </w:r>
      <w:r>
        <w:rPr>
          <w:rFonts w:hint="eastAsia"/>
          <w:b/>
          <w:bCs/>
          <w:lang w:val="en-US" w:eastAsia="zh-CN"/>
        </w:rPr>
        <w:t>2.5.2-2</w:t>
      </w:r>
      <w:r>
        <w:rPr>
          <w:b/>
          <w:bCs/>
        </w:rPr>
        <w:t xml:space="preserve"> </w:t>
      </w:r>
      <w:r>
        <w:rPr>
          <w:rFonts w:hint="eastAsia"/>
          <w:b/>
          <w:bCs/>
          <w:lang w:val="en-US" w:eastAsia="zh-CN"/>
        </w:rPr>
        <w:t>项目与</w:t>
      </w:r>
      <w:r>
        <w:rPr>
          <w:b/>
          <w:bCs/>
        </w:rPr>
        <w:t>合肥循环经济示范园总体发展规划</w:t>
      </w:r>
      <w:r>
        <w:rPr>
          <w:rFonts w:hint="eastAsia"/>
          <w:b/>
          <w:bCs/>
          <w:lang w:val="en-US" w:eastAsia="zh-CN"/>
        </w:rPr>
        <w:t>位置关系</w:t>
      </w:r>
      <w:r>
        <w:rPr>
          <w:b/>
          <w:bCs/>
        </w:rPr>
        <w:t>图</w:t>
      </w:r>
    </w:p>
    <w:p w14:paraId="4032BCD8">
      <w:pPr>
        <w:bidi w:val="0"/>
        <w:jc w:val="center"/>
        <w:rPr>
          <w:rFonts w:hint="eastAsia" w:eastAsia="宋体"/>
          <w:b/>
          <w:bCs/>
          <w:lang w:eastAsia="zh-CN"/>
        </w:rPr>
      </w:pPr>
      <w:r>
        <w:rPr>
          <w:sz w:val="24"/>
        </w:rPr>
        <mc:AlternateContent>
          <mc:Choice Requires="wps">
            <w:drawing>
              <wp:anchor distT="0" distB="0" distL="114300" distR="114300" simplePos="0" relativeHeight="251665408" behindDoc="0" locked="0" layoutInCell="1" allowOverlap="1">
                <wp:simplePos x="0" y="0"/>
                <wp:positionH relativeFrom="column">
                  <wp:posOffset>1878330</wp:posOffset>
                </wp:positionH>
                <wp:positionV relativeFrom="paragraph">
                  <wp:posOffset>6126480</wp:posOffset>
                </wp:positionV>
                <wp:extent cx="1238250" cy="316865"/>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238250" cy="3168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E634635">
                            <w:pPr>
                              <w:spacing w:line="240" w:lineRule="auto"/>
                              <w:jc w:val="center"/>
                              <w:rPr>
                                <w:rFonts w:hint="default" w:eastAsia="宋体"/>
                                <w:b/>
                                <w:bCs/>
                                <w:color w:val="auto"/>
                                <w:lang w:val="en-US" w:eastAsia="zh-CN"/>
                              </w:rPr>
                            </w:pPr>
                            <w:r>
                              <w:rPr>
                                <w:rFonts w:hint="eastAsia"/>
                                <w:b/>
                                <w:bCs/>
                                <w:color w:val="auto"/>
                                <w:lang w:val="en-US" w:eastAsia="zh-CN"/>
                              </w:rPr>
                              <w:t>项目所在地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7.9pt;margin-top:482.4pt;height:24.95pt;width:97.5pt;z-index:251665408;mso-width-relative:page;mso-height-relative:page;" filled="f" stroked="f" coordsize="21600,21600" o:gfxdata="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&#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EW7JE3AAAAAwBAAAPAAAAAAAAAAEAIAAAACIAAABk&#10;cnMvZG93bnJldi54bWxQSwECFAAUAAAACACHTuJAz9A2izsCAABoBAAADgAAAAAAAAABACAAAAAr&#10;AQAAZHJzL2Uyb0RvYy54bWxQSwUGAAAAAAYABgBZAQAA2AUAAAAA&#10;">
                <v:fill on="f" focussize="0,0"/>
                <v:stroke on="f" weight="0.5pt"/>
                <v:imagedata o:title=""/>
                <o:lock v:ext="edit" aspectratio="f"/>
                <v:textbox>
                  <w:txbxContent>
                    <w:p w14:paraId="7E634635">
                      <w:pPr>
                        <w:spacing w:line="240" w:lineRule="auto"/>
                        <w:jc w:val="center"/>
                        <w:rPr>
                          <w:rFonts w:hint="default" w:eastAsia="宋体"/>
                          <w:b/>
                          <w:bCs/>
                          <w:color w:val="auto"/>
                          <w:lang w:val="en-US" w:eastAsia="zh-CN"/>
                        </w:rPr>
                      </w:pPr>
                      <w:r>
                        <w:rPr>
                          <w:rFonts w:hint="eastAsia"/>
                          <w:b/>
                          <w:bCs/>
                          <w:color w:val="auto"/>
                          <w:lang w:val="en-US" w:eastAsia="zh-CN"/>
                        </w:rPr>
                        <w:t>项目所在地</w:t>
                      </w:r>
                    </w:p>
                  </w:txbxContent>
                </v:textbox>
              </v:shape>
            </w:pict>
          </mc:Fallback>
        </mc:AlternateContent>
      </w:r>
      <w:r>
        <w:rPr>
          <w:sz w:val="24"/>
        </w:rPr>
        <mc:AlternateContent>
          <mc:Choice Requires="wps">
            <w:drawing>
              <wp:anchor distT="0" distB="0" distL="114300" distR="114300" simplePos="0" relativeHeight="251664384" behindDoc="0" locked="0" layoutInCell="1" allowOverlap="1">
                <wp:simplePos x="0" y="0"/>
                <wp:positionH relativeFrom="column">
                  <wp:posOffset>2973070</wp:posOffset>
                </wp:positionH>
                <wp:positionV relativeFrom="paragraph">
                  <wp:posOffset>3584575</wp:posOffset>
                </wp:positionV>
                <wp:extent cx="1238250" cy="316865"/>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238250" cy="3168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8D68C3">
                            <w:pPr>
                              <w:spacing w:line="240" w:lineRule="auto"/>
                              <w:jc w:val="center"/>
                              <w:rPr>
                                <w:rFonts w:hint="default" w:eastAsia="宋体"/>
                                <w:b/>
                                <w:bCs/>
                                <w:color w:val="auto"/>
                                <w:lang w:val="en-US" w:eastAsia="zh-CN"/>
                              </w:rPr>
                            </w:pPr>
                            <w:r>
                              <w:rPr>
                                <w:rFonts w:hint="eastAsia"/>
                                <w:b/>
                                <w:bCs/>
                                <w:color w:val="auto"/>
                                <w:lang w:val="en-US" w:eastAsia="zh-CN"/>
                              </w:rPr>
                              <w:t>项目所在地</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4.1pt;margin-top:282.25pt;height:24.95pt;width:97.5pt;z-index:251664384;mso-width-relative:page;mso-height-relative:page;" filled="f" stroked="f" coordsize="21600,21600" o:gfxdata="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vgzmg9oAAAALAQAADwAAAAAAAAABACAAAAAiAAAAZHJz&#10;L2Rvd25yZXYueG1sUEsBAhQAFAAAAAgAh07iQIh34gw7AgAAaAQAAA4AAAAAAAAAAQAgAAAAKQEA&#10;AGRycy9lMm9Eb2MueG1sUEsFBgAAAAAGAAYAWQEAANYFAAAAAA==&#10;">
                <v:fill on="f" focussize="0,0"/>
                <v:stroke on="f" weight="0.5pt"/>
                <v:imagedata o:title=""/>
                <o:lock v:ext="edit" aspectratio="f"/>
                <v:textbox>
                  <w:txbxContent>
                    <w:p w14:paraId="528D68C3">
                      <w:pPr>
                        <w:spacing w:line="240" w:lineRule="auto"/>
                        <w:jc w:val="center"/>
                        <w:rPr>
                          <w:rFonts w:hint="default" w:eastAsia="宋体"/>
                          <w:b/>
                          <w:bCs/>
                          <w:color w:val="auto"/>
                          <w:lang w:val="en-US" w:eastAsia="zh-CN"/>
                        </w:rPr>
                      </w:pPr>
                      <w:r>
                        <w:rPr>
                          <w:rFonts w:hint="eastAsia"/>
                          <w:b/>
                          <w:bCs/>
                          <w:color w:val="auto"/>
                          <w:lang w:val="en-US" w:eastAsia="zh-CN"/>
                        </w:rPr>
                        <w:t>项目所在地</w:t>
                      </w:r>
                    </w:p>
                  </w:txbxContent>
                </v:textbox>
              </v:shape>
            </w:pict>
          </mc:Fallback>
        </mc:AlternateContent>
      </w:r>
      <w:r>
        <w:rPr>
          <w:sz w:val="24"/>
        </w:rPr>
        <mc:AlternateContent>
          <mc:Choice Requires="wps">
            <w:drawing>
              <wp:anchor distT="0" distB="0" distL="114300" distR="114300" simplePos="0" relativeHeight="251661312" behindDoc="0" locked="0" layoutInCell="1" allowOverlap="1">
                <wp:simplePos x="0" y="0"/>
                <wp:positionH relativeFrom="column">
                  <wp:posOffset>137160</wp:posOffset>
                </wp:positionH>
                <wp:positionV relativeFrom="paragraph">
                  <wp:posOffset>4578985</wp:posOffset>
                </wp:positionV>
                <wp:extent cx="1238250" cy="316865"/>
                <wp:effectExtent l="4445" t="4445" r="14605" b="21590"/>
                <wp:wrapNone/>
                <wp:docPr id="34" name="文本框 34"/>
                <wp:cNvGraphicFramePr/>
                <a:graphic xmlns:a="http://schemas.openxmlformats.org/drawingml/2006/main">
                  <a:graphicData uri="http://schemas.microsoft.com/office/word/2010/wordprocessingShape">
                    <wps:wsp>
                      <wps:cNvSpPr txBox="1"/>
                      <wps:spPr>
                        <a:xfrm>
                          <a:off x="2005965" y="5732780"/>
                          <a:ext cx="1238250" cy="3168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A9B9EE4">
                            <w:pPr>
                              <w:spacing w:line="240" w:lineRule="auto"/>
                              <w:jc w:val="center"/>
                              <w:rPr>
                                <w:rFonts w:hint="eastAsia" w:eastAsia="宋体"/>
                                <w:b/>
                                <w:bCs/>
                                <w:lang w:val="en-US" w:eastAsia="zh-CN"/>
                              </w:rPr>
                            </w:pPr>
                            <w:r>
                              <w:rPr>
                                <w:rFonts w:hint="eastAsia"/>
                                <w:b/>
                                <w:bCs/>
                                <w:lang w:val="en-US" w:eastAsia="zh-CN"/>
                              </w:rPr>
                              <w:t>局部放大图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8pt;margin-top:360.55pt;height:24.95pt;width:97.5pt;z-index:251661312;mso-width-relative:page;mso-height-relative:page;" fillcolor="#FFFFFF [3201]" filled="t" stroked="t" coordsize="21600,21600" o:gfxdata="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YasvGtQAAAAKAQAADwAAAAAAAAABACAAAAAiAAAAZHJzL2Rvd25yZXYueG1sUEsBAhQAFAAAAAgA&#10;h07iQKdvXDliAgAAxQQAAA4AAAAAAAAAAQAgAAAAIwEAAGRycy9lMm9Eb2MueG1sUEsFBgAAAAAG&#10;AAYAWQEAAPcFAAAAAA==&#10;">
                <v:fill on="t" focussize="0,0"/>
                <v:stroke weight="0.5pt" color="#000000 [3204]" joinstyle="round"/>
                <v:imagedata o:title=""/>
                <o:lock v:ext="edit" aspectratio="f"/>
                <v:textbox>
                  <w:txbxContent>
                    <w:p w14:paraId="4A9B9EE4">
                      <w:pPr>
                        <w:spacing w:line="240" w:lineRule="auto"/>
                        <w:jc w:val="center"/>
                        <w:rPr>
                          <w:rFonts w:hint="eastAsia" w:eastAsia="宋体"/>
                          <w:b/>
                          <w:bCs/>
                          <w:lang w:val="en-US" w:eastAsia="zh-CN"/>
                        </w:rPr>
                      </w:pPr>
                      <w:r>
                        <w:rPr>
                          <w:rFonts w:hint="eastAsia"/>
                          <w:b/>
                          <w:bCs/>
                          <w:lang w:val="en-US" w:eastAsia="zh-CN"/>
                        </w:rPr>
                        <w:t>局部放大图</w:t>
                      </w:r>
                    </w:p>
                  </w:txbxContent>
                </v:textbox>
              </v:shape>
            </w:pict>
          </mc:Fallback>
        </mc:AlternateContent>
      </w:r>
      <w:r>
        <w:drawing>
          <wp:anchor distT="0" distB="0" distL="114300" distR="114300" simplePos="0" relativeHeight="251660288" behindDoc="0" locked="0" layoutInCell="1" allowOverlap="1">
            <wp:simplePos x="0" y="0"/>
            <wp:positionH relativeFrom="column">
              <wp:posOffset>137160</wp:posOffset>
            </wp:positionH>
            <wp:positionV relativeFrom="paragraph">
              <wp:posOffset>4585335</wp:posOffset>
            </wp:positionV>
            <wp:extent cx="4418330" cy="2740660"/>
            <wp:effectExtent l="9525" t="9525" r="10795" b="12065"/>
            <wp:wrapNone/>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16"/>
                    <a:stretch>
                      <a:fillRect/>
                    </a:stretch>
                  </pic:blipFill>
                  <pic:spPr>
                    <a:xfrm>
                      <a:off x="0" y="0"/>
                      <a:ext cx="4418330" cy="2740660"/>
                    </a:xfrm>
                    <a:prstGeom prst="rect">
                      <a:avLst/>
                    </a:prstGeom>
                    <a:noFill/>
                    <a:ln>
                      <a:solidFill>
                        <a:schemeClr val="tx1"/>
                      </a:solidFill>
                    </a:ln>
                  </pic:spPr>
                </pic:pic>
              </a:graphicData>
            </a:graphic>
          </wp:anchor>
        </w:drawing>
      </w:r>
      <w:r>
        <w:rPr>
          <w:sz w:val="24"/>
        </w:rPr>
        <mc:AlternateContent>
          <mc:Choice Requires="wps">
            <w:drawing>
              <wp:anchor distT="0" distB="0" distL="114300" distR="114300" simplePos="0" relativeHeight="251663360" behindDoc="0" locked="0" layoutInCell="1" allowOverlap="1">
                <wp:simplePos x="0" y="0"/>
                <wp:positionH relativeFrom="column">
                  <wp:posOffset>3396615</wp:posOffset>
                </wp:positionH>
                <wp:positionV relativeFrom="paragraph">
                  <wp:posOffset>3823335</wp:posOffset>
                </wp:positionV>
                <wp:extent cx="375920" cy="349250"/>
                <wp:effectExtent l="0" t="0" r="5080" b="12700"/>
                <wp:wrapNone/>
                <wp:docPr id="36" name="十字星 36"/>
                <wp:cNvGraphicFramePr/>
                <a:graphic xmlns:a="http://schemas.openxmlformats.org/drawingml/2006/main">
                  <a:graphicData uri="http://schemas.microsoft.com/office/word/2010/wordprocessingShape">
                    <wps:wsp>
                      <wps:cNvSpPr/>
                      <wps:spPr>
                        <a:xfrm>
                          <a:off x="0" y="0"/>
                          <a:ext cx="375920" cy="349250"/>
                        </a:xfrm>
                        <a:prstGeom prst="star4">
                          <a:avLst/>
                        </a:prstGeom>
                        <a:solidFill>
                          <a:srgbClr val="FF0000"/>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87" type="#_x0000_t187" style="position:absolute;left:0pt;margin-left:267.45pt;margin-top:301.05pt;height:27.5pt;width:29.6pt;z-index:251663360;v-text-anchor:middle;mso-width-relative:page;mso-height-relative:page;" fillcolor="#FF0000" filled="t" stroked="f" coordsize="21600,21600" o:gfxdata="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mFccz2AAAAAsBAAAPAAAAAAAAAAEAIAAAACIAAABkcnMvZG93&#10;bnJldi54bWxQSwECFAAUAAAACACHTuJAWHgnMHICAADQBAAADgAAAAAAAAABACAAAAAnAQAAZHJz&#10;L2Uyb0RvYy54bWxQSwUGAAAAAAYABgBZAQAACwYAAAAA&#10;" adj="8100">
                <v:fill on="t" focussize="0,0"/>
                <v:stroke on="f" weight="1pt" miterlimit="8" joinstyle="miter"/>
                <v:imagedata o:title=""/>
                <o:lock v:ext="edit" aspectratio="f"/>
              </v:shape>
            </w:pict>
          </mc:Fallback>
        </mc:AlternateContent>
      </w:r>
      <w:r>
        <w:rPr>
          <w:sz w:val="24"/>
        </w:rPr>
        <mc:AlternateContent>
          <mc:Choice Requires="wps">
            <w:drawing>
              <wp:anchor distT="0" distB="0" distL="114300" distR="114300" simplePos="0" relativeHeight="251662336" behindDoc="0" locked="0" layoutInCell="1" allowOverlap="1">
                <wp:simplePos x="0" y="0"/>
                <wp:positionH relativeFrom="column">
                  <wp:posOffset>2301875</wp:posOffset>
                </wp:positionH>
                <wp:positionV relativeFrom="paragraph">
                  <wp:posOffset>5824855</wp:posOffset>
                </wp:positionV>
                <wp:extent cx="375920" cy="349250"/>
                <wp:effectExtent l="0" t="0" r="5080" b="12700"/>
                <wp:wrapNone/>
                <wp:docPr id="35" name="十字星 35"/>
                <wp:cNvGraphicFramePr/>
                <a:graphic xmlns:a="http://schemas.openxmlformats.org/drawingml/2006/main">
                  <a:graphicData uri="http://schemas.microsoft.com/office/word/2010/wordprocessingShape">
                    <wps:wsp>
                      <wps:cNvSpPr/>
                      <wps:spPr>
                        <a:xfrm>
                          <a:off x="3233420" y="6867525"/>
                          <a:ext cx="375920" cy="349250"/>
                        </a:xfrm>
                        <a:prstGeom prst="star4">
                          <a:avLst/>
                        </a:prstGeom>
                        <a:solidFill>
                          <a:srgbClr val="FF0000"/>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87" type="#_x0000_t187" style="position:absolute;left:0pt;margin-left:181.25pt;margin-top:458.65pt;height:27.5pt;width:29.6pt;z-index:251662336;v-text-anchor:middle;mso-width-relative:page;mso-height-relative:page;" fillcolor="#FF0000" filled="t" stroked="f" coordsize="21600,21600" o:gfxdata="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d2fZL2AAAAAsBAAAPAAAAAAAAAAEAIAAA&#10;ACIAAABkcnMvZG93bnJldi54bWxQSwECFAAUAAAACACHTuJAnINL1X4CAADcBAAADgAAAAAAAAAB&#10;ACAAAAAnAQAAZHJzL2Uyb0RvYy54bWxQSwUGAAAAAAYABgBZAQAAFwYAAAAA&#10;" adj="8100">
                <v:fill on="t" focussize="0,0"/>
                <v:stroke on="f" weight="1pt" miterlimit="8" joinstyle="miter"/>
                <v:imagedata o:title=""/>
                <o:lock v:ext="edit" aspectratio="f"/>
              </v:shape>
            </w:pict>
          </mc:Fallback>
        </mc:AlternateContent>
      </w:r>
      <w:r>
        <w:rPr>
          <w:rFonts w:hint="eastAsia" w:eastAsia="宋体"/>
          <w:b/>
          <w:bCs/>
          <w:lang w:eastAsia="zh-CN"/>
        </w:rPr>
        <w:drawing>
          <wp:inline distT="0" distB="0" distL="114300" distR="114300">
            <wp:extent cx="5910580" cy="8350250"/>
            <wp:effectExtent l="0" t="0" r="13970" b="12700"/>
            <wp:docPr id="31" name="图片 3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片"/>
                    <pic:cNvPicPr>
                      <a:picLocks noChangeAspect="1"/>
                    </pic:cNvPicPr>
                  </pic:nvPicPr>
                  <pic:blipFill>
                    <a:blip r:embed="rId17"/>
                    <a:stretch>
                      <a:fillRect/>
                    </a:stretch>
                  </pic:blipFill>
                  <pic:spPr>
                    <a:xfrm>
                      <a:off x="0" y="0"/>
                      <a:ext cx="5910580" cy="8350250"/>
                    </a:xfrm>
                    <a:prstGeom prst="rect">
                      <a:avLst/>
                    </a:prstGeom>
                  </pic:spPr>
                </pic:pic>
              </a:graphicData>
            </a:graphic>
          </wp:inline>
        </w:drawing>
      </w:r>
    </w:p>
    <w:p w14:paraId="60E216F7">
      <w:pPr>
        <w:bidi w:val="0"/>
        <w:jc w:val="center"/>
        <w:rPr>
          <w:rFonts w:hint="eastAsia" w:eastAsia="宋体"/>
          <w:b/>
          <w:bCs/>
          <w:lang w:eastAsia="zh-CN"/>
        </w:rPr>
        <w:sectPr>
          <w:pgSz w:w="11906" w:h="16838"/>
          <w:pgMar w:top="1417" w:right="1134" w:bottom="1134" w:left="1417" w:header="851" w:footer="992" w:gutter="0"/>
          <w:pgNumType w:fmt="decimal"/>
          <w:cols w:space="0" w:num="1"/>
          <w:rtlGutter w:val="0"/>
          <w:docGrid w:type="lines" w:linePitch="312" w:charSpace="0"/>
        </w:sectPr>
      </w:pPr>
      <w:r>
        <w:rPr>
          <w:b/>
          <w:bCs/>
        </w:rPr>
        <w:t>图</w:t>
      </w:r>
      <w:r>
        <w:rPr>
          <w:rFonts w:hint="eastAsia"/>
          <w:b/>
          <w:bCs/>
          <w:lang w:val="en-US" w:eastAsia="zh-CN"/>
        </w:rPr>
        <w:t>2.5.2-3</w:t>
      </w:r>
      <w:r>
        <w:rPr>
          <w:b/>
          <w:bCs/>
        </w:rPr>
        <w:t xml:space="preserve"> </w:t>
      </w:r>
      <w:r>
        <w:rPr>
          <w:rFonts w:hint="eastAsia"/>
          <w:b/>
          <w:bCs/>
          <w:lang w:val="en-US" w:eastAsia="zh-CN"/>
        </w:rPr>
        <w:t>项目与合肥市国土空间总体规划位置关系</w:t>
      </w:r>
      <w:r>
        <w:rPr>
          <w:b/>
          <w:bCs/>
        </w:rPr>
        <w:t>图</w:t>
      </w:r>
    </w:p>
    <w:p w14:paraId="30198F57">
      <w:pPr>
        <w:bidi w:val="0"/>
      </w:pPr>
      <w:r>
        <w:rPr>
          <w:rFonts w:hint="eastAsia"/>
          <w:b/>
          <w:bCs/>
          <w:lang w:eastAsia="zh-CN"/>
        </w:rPr>
        <w:t>2.</w:t>
      </w:r>
      <w:r>
        <w:rPr>
          <w:rFonts w:hint="eastAsia"/>
          <w:b/>
          <w:bCs/>
          <w:lang w:val="en-US" w:eastAsia="zh-CN"/>
        </w:rPr>
        <w:t>5</w:t>
      </w:r>
      <w:r>
        <w:rPr>
          <w:b/>
          <w:bCs/>
        </w:rPr>
        <w:t>.3 规划符合性</w:t>
      </w:r>
      <w:r>
        <w:rPr>
          <w:rFonts w:hint="eastAsia"/>
          <w:b/>
          <w:bCs/>
          <w:lang w:val="en-US" w:eastAsia="zh-CN"/>
        </w:rPr>
        <w:t>分析</w:t>
      </w:r>
    </w:p>
    <w:p w14:paraId="4307539E">
      <w:pPr>
        <w:bidi w:val="0"/>
        <w:rPr>
          <w:rFonts w:hint="default" w:eastAsia="宋体"/>
          <w:b/>
          <w:bCs/>
          <w:lang w:val="en-US" w:eastAsia="zh-CN"/>
        </w:rPr>
      </w:pPr>
      <w:r>
        <w:rPr>
          <w:rFonts w:hint="eastAsia"/>
          <w:b/>
          <w:bCs/>
          <w:lang w:val="en-US" w:eastAsia="zh-CN"/>
        </w:rPr>
        <w:t>2.5.3.1 与</w:t>
      </w:r>
      <w:r>
        <w:rPr>
          <w:b/>
          <w:bCs/>
        </w:rPr>
        <w:t>《合肥循环经济示范园总体发展规划》（2022-2035年）</w:t>
      </w:r>
      <w:r>
        <w:rPr>
          <w:rFonts w:hint="eastAsia"/>
          <w:b/>
          <w:bCs/>
          <w:lang w:val="en-US" w:eastAsia="zh-CN"/>
        </w:rPr>
        <w:t>符合性分析</w:t>
      </w:r>
    </w:p>
    <w:p w14:paraId="19DEF8D6">
      <w:pPr>
        <w:bidi w:val="0"/>
        <w:ind w:firstLine="480" w:firstLineChars="200"/>
      </w:pPr>
      <w:r>
        <w:t>根据《合肥循环经济示范园总体发展规划》（2022-2035年），规划区四至范围：东起裕溪路和淮南铁路，南至锦绣大道，西至店忠路、店埠河，北邻撮镇灌溉渠，共计34.74平方公里，包含已认定的6.94平方公里的合肥肥东化工园。</w:t>
      </w:r>
    </w:p>
    <w:p w14:paraId="230FE97E">
      <w:pPr>
        <w:bidi w:val="0"/>
        <w:ind w:firstLine="480" w:firstLineChars="200"/>
      </w:pPr>
      <w:r>
        <w:t>规划主导产业：新材料产业、智能产业、高端装备制造业、现代物流业，积极发展机械加工产业、静脉产业、现代农业和智慧城市产业。对于新材料产业，紧紧把握国家产业发展趋势，结合园区产业基础和区域资源优势，积极培育绿色化工、新型金属材料、新型能源材料和新型建筑材料四大特色新材料产业。</w:t>
      </w:r>
    </w:p>
    <w:p w14:paraId="52A8E6C8">
      <w:pPr>
        <w:bidi w:val="0"/>
        <w:ind w:firstLine="480" w:firstLineChars="200"/>
      </w:pPr>
      <w:r>
        <w:t>本项目位于合肥循环经济示范园龙兴大道与乳泉路交口东北角，项目所在地块属于工业用地，项目为光伏设备及元器件制造，属于新材料产业，为园区主导产业，因此，本项目建设符合合肥循环经济示范园总体发展规划要求。</w:t>
      </w:r>
    </w:p>
    <w:p w14:paraId="67A07109">
      <w:pPr>
        <w:bidi w:val="0"/>
        <w:rPr>
          <w:rFonts w:hint="eastAsia"/>
          <w:b/>
          <w:bCs/>
          <w:lang w:val="en-US" w:eastAsia="zh-CN"/>
        </w:rPr>
      </w:pPr>
      <w:r>
        <w:rPr>
          <w:rFonts w:hint="eastAsia"/>
          <w:b/>
          <w:bCs/>
          <w:lang w:val="en-US" w:eastAsia="zh-CN"/>
        </w:rPr>
        <w:t>2.5.3.2 与</w:t>
      </w:r>
      <w:r>
        <w:rPr>
          <w:rFonts w:hint="default" w:ascii="Times New Roman" w:hAnsi="Times New Roman" w:eastAsia="宋体" w:cs="Times New Roman"/>
          <w:b/>
          <w:bCs/>
          <w:color w:val="auto"/>
          <w:kern w:val="2"/>
          <w:sz w:val="24"/>
          <w:szCs w:val="24"/>
          <w:lang w:val="en-US" w:eastAsia="zh-CN" w:bidi="ar-SA"/>
        </w:rPr>
        <w:t>《</w:t>
      </w:r>
      <w:r>
        <w:rPr>
          <w:rFonts w:hint="eastAsia" w:ascii="Times New Roman" w:hAnsi="Times New Roman" w:eastAsia="宋体" w:cs="Times New Roman"/>
          <w:b/>
          <w:bCs/>
          <w:color w:val="auto"/>
          <w:kern w:val="2"/>
          <w:sz w:val="24"/>
          <w:szCs w:val="24"/>
          <w:lang w:val="en-US" w:eastAsia="zh-CN" w:bidi="ar-SA"/>
        </w:rPr>
        <w:t>合肥市国土空间总体规划（2021-2035）</w:t>
      </w:r>
      <w:r>
        <w:rPr>
          <w:rFonts w:hint="default" w:ascii="Times New Roman" w:hAnsi="Times New Roman" w:eastAsia="宋体" w:cs="Times New Roman"/>
          <w:b/>
          <w:bCs/>
          <w:color w:val="auto"/>
          <w:kern w:val="2"/>
          <w:sz w:val="24"/>
          <w:szCs w:val="24"/>
          <w:lang w:val="en-US" w:eastAsia="zh-CN" w:bidi="ar-SA"/>
        </w:rPr>
        <w:t>》</w:t>
      </w:r>
      <w:r>
        <w:rPr>
          <w:rFonts w:hint="default" w:ascii="Times New Roman" w:hAnsi="Times New Roman" w:eastAsia="宋体" w:cs="Times New Roman"/>
          <w:b/>
          <w:bCs/>
          <w:color w:val="auto"/>
          <w:sz w:val="24"/>
          <w:szCs w:val="24"/>
          <w:lang w:val="en-US" w:eastAsia="zh-CN"/>
        </w:rPr>
        <w:t>符合性分析</w:t>
      </w:r>
    </w:p>
    <w:p w14:paraId="51A33FB0">
      <w:pPr>
        <w:keepNext w:val="0"/>
        <w:keepLines w:val="0"/>
        <w:pageBreakBefore w:val="0"/>
        <w:numPr>
          <w:ilvl w:val="0"/>
          <w:numId w:val="0"/>
        </w:numPr>
        <w:kinsoku/>
        <w:wordWrap/>
        <w:overflowPunct/>
        <w:topLinePunct w:val="0"/>
        <w:bidi w:val="0"/>
        <w:spacing w:beforeAutospacing="0" w:afterAutospacing="0"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合肥是安徽省省会，长三角地区重要的中心城市，全国性综合交通枢纽城市。规划要求：“强化底线管控，构建国土空间开发保护新格局。在优先划定耕地和永久基本农田保护红线、生态保护红线的基础上，顺应自然地理格局，按照集约适度、绿色发展要求划定城镇开发边界。全市划定城镇开发边界面积1289.30平方千米，主要位于中心城区、县（市）城区、产业园区的镇区等。严控城镇建设用地总量，引导形成集约紧凑的城镇空间格局”</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规划同时指出：“优化中心城区空间布局，提升城市宜居品质。按照主导功能，将城镇发展区和乡村发展区进一步细化至二级规划分区。其中，城镇发展区细化为居住生活区、综合服务区、商业商务区、工业发展区、物流仓储区、绿地休闲区、交通枢纽区，战略预留区、城镇弹性发展区、特别用途区，对城市功能的空间布局进行结构化控制；居住生活区以住宅建筑和居住配套设施为主要功能导向的区域，宜兼容布局相应的公共管理与公共服务用地、公用设施用地、商业服务业用地、绿地与开敞空间用地等。”</w:t>
      </w:r>
    </w:p>
    <w:p w14:paraId="297DE42C">
      <w:pPr>
        <w:keepNext w:val="0"/>
        <w:keepLines w:val="0"/>
        <w:pageBreakBefore w:val="0"/>
        <w:numPr>
          <w:ilvl w:val="0"/>
          <w:numId w:val="0"/>
        </w:numPr>
        <w:kinsoku/>
        <w:wordWrap/>
        <w:overflowPunct/>
        <w:topLinePunct w:val="0"/>
        <w:bidi w:val="0"/>
        <w:spacing w:beforeAutospacing="0" w:afterAutospacing="0" w:line="360" w:lineRule="auto"/>
        <w:ind w:firstLine="480" w:firstLineChars="200"/>
        <w:jc w:val="left"/>
        <w:rPr>
          <w:rFonts w:hint="eastAsia" w:cs="Times New Roman"/>
          <w:color w:val="auto"/>
          <w:szCs w:val="21"/>
          <w:highlight w:val="none"/>
          <w:lang w:val="en-US" w:eastAsia="zh-CN"/>
        </w:rPr>
      </w:pPr>
      <w:r>
        <w:rPr>
          <w:rFonts w:hint="eastAsia" w:ascii="Times New Roman" w:hAnsi="Times New Roman" w:eastAsia="宋体" w:cs="Times New Roman"/>
          <w:color w:val="auto"/>
          <w:sz w:val="24"/>
          <w:szCs w:val="24"/>
          <w:lang w:val="en-US" w:eastAsia="zh-CN"/>
        </w:rPr>
        <w:t>本次技改项目属于</w:t>
      </w:r>
      <w:r>
        <w:rPr>
          <w:rFonts w:hint="eastAsia"/>
          <w:color w:val="auto"/>
          <w:sz w:val="24"/>
          <w:lang w:val="en-US" w:eastAsia="zh-CN"/>
        </w:rPr>
        <w:t>“</w:t>
      </w:r>
      <w:r>
        <w:t>光伏设备及元器件制造 C3825</w:t>
      </w:r>
      <w:r>
        <w:rPr>
          <w:rFonts w:hint="eastAsia"/>
          <w:color w:val="auto"/>
          <w:sz w:val="24"/>
          <w:lang w:val="en-US" w:eastAsia="zh-CN"/>
        </w:rPr>
        <w:t>”</w:t>
      </w:r>
      <w:r>
        <w:rPr>
          <w:rFonts w:hint="eastAsia"/>
          <w:color w:val="auto"/>
          <w:spacing w:val="-5"/>
          <w:lang w:eastAsia="zh-CN"/>
        </w:rPr>
        <w:t>，</w:t>
      </w:r>
      <w:r>
        <w:rPr>
          <w:rFonts w:hint="eastAsia"/>
          <w:color w:val="auto"/>
          <w:spacing w:val="-5"/>
          <w:lang w:val="en-US" w:eastAsia="zh-CN"/>
        </w:rPr>
        <w:t>位于</w:t>
      </w:r>
      <w:r>
        <w:t>合肥循环经济示范园龙兴大道与乳泉路交口东北角</w:t>
      </w:r>
      <w:r>
        <w:rPr>
          <w:rFonts w:hint="eastAsia" w:cs="Times New Roman"/>
          <w:color w:val="auto"/>
          <w:szCs w:val="21"/>
          <w:highlight w:val="none"/>
          <w:lang w:val="en-US" w:eastAsia="zh-CN"/>
        </w:rPr>
        <w:t>。根据</w:t>
      </w:r>
      <w:r>
        <w:rPr>
          <w:rFonts w:hint="default" w:ascii="Times New Roman" w:hAnsi="Times New Roman" w:cs="Times New Roman"/>
          <w:color w:val="auto"/>
          <w:szCs w:val="21"/>
          <w:highlight w:val="none"/>
          <w:lang w:val="en-US" w:eastAsia="zh-CN"/>
        </w:rPr>
        <w:t>《合肥市国土空间总体规划（2021-2035）》</w:t>
      </w:r>
      <w:r>
        <w:rPr>
          <w:rFonts w:hint="eastAsia" w:ascii="Times New Roman" w:hAnsi="Times New Roman" w:cs="Times New Roman"/>
          <w:color w:val="auto"/>
          <w:szCs w:val="21"/>
          <w:highlight w:val="none"/>
          <w:lang w:val="en-US" w:eastAsia="zh-CN"/>
        </w:rPr>
        <w:t>“</w:t>
      </w:r>
      <w:r>
        <w:rPr>
          <w:rFonts w:hint="default" w:ascii="Times New Roman" w:hAnsi="Times New Roman" w:cs="Times New Roman"/>
          <w:color w:val="auto"/>
          <w:szCs w:val="21"/>
          <w:highlight w:val="none"/>
          <w:lang w:val="en-US" w:eastAsia="zh-CN"/>
        </w:rPr>
        <w:t>市域三条控制线</w:t>
      </w:r>
      <w:r>
        <w:rPr>
          <w:rFonts w:hint="eastAsia" w:ascii="Times New Roman" w:hAnsi="Times New Roman" w:cs="Times New Roman"/>
          <w:color w:val="auto"/>
          <w:szCs w:val="21"/>
          <w:highlight w:val="none"/>
          <w:lang w:val="en-US" w:eastAsia="zh-CN"/>
        </w:rPr>
        <w:t>图”</w:t>
      </w:r>
      <w:r>
        <w:rPr>
          <w:rFonts w:hint="default" w:ascii="Times New Roman" w:hAnsi="Times New Roman" w:cs="Times New Roman"/>
          <w:color w:val="auto"/>
          <w:szCs w:val="21"/>
          <w:highlight w:val="none"/>
          <w:lang w:val="en-US" w:eastAsia="zh-CN"/>
        </w:rPr>
        <w:t>，</w:t>
      </w:r>
      <w:r>
        <w:rPr>
          <w:rFonts w:hint="eastAsia" w:cs="Times New Roman"/>
          <w:color w:val="auto"/>
          <w:szCs w:val="21"/>
          <w:highlight w:val="none"/>
          <w:lang w:val="en-US" w:eastAsia="zh-CN"/>
        </w:rPr>
        <w:t>项目选址位于城镇开发边界范围内，不涉及“三区三线”划定成果中的生态保护红线和永久基本农田，符合区域空间用地布局的要求。</w:t>
      </w:r>
    </w:p>
    <w:p w14:paraId="6933E7BB">
      <w:pPr>
        <w:bidi w:val="0"/>
        <w:ind w:firstLine="480" w:firstLineChars="200"/>
        <w:rPr>
          <w:rFonts w:hint="eastAsia"/>
          <w:b/>
          <w:bCs/>
          <w:lang w:val="en-US" w:eastAsia="zh-CN"/>
        </w:rPr>
      </w:pPr>
      <w:r>
        <w:rPr>
          <w:rFonts w:hint="eastAsia" w:cs="Times New Roman"/>
          <w:color w:val="auto"/>
          <w:szCs w:val="21"/>
          <w:highlight w:val="none"/>
          <w:lang w:val="en-US" w:eastAsia="zh-CN"/>
        </w:rPr>
        <w:t>综上，项目符合《合肥市国土空间总体规划（2021-2035）》的要求。</w:t>
      </w:r>
    </w:p>
    <w:p w14:paraId="5500C9D0">
      <w:pPr>
        <w:bidi w:val="0"/>
        <w:rPr>
          <w:rFonts w:hint="eastAsia"/>
          <w:b/>
          <w:bCs/>
          <w:lang w:val="en-US" w:eastAsia="zh-CN"/>
        </w:rPr>
      </w:pPr>
      <w:r>
        <w:rPr>
          <w:rFonts w:hint="eastAsia"/>
          <w:b/>
          <w:bCs/>
          <w:lang w:val="en-US" w:eastAsia="zh-CN"/>
        </w:rPr>
        <w:t>2.5.4 规划环境影响评价符合性分析</w:t>
      </w:r>
    </w:p>
    <w:p w14:paraId="6D67EB84">
      <w:pPr>
        <w:bidi w:val="0"/>
        <w:ind w:firstLine="480" w:firstLineChars="200"/>
        <w:rPr>
          <w:rFonts w:hint="eastAsia"/>
          <w:lang w:val="en-US" w:eastAsia="zh-CN"/>
        </w:rPr>
      </w:pPr>
      <w:r>
        <w:rPr>
          <w:rFonts w:hint="eastAsia"/>
          <w:lang w:val="en-US" w:eastAsia="zh-CN"/>
        </w:rPr>
        <w:t>项目与《合肥循环经济示范园总体发展规划（2022-2035 年）环境影响报告书》及其审查意见的符合性分析如下：</w:t>
      </w:r>
    </w:p>
    <w:p w14:paraId="3B0105F9">
      <w:pPr>
        <w:bidi w:val="0"/>
        <w:jc w:val="center"/>
        <w:rPr>
          <w:rFonts w:hint="eastAsia"/>
          <w:b/>
          <w:bCs/>
          <w:lang w:val="en-US" w:eastAsia="zh-CN"/>
        </w:rPr>
      </w:pPr>
      <w:r>
        <w:rPr>
          <w:rFonts w:hint="eastAsia"/>
          <w:b/>
          <w:bCs/>
          <w:lang w:val="en-US" w:eastAsia="zh-CN"/>
        </w:rPr>
        <w:t>表2.5.4-1 项目与规划环境影响报告书及审查意见符合性分析</w:t>
      </w:r>
    </w:p>
    <w:tbl>
      <w:tblPr>
        <w:tblStyle w:val="25"/>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708"/>
        <w:gridCol w:w="4899"/>
        <w:gridCol w:w="3015"/>
        <w:gridCol w:w="739"/>
      </w:tblGrid>
      <w:tr w14:paraId="5AE952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34CD727B">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序号</w:t>
            </w:r>
          </w:p>
        </w:tc>
        <w:tc>
          <w:tcPr>
            <w:tcW w:w="4772" w:type="dxa"/>
            <w:vAlign w:val="center"/>
          </w:tcPr>
          <w:p w14:paraId="0DF8E6E6">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报告书及审查意见要求</w:t>
            </w:r>
          </w:p>
        </w:tc>
        <w:tc>
          <w:tcPr>
            <w:tcW w:w="2937" w:type="dxa"/>
            <w:vAlign w:val="center"/>
          </w:tcPr>
          <w:p w14:paraId="1343B6BF">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本项目情况</w:t>
            </w:r>
          </w:p>
        </w:tc>
        <w:tc>
          <w:tcPr>
            <w:tcW w:w="720" w:type="dxa"/>
            <w:vAlign w:val="center"/>
          </w:tcPr>
          <w:p w14:paraId="39AA892A">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符合分析</w:t>
            </w:r>
          </w:p>
        </w:tc>
      </w:tr>
      <w:tr w14:paraId="5ACBA5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6EA2095C">
            <w:pPr>
              <w:widowControl w:val="0"/>
              <w:bidi w:val="0"/>
              <w:spacing w:line="240" w:lineRule="auto"/>
              <w:jc w:val="center"/>
              <w:rPr>
                <w:rFonts w:hint="eastAsia"/>
                <w:sz w:val="21"/>
                <w:szCs w:val="21"/>
                <w:lang w:val="en-US" w:eastAsia="zh-CN"/>
              </w:rPr>
            </w:pPr>
            <w:r>
              <w:rPr>
                <w:rFonts w:hint="eastAsia"/>
                <w:sz w:val="21"/>
                <w:szCs w:val="21"/>
                <w:lang w:val="en-US" w:eastAsia="zh-CN"/>
              </w:rPr>
              <w:t>1</w:t>
            </w:r>
          </w:p>
        </w:tc>
        <w:tc>
          <w:tcPr>
            <w:tcW w:w="4772" w:type="dxa"/>
            <w:vAlign w:val="center"/>
          </w:tcPr>
          <w:p w14:paraId="24257440">
            <w:pPr>
              <w:widowControl w:val="0"/>
              <w:bidi w:val="0"/>
              <w:spacing w:line="240" w:lineRule="auto"/>
              <w:jc w:val="center"/>
              <w:rPr>
                <w:rFonts w:hint="eastAsia"/>
                <w:sz w:val="21"/>
                <w:szCs w:val="21"/>
                <w:lang w:val="en-US" w:eastAsia="zh-CN"/>
              </w:rPr>
            </w:pPr>
            <w:r>
              <w:rPr>
                <w:rFonts w:hint="eastAsia"/>
                <w:sz w:val="21"/>
                <w:szCs w:val="21"/>
                <w:lang w:val="en-US" w:eastAsia="zh-CN"/>
              </w:rPr>
              <w:t>提高项目准入门槛。禁止引进制革、印染、电镀、炼焦、食品制造、农副食品加工、畜牧业、炸药、火工及焰火产品制造等行业以及违反国家产业政策的建设项目。在园区保留的化工集中区内可发展与园区主导产业及现有化工企业相关的化工行业。</w:t>
            </w:r>
          </w:p>
        </w:tc>
        <w:tc>
          <w:tcPr>
            <w:tcW w:w="2937" w:type="dxa"/>
            <w:vAlign w:val="center"/>
          </w:tcPr>
          <w:p w14:paraId="34376653">
            <w:pPr>
              <w:widowControl w:val="0"/>
              <w:bidi w:val="0"/>
              <w:spacing w:line="240" w:lineRule="auto"/>
              <w:jc w:val="center"/>
              <w:rPr>
                <w:rFonts w:hint="eastAsia"/>
                <w:sz w:val="21"/>
                <w:szCs w:val="21"/>
                <w:lang w:val="en-US" w:eastAsia="zh-CN"/>
              </w:rPr>
            </w:pPr>
            <w:r>
              <w:rPr>
                <w:rFonts w:hint="eastAsia"/>
                <w:sz w:val="21"/>
                <w:szCs w:val="21"/>
                <w:lang w:val="en-US" w:eastAsia="zh-CN"/>
              </w:rPr>
              <w:t>项目为光伏设备及元器件制造，属于新材料产业，为园区主导产业，符合合肥循环经济示范园产业定位</w:t>
            </w:r>
          </w:p>
        </w:tc>
        <w:tc>
          <w:tcPr>
            <w:tcW w:w="720" w:type="dxa"/>
            <w:vAlign w:val="center"/>
          </w:tcPr>
          <w:p w14:paraId="4329C8D6">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3506F1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5D7416E5">
            <w:pPr>
              <w:widowControl w:val="0"/>
              <w:bidi w:val="0"/>
              <w:spacing w:line="240" w:lineRule="auto"/>
              <w:jc w:val="center"/>
              <w:rPr>
                <w:rFonts w:hint="eastAsia"/>
                <w:sz w:val="21"/>
                <w:szCs w:val="21"/>
                <w:lang w:val="en-US" w:eastAsia="zh-CN"/>
              </w:rPr>
            </w:pPr>
            <w:r>
              <w:rPr>
                <w:rFonts w:hint="eastAsia"/>
                <w:sz w:val="21"/>
                <w:szCs w:val="21"/>
                <w:lang w:val="en-US" w:eastAsia="zh-CN"/>
              </w:rPr>
              <w:t>2</w:t>
            </w:r>
          </w:p>
        </w:tc>
        <w:tc>
          <w:tcPr>
            <w:tcW w:w="4772" w:type="dxa"/>
            <w:vAlign w:val="center"/>
          </w:tcPr>
          <w:p w14:paraId="09694E74">
            <w:pPr>
              <w:widowControl w:val="0"/>
              <w:bidi w:val="0"/>
              <w:spacing w:line="240" w:lineRule="auto"/>
              <w:jc w:val="center"/>
              <w:rPr>
                <w:rFonts w:hint="eastAsia"/>
                <w:sz w:val="21"/>
                <w:szCs w:val="21"/>
                <w:lang w:val="en-US" w:eastAsia="zh-CN"/>
              </w:rPr>
            </w:pPr>
            <w:r>
              <w:rPr>
                <w:rFonts w:hint="eastAsia"/>
                <w:sz w:val="21"/>
                <w:szCs w:val="21"/>
                <w:lang w:val="en-US" w:eastAsia="zh-CN"/>
              </w:rPr>
              <w:t>贯彻循环经济理念，提倡采取中水回用等措施减少水资源消耗量，降低废水排放量，提高区域水资源利用率。</w:t>
            </w:r>
          </w:p>
        </w:tc>
        <w:tc>
          <w:tcPr>
            <w:tcW w:w="2937" w:type="dxa"/>
            <w:vAlign w:val="center"/>
          </w:tcPr>
          <w:p w14:paraId="10D81038">
            <w:pPr>
              <w:widowControl w:val="0"/>
              <w:bidi w:val="0"/>
              <w:spacing w:line="240" w:lineRule="auto"/>
              <w:jc w:val="center"/>
              <w:rPr>
                <w:rFonts w:hint="eastAsia"/>
                <w:sz w:val="21"/>
                <w:szCs w:val="21"/>
                <w:lang w:val="en-US" w:eastAsia="zh-CN"/>
              </w:rPr>
            </w:pPr>
            <w:r>
              <w:rPr>
                <w:rFonts w:hint="eastAsia"/>
                <w:sz w:val="21"/>
                <w:szCs w:val="21"/>
                <w:lang w:val="en-US" w:eastAsia="zh-CN"/>
              </w:rPr>
              <w:t>本项目为技改项目，建设单位现有工程已严格贯彻循环经济理念，减少水资源消耗量，降低废水排放量，提高区域水资源利用率</w:t>
            </w:r>
          </w:p>
        </w:tc>
        <w:tc>
          <w:tcPr>
            <w:tcW w:w="720" w:type="dxa"/>
            <w:vAlign w:val="center"/>
          </w:tcPr>
          <w:p w14:paraId="2217B326">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541317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6A9EB05E">
            <w:pPr>
              <w:widowControl w:val="0"/>
              <w:bidi w:val="0"/>
              <w:spacing w:line="240" w:lineRule="auto"/>
              <w:jc w:val="center"/>
              <w:rPr>
                <w:rFonts w:hint="eastAsia"/>
                <w:sz w:val="21"/>
                <w:szCs w:val="21"/>
                <w:lang w:val="en-US" w:eastAsia="zh-CN"/>
              </w:rPr>
            </w:pPr>
            <w:r>
              <w:rPr>
                <w:rFonts w:hint="eastAsia"/>
                <w:sz w:val="21"/>
                <w:szCs w:val="21"/>
                <w:lang w:val="en-US" w:eastAsia="zh-CN"/>
              </w:rPr>
              <w:t>3</w:t>
            </w:r>
          </w:p>
        </w:tc>
        <w:tc>
          <w:tcPr>
            <w:tcW w:w="4772" w:type="dxa"/>
            <w:vAlign w:val="center"/>
          </w:tcPr>
          <w:p w14:paraId="304E1D20">
            <w:pPr>
              <w:widowControl w:val="0"/>
              <w:bidi w:val="0"/>
              <w:spacing w:line="240" w:lineRule="auto"/>
              <w:jc w:val="center"/>
              <w:rPr>
                <w:rFonts w:hint="eastAsia"/>
                <w:sz w:val="21"/>
                <w:szCs w:val="21"/>
                <w:lang w:val="en-US" w:eastAsia="zh-CN"/>
              </w:rPr>
            </w:pPr>
            <w:r>
              <w:rPr>
                <w:rFonts w:hint="eastAsia"/>
                <w:sz w:val="21"/>
                <w:szCs w:val="21"/>
                <w:lang w:val="en-US" w:eastAsia="zh-CN"/>
              </w:rPr>
              <w:t>入区项目要采用先进的生产工艺和装备，采用高水平的污染治理措施。清洁生产水平现阶段要按国内先进水平要求，并逐步提高。</w:t>
            </w:r>
          </w:p>
        </w:tc>
        <w:tc>
          <w:tcPr>
            <w:tcW w:w="2937" w:type="dxa"/>
            <w:vAlign w:val="center"/>
          </w:tcPr>
          <w:p w14:paraId="25585007">
            <w:pPr>
              <w:widowControl w:val="0"/>
              <w:bidi w:val="0"/>
              <w:spacing w:line="240" w:lineRule="auto"/>
              <w:jc w:val="center"/>
              <w:rPr>
                <w:rFonts w:hint="eastAsia"/>
                <w:sz w:val="21"/>
                <w:szCs w:val="21"/>
                <w:lang w:val="en-US" w:eastAsia="zh-CN"/>
              </w:rPr>
            </w:pPr>
            <w:r>
              <w:rPr>
                <w:rFonts w:hint="eastAsia"/>
                <w:sz w:val="21"/>
                <w:szCs w:val="21"/>
                <w:lang w:val="en-US" w:eastAsia="zh-CN"/>
              </w:rPr>
              <w:t>项目采用了先进的生产工艺和装备，采用了高水平的污染治理措施。清洁生产水平达到国内先进水平要求</w:t>
            </w:r>
          </w:p>
        </w:tc>
        <w:tc>
          <w:tcPr>
            <w:tcW w:w="720" w:type="dxa"/>
            <w:vAlign w:val="center"/>
          </w:tcPr>
          <w:p w14:paraId="7DE3CF9C">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3B8F12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5E8C08B5">
            <w:pPr>
              <w:widowControl w:val="0"/>
              <w:bidi w:val="0"/>
              <w:spacing w:line="240" w:lineRule="auto"/>
              <w:jc w:val="center"/>
              <w:rPr>
                <w:rFonts w:hint="eastAsia"/>
                <w:sz w:val="21"/>
                <w:szCs w:val="21"/>
                <w:lang w:val="en-US" w:eastAsia="zh-CN"/>
              </w:rPr>
            </w:pPr>
            <w:r>
              <w:rPr>
                <w:rFonts w:hint="eastAsia"/>
                <w:sz w:val="21"/>
                <w:szCs w:val="21"/>
                <w:lang w:val="en-US" w:eastAsia="zh-CN"/>
              </w:rPr>
              <w:t>4</w:t>
            </w:r>
          </w:p>
        </w:tc>
        <w:tc>
          <w:tcPr>
            <w:tcW w:w="4772" w:type="dxa"/>
            <w:vAlign w:val="center"/>
          </w:tcPr>
          <w:p w14:paraId="2EF49945">
            <w:pPr>
              <w:widowControl w:val="0"/>
              <w:bidi w:val="0"/>
              <w:spacing w:line="240" w:lineRule="auto"/>
              <w:jc w:val="center"/>
              <w:rPr>
                <w:rFonts w:hint="eastAsia"/>
                <w:sz w:val="21"/>
                <w:szCs w:val="21"/>
                <w:lang w:val="en-US" w:eastAsia="zh-CN"/>
              </w:rPr>
            </w:pPr>
            <w:r>
              <w:rPr>
                <w:rFonts w:hint="eastAsia"/>
                <w:sz w:val="21"/>
                <w:szCs w:val="21"/>
                <w:lang w:val="en-US" w:eastAsia="zh-CN"/>
              </w:rPr>
              <w:t>严格执行国家节能减排政策，控制水、气等污染物排放总量，制定污染物总量削减方案。区域污染物排放总量应控制在市下达的指标内。</w:t>
            </w:r>
          </w:p>
        </w:tc>
        <w:tc>
          <w:tcPr>
            <w:tcW w:w="2937" w:type="dxa"/>
            <w:vAlign w:val="center"/>
          </w:tcPr>
          <w:p w14:paraId="4F4F1239">
            <w:pPr>
              <w:widowControl w:val="0"/>
              <w:bidi w:val="0"/>
              <w:spacing w:line="240" w:lineRule="auto"/>
              <w:jc w:val="center"/>
              <w:rPr>
                <w:rFonts w:hint="eastAsia"/>
                <w:sz w:val="21"/>
                <w:szCs w:val="21"/>
                <w:lang w:val="en-US" w:eastAsia="zh-CN"/>
              </w:rPr>
            </w:pPr>
            <w:r>
              <w:rPr>
                <w:rFonts w:hint="eastAsia"/>
                <w:sz w:val="21"/>
                <w:szCs w:val="21"/>
                <w:lang w:val="en-US" w:eastAsia="zh-CN"/>
              </w:rPr>
              <w:t>本次技改项目新增废气排放量合计为颗粒物：1.319t/a、VOCs：2.875t/a，总量控制在市下达的指标内</w:t>
            </w:r>
          </w:p>
        </w:tc>
        <w:tc>
          <w:tcPr>
            <w:tcW w:w="720" w:type="dxa"/>
            <w:vAlign w:val="center"/>
          </w:tcPr>
          <w:p w14:paraId="1D42DF2C">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31BAFA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0445D6C4">
            <w:pPr>
              <w:widowControl w:val="0"/>
              <w:bidi w:val="0"/>
              <w:spacing w:line="240" w:lineRule="auto"/>
              <w:jc w:val="center"/>
              <w:rPr>
                <w:rFonts w:hint="eastAsia"/>
                <w:sz w:val="21"/>
                <w:szCs w:val="21"/>
                <w:lang w:val="en-US" w:eastAsia="zh-CN"/>
              </w:rPr>
            </w:pPr>
            <w:r>
              <w:rPr>
                <w:rFonts w:hint="eastAsia"/>
                <w:sz w:val="21"/>
                <w:szCs w:val="21"/>
                <w:lang w:val="en-US" w:eastAsia="zh-CN"/>
              </w:rPr>
              <w:t>5</w:t>
            </w:r>
          </w:p>
        </w:tc>
        <w:tc>
          <w:tcPr>
            <w:tcW w:w="4772" w:type="dxa"/>
            <w:vAlign w:val="center"/>
          </w:tcPr>
          <w:p w14:paraId="3AE4D533">
            <w:pPr>
              <w:widowControl w:val="0"/>
              <w:bidi w:val="0"/>
              <w:spacing w:line="240" w:lineRule="auto"/>
              <w:jc w:val="center"/>
              <w:rPr>
                <w:rFonts w:hint="eastAsia"/>
                <w:sz w:val="21"/>
                <w:szCs w:val="21"/>
                <w:lang w:val="en-US" w:eastAsia="zh-CN"/>
              </w:rPr>
            </w:pPr>
            <w:r>
              <w:rPr>
                <w:rFonts w:hint="eastAsia"/>
                <w:sz w:val="21"/>
                <w:szCs w:val="21"/>
                <w:lang w:val="en-US" w:eastAsia="zh-CN"/>
              </w:rPr>
              <w:t>严格落实各项环境影响减缓措施、环境风险防范措施，入区企业要在园区环境风险应急处置框架下，制定并完善环境应急预案，在具体项目建设运行中细化落实，确保环境安全。</w:t>
            </w:r>
          </w:p>
        </w:tc>
        <w:tc>
          <w:tcPr>
            <w:tcW w:w="2937" w:type="dxa"/>
            <w:vAlign w:val="center"/>
          </w:tcPr>
          <w:p w14:paraId="5F1268AD">
            <w:pPr>
              <w:widowControl w:val="0"/>
              <w:bidi w:val="0"/>
              <w:spacing w:line="240" w:lineRule="auto"/>
              <w:jc w:val="center"/>
              <w:rPr>
                <w:rFonts w:hint="default"/>
                <w:sz w:val="21"/>
                <w:szCs w:val="21"/>
                <w:lang w:val="en-US" w:eastAsia="zh-CN"/>
              </w:rPr>
            </w:pPr>
            <w:r>
              <w:rPr>
                <w:rFonts w:hint="eastAsia"/>
                <w:sz w:val="21"/>
                <w:szCs w:val="21"/>
                <w:lang w:val="en-US" w:eastAsia="zh-CN"/>
              </w:rPr>
              <w:t>建设单位现有工程已按要求编制突发环境事件应急预案、备案，并落实环境风险防范措施，本次技改项目完成后将及时对应急预案进行修编</w:t>
            </w:r>
          </w:p>
        </w:tc>
        <w:tc>
          <w:tcPr>
            <w:tcW w:w="720" w:type="dxa"/>
            <w:vAlign w:val="center"/>
          </w:tcPr>
          <w:p w14:paraId="105A96FE">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3C9DF7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0" w:hRule="atLeast"/>
        </w:trPr>
        <w:tc>
          <w:tcPr>
            <w:tcW w:w="690" w:type="dxa"/>
            <w:vAlign w:val="center"/>
          </w:tcPr>
          <w:p w14:paraId="69B42E16">
            <w:pPr>
              <w:widowControl w:val="0"/>
              <w:bidi w:val="0"/>
              <w:spacing w:line="240" w:lineRule="auto"/>
              <w:jc w:val="center"/>
              <w:rPr>
                <w:rFonts w:hint="eastAsia"/>
                <w:sz w:val="21"/>
                <w:szCs w:val="21"/>
                <w:lang w:val="en-US" w:eastAsia="zh-CN"/>
              </w:rPr>
            </w:pPr>
            <w:r>
              <w:rPr>
                <w:rFonts w:hint="eastAsia"/>
                <w:sz w:val="21"/>
                <w:szCs w:val="21"/>
                <w:lang w:val="en-US" w:eastAsia="zh-CN"/>
              </w:rPr>
              <w:t>6</w:t>
            </w:r>
          </w:p>
        </w:tc>
        <w:tc>
          <w:tcPr>
            <w:tcW w:w="4772" w:type="dxa"/>
            <w:vAlign w:val="center"/>
          </w:tcPr>
          <w:p w14:paraId="137E7763">
            <w:pPr>
              <w:widowControl w:val="0"/>
              <w:bidi w:val="0"/>
              <w:spacing w:line="240" w:lineRule="auto"/>
              <w:jc w:val="center"/>
              <w:rPr>
                <w:rFonts w:hint="eastAsia"/>
                <w:sz w:val="21"/>
                <w:szCs w:val="21"/>
                <w:lang w:val="en-US" w:eastAsia="zh-CN"/>
              </w:rPr>
            </w:pPr>
            <w:r>
              <w:rPr>
                <w:rFonts w:hint="eastAsia"/>
                <w:sz w:val="21"/>
                <w:szCs w:val="21"/>
                <w:lang w:val="en-US" w:eastAsia="zh-CN"/>
              </w:rPr>
              <w:t>加强各类固体废物的收集和安全处置。危险废物应按有关规定安全收集、暂存、处置。确定专人对危险废物进行管理，建立危险废物环境管理台账和信息档案，严格执行危险废物转移联单制度。加强一般工业固体废弃物综合利用，生活垃圾应集中收集后送环卫部门妥善处理。</w:t>
            </w:r>
          </w:p>
        </w:tc>
        <w:tc>
          <w:tcPr>
            <w:tcW w:w="2937" w:type="dxa"/>
            <w:vAlign w:val="center"/>
          </w:tcPr>
          <w:p w14:paraId="032046EE">
            <w:pPr>
              <w:widowControl w:val="0"/>
              <w:bidi w:val="0"/>
              <w:spacing w:line="240" w:lineRule="auto"/>
              <w:jc w:val="center"/>
              <w:rPr>
                <w:rFonts w:hint="eastAsia"/>
                <w:sz w:val="21"/>
                <w:szCs w:val="21"/>
                <w:lang w:val="en-US" w:eastAsia="zh-CN"/>
              </w:rPr>
            </w:pPr>
            <w:r>
              <w:rPr>
                <w:rFonts w:hint="eastAsia"/>
                <w:sz w:val="21"/>
                <w:szCs w:val="21"/>
                <w:lang w:val="en-US" w:eastAsia="zh-CN"/>
              </w:rPr>
              <w:t>建设单位现有工程已按要求设置危险暂存间和一般固废暂存间并完成自主竣工环保验收；已建立危废管理制度，包括对危废、危废管理台账及信息档案的管理</w:t>
            </w:r>
          </w:p>
        </w:tc>
        <w:tc>
          <w:tcPr>
            <w:tcW w:w="720" w:type="dxa"/>
            <w:vAlign w:val="center"/>
          </w:tcPr>
          <w:p w14:paraId="0A1FFF19">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r w14:paraId="6D3AA0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0" w:hRule="atLeast"/>
        </w:trPr>
        <w:tc>
          <w:tcPr>
            <w:tcW w:w="690" w:type="dxa"/>
            <w:vAlign w:val="center"/>
          </w:tcPr>
          <w:p w14:paraId="3F60882E">
            <w:pPr>
              <w:widowControl w:val="0"/>
              <w:bidi w:val="0"/>
              <w:spacing w:line="240" w:lineRule="auto"/>
              <w:jc w:val="center"/>
              <w:rPr>
                <w:rFonts w:hint="eastAsia"/>
                <w:sz w:val="21"/>
                <w:szCs w:val="21"/>
                <w:lang w:val="en-US" w:eastAsia="zh-CN"/>
              </w:rPr>
            </w:pPr>
            <w:r>
              <w:rPr>
                <w:rFonts w:hint="eastAsia"/>
                <w:sz w:val="21"/>
                <w:szCs w:val="21"/>
                <w:lang w:val="en-US" w:eastAsia="zh-CN"/>
              </w:rPr>
              <w:t>7</w:t>
            </w:r>
          </w:p>
        </w:tc>
        <w:tc>
          <w:tcPr>
            <w:tcW w:w="4772" w:type="dxa"/>
            <w:vAlign w:val="center"/>
          </w:tcPr>
          <w:p w14:paraId="4A1FBF0D">
            <w:pPr>
              <w:widowControl w:val="0"/>
              <w:bidi w:val="0"/>
              <w:spacing w:line="240" w:lineRule="auto"/>
              <w:jc w:val="center"/>
              <w:rPr>
                <w:rFonts w:hint="eastAsia"/>
                <w:sz w:val="21"/>
                <w:szCs w:val="21"/>
                <w:lang w:val="en-US" w:eastAsia="zh-CN"/>
              </w:rPr>
            </w:pPr>
            <w:r>
              <w:rPr>
                <w:rFonts w:hint="eastAsia"/>
                <w:sz w:val="21"/>
                <w:szCs w:val="21"/>
                <w:lang w:val="en-US" w:eastAsia="zh-CN"/>
              </w:rPr>
              <w:t>加强建设项目环境管理。区域内所有建设项目必须严格执行国家环评法规定，履行环评审批手续，杜绝未批先建等环境违法行为。健全园区环境监控体系，要求入园企业建立健全环境管理机构，完善环境管理制度，按照有关规范要求开展日常环境监测、监控工作；建设规范的污染物排放在线监控系统，并与环保部门实现联网。</w:t>
            </w:r>
          </w:p>
        </w:tc>
        <w:tc>
          <w:tcPr>
            <w:tcW w:w="2937" w:type="dxa"/>
            <w:vAlign w:val="center"/>
          </w:tcPr>
          <w:p w14:paraId="316A24EF">
            <w:pPr>
              <w:widowControl w:val="0"/>
              <w:bidi w:val="0"/>
              <w:spacing w:line="240" w:lineRule="auto"/>
              <w:jc w:val="center"/>
              <w:rPr>
                <w:rFonts w:hint="eastAsia"/>
                <w:sz w:val="21"/>
                <w:szCs w:val="21"/>
                <w:lang w:val="en-US" w:eastAsia="zh-CN"/>
              </w:rPr>
            </w:pPr>
            <w:r>
              <w:rPr>
                <w:rFonts w:hint="eastAsia"/>
                <w:sz w:val="21"/>
                <w:szCs w:val="21"/>
                <w:lang w:val="en-US" w:eastAsia="zh-CN"/>
              </w:rPr>
              <w:t>本项目正在按照环评法规定，履行环评手续。企业已建立内部环境管理机构，按照排污许可规范要求开展日常环境监测、监控工作；废水排放口已按要求安装污染物在线监控系统并与生态环境主管部门联网。</w:t>
            </w:r>
          </w:p>
        </w:tc>
        <w:tc>
          <w:tcPr>
            <w:tcW w:w="720" w:type="dxa"/>
            <w:vAlign w:val="center"/>
          </w:tcPr>
          <w:p w14:paraId="4A692009">
            <w:pPr>
              <w:widowControl w:val="0"/>
              <w:bidi w:val="0"/>
              <w:spacing w:line="240" w:lineRule="auto"/>
              <w:jc w:val="center"/>
              <w:rPr>
                <w:rFonts w:hint="eastAsia"/>
                <w:sz w:val="21"/>
                <w:szCs w:val="21"/>
                <w:lang w:val="en-US" w:eastAsia="zh-CN"/>
              </w:rPr>
            </w:pPr>
            <w:r>
              <w:rPr>
                <w:rFonts w:hint="eastAsia"/>
                <w:sz w:val="21"/>
                <w:szCs w:val="21"/>
                <w:lang w:val="en-US" w:eastAsia="zh-CN"/>
              </w:rPr>
              <w:t>符合</w:t>
            </w:r>
          </w:p>
        </w:tc>
      </w:tr>
    </w:tbl>
    <w:p w14:paraId="42A39E53">
      <w:pPr>
        <w:bidi w:val="0"/>
        <w:rPr>
          <w:rFonts w:hint="default"/>
          <w:b/>
          <w:bCs/>
          <w:lang w:val="en-US" w:eastAsia="zh-CN"/>
        </w:rPr>
      </w:pPr>
      <w:r>
        <w:rPr>
          <w:rFonts w:hint="eastAsia"/>
          <w:b/>
          <w:bCs/>
          <w:lang w:val="en-US" w:eastAsia="zh-CN"/>
        </w:rPr>
        <w:t>2.5.5 与相关文件符合性</w:t>
      </w:r>
    </w:p>
    <w:p w14:paraId="45568936">
      <w:pPr>
        <w:bidi w:val="0"/>
        <w:ind w:firstLine="480" w:firstLineChars="200"/>
        <w:rPr>
          <w:rFonts w:hint="default"/>
          <w:lang w:val="en-US" w:eastAsia="zh-CN"/>
        </w:rPr>
      </w:pPr>
      <w:r>
        <w:rPr>
          <w:rFonts w:hint="eastAsia"/>
          <w:lang w:val="en-US" w:eastAsia="zh-CN"/>
        </w:rPr>
        <w:t>本次技改项目与《光伏制造行业规范条件（2024年本）》、《安徽省“两高”项目管理目录（试行）》、《长江经济带发展负面清单指南》（试行，2022年版）、《关于加快解决当前挥发性有机物治理突出问题的通知》（环大气〔2021〕65号）、《安徽省空气质量持续改善行动方案的通知》（皖政〔2024〕36号）、关于印发安徽省低挥发性有机物含量原辅材料替代工作方案的通知》（皖环发〔2024〕1号）、《巢湖流域水污染防治条例》、《关于印发巢湖流域禁止和限制的产业产品目录的通知》（皖发改环资〔2021〕6号）等相关政策要求符合性分析分别如下。</w:t>
      </w:r>
    </w:p>
    <w:p w14:paraId="342D809B">
      <w:pPr>
        <w:bidi w:val="0"/>
        <w:rPr>
          <w:rFonts w:hint="eastAsia"/>
          <w:lang w:val="en-US" w:eastAsia="zh-CN"/>
        </w:rPr>
        <w:sectPr>
          <w:pgSz w:w="11906" w:h="16838"/>
          <w:pgMar w:top="1417" w:right="1134" w:bottom="1134" w:left="1417" w:header="851" w:footer="992" w:gutter="0"/>
          <w:pgNumType w:fmt="decimal"/>
          <w:cols w:space="0" w:num="1"/>
          <w:rtlGutter w:val="0"/>
          <w:docGrid w:type="lines" w:linePitch="312" w:charSpace="0"/>
        </w:sectPr>
      </w:pPr>
    </w:p>
    <w:p w14:paraId="197C4DFB">
      <w:pPr>
        <w:bidi w:val="0"/>
        <w:jc w:val="center"/>
        <w:rPr>
          <w:rFonts w:hint="eastAsia"/>
          <w:b/>
          <w:bCs/>
          <w:lang w:val="en-US" w:eastAsia="zh-CN"/>
        </w:rPr>
      </w:pPr>
      <w:r>
        <w:rPr>
          <w:rFonts w:hint="eastAsia"/>
          <w:b/>
          <w:bCs/>
          <w:lang w:val="en-US" w:eastAsia="zh-CN"/>
        </w:rPr>
        <w:t>表2.5.5-1 本次技改项目与相关政策要求符合性一览表</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873"/>
        <w:gridCol w:w="96"/>
        <w:gridCol w:w="5711"/>
        <w:gridCol w:w="5273"/>
        <w:gridCol w:w="888"/>
      </w:tblGrid>
      <w:tr w14:paraId="7853E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Align w:val="center"/>
          </w:tcPr>
          <w:p w14:paraId="22F108BC">
            <w:pPr>
              <w:bidi w:val="0"/>
              <w:spacing w:line="240" w:lineRule="auto"/>
              <w:jc w:val="center"/>
              <w:rPr>
                <w:rFonts w:hint="eastAsia"/>
                <w:b/>
                <w:bCs/>
                <w:sz w:val="21"/>
                <w:szCs w:val="21"/>
                <w:lang w:val="en-US" w:eastAsia="zh-CN"/>
              </w:rPr>
            </w:pPr>
            <w:r>
              <w:rPr>
                <w:rFonts w:hint="eastAsia"/>
                <w:b/>
                <w:bCs/>
                <w:sz w:val="21"/>
                <w:szCs w:val="21"/>
                <w:lang w:val="en-US" w:eastAsia="zh-CN"/>
              </w:rPr>
              <w:t>政策名称</w:t>
            </w:r>
          </w:p>
        </w:tc>
        <w:tc>
          <w:tcPr>
            <w:tcW w:w="2302" w:type="pct"/>
            <w:gridSpan w:val="3"/>
            <w:vAlign w:val="center"/>
          </w:tcPr>
          <w:p w14:paraId="114EB5C4">
            <w:pPr>
              <w:bidi w:val="0"/>
              <w:spacing w:line="240" w:lineRule="auto"/>
              <w:jc w:val="center"/>
              <w:rPr>
                <w:rFonts w:hint="eastAsia"/>
                <w:b/>
                <w:bCs/>
                <w:sz w:val="21"/>
                <w:szCs w:val="21"/>
                <w:lang w:val="en-US" w:eastAsia="zh-CN"/>
              </w:rPr>
            </w:pPr>
            <w:r>
              <w:rPr>
                <w:rFonts w:hint="eastAsia"/>
                <w:b/>
                <w:bCs/>
                <w:sz w:val="21"/>
                <w:szCs w:val="21"/>
                <w:lang w:val="en-US" w:eastAsia="zh-CN"/>
              </w:rPr>
              <w:t>政策要求</w:t>
            </w:r>
          </w:p>
        </w:tc>
        <w:tc>
          <w:tcPr>
            <w:tcW w:w="1817" w:type="pct"/>
            <w:vAlign w:val="center"/>
          </w:tcPr>
          <w:p w14:paraId="5EEE337B">
            <w:pPr>
              <w:bidi w:val="0"/>
              <w:spacing w:line="240" w:lineRule="auto"/>
              <w:jc w:val="center"/>
              <w:rPr>
                <w:rFonts w:hint="eastAsia"/>
                <w:b/>
                <w:bCs/>
                <w:sz w:val="21"/>
                <w:szCs w:val="21"/>
                <w:lang w:val="en-US" w:eastAsia="zh-CN"/>
              </w:rPr>
            </w:pPr>
            <w:r>
              <w:rPr>
                <w:rFonts w:hint="eastAsia"/>
                <w:b/>
                <w:bCs/>
                <w:sz w:val="21"/>
                <w:szCs w:val="21"/>
                <w:lang w:val="en-US" w:eastAsia="zh-CN"/>
              </w:rPr>
              <w:t>项目情况</w:t>
            </w:r>
          </w:p>
        </w:tc>
        <w:tc>
          <w:tcPr>
            <w:tcW w:w="306" w:type="pct"/>
            <w:vAlign w:val="center"/>
          </w:tcPr>
          <w:p w14:paraId="245BC545">
            <w:pPr>
              <w:bidi w:val="0"/>
              <w:spacing w:line="240" w:lineRule="auto"/>
              <w:jc w:val="center"/>
              <w:rPr>
                <w:rFonts w:hint="eastAsia"/>
                <w:b/>
                <w:bCs/>
                <w:sz w:val="21"/>
                <w:szCs w:val="21"/>
                <w:lang w:val="en-US" w:eastAsia="zh-CN"/>
              </w:rPr>
            </w:pPr>
            <w:r>
              <w:rPr>
                <w:rFonts w:hint="eastAsia"/>
                <w:b/>
                <w:bCs/>
                <w:sz w:val="21"/>
                <w:szCs w:val="21"/>
                <w:lang w:val="en-US" w:eastAsia="zh-CN"/>
              </w:rPr>
              <w:t>符合性</w:t>
            </w:r>
          </w:p>
        </w:tc>
      </w:tr>
      <w:tr w14:paraId="6C1B3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restart"/>
            <w:vAlign w:val="center"/>
          </w:tcPr>
          <w:p w14:paraId="2AB20717">
            <w:pPr>
              <w:bidi w:val="0"/>
              <w:spacing w:line="240" w:lineRule="auto"/>
              <w:jc w:val="center"/>
              <w:rPr>
                <w:rFonts w:hint="eastAsia"/>
                <w:sz w:val="21"/>
                <w:szCs w:val="21"/>
                <w:lang w:val="en-US" w:eastAsia="zh-CN"/>
              </w:rPr>
            </w:pPr>
            <w:r>
              <w:rPr>
                <w:rFonts w:hint="eastAsia"/>
                <w:sz w:val="21"/>
                <w:szCs w:val="21"/>
                <w:lang w:val="en-US" w:eastAsia="zh-CN"/>
              </w:rPr>
              <w:t>《光伏制造行业规范条件（2024年本）》</w:t>
            </w:r>
          </w:p>
        </w:tc>
        <w:tc>
          <w:tcPr>
            <w:tcW w:w="334" w:type="pct"/>
            <w:gridSpan w:val="2"/>
            <w:vMerge w:val="restart"/>
            <w:shd w:val="clear" w:color="auto" w:fill="auto"/>
            <w:vAlign w:val="center"/>
          </w:tcPr>
          <w:p w14:paraId="1CE1DE83">
            <w:pPr>
              <w:bidi w:val="0"/>
              <w:spacing w:line="240" w:lineRule="auto"/>
              <w:jc w:val="center"/>
              <w:rPr>
                <w:rFonts w:hint="eastAsia"/>
                <w:sz w:val="21"/>
                <w:szCs w:val="21"/>
                <w:lang w:val="en-US" w:eastAsia="zh-CN"/>
              </w:rPr>
            </w:pPr>
            <w:r>
              <w:rPr>
                <w:sz w:val="21"/>
                <w:szCs w:val="21"/>
              </w:rPr>
              <w:t>生产布局与项目设立</w:t>
            </w:r>
          </w:p>
        </w:tc>
        <w:tc>
          <w:tcPr>
            <w:tcW w:w="1967" w:type="pct"/>
            <w:shd w:val="clear" w:color="auto" w:fill="auto"/>
            <w:vAlign w:val="center"/>
          </w:tcPr>
          <w:p w14:paraId="72D58516">
            <w:pPr>
              <w:bidi w:val="0"/>
              <w:spacing w:line="240" w:lineRule="auto"/>
              <w:jc w:val="center"/>
              <w:rPr>
                <w:rFonts w:hint="eastAsia"/>
                <w:sz w:val="21"/>
                <w:szCs w:val="21"/>
                <w:lang w:val="en-US" w:eastAsia="zh-CN"/>
              </w:rPr>
            </w:pPr>
            <w:r>
              <w:rPr>
                <w:sz w:val="21"/>
                <w:szCs w:val="21"/>
              </w:rPr>
              <w:t>（一）光伏制造企业及项目应符合国家资源开发利用、环境保护、节能管理等法律法规要求，符合国家产业政策和相关产业规划及布局要求，符合当地土地利用总体规划、城市总体规划、环境功能区划和环境保护规划等要求。</w:t>
            </w:r>
          </w:p>
        </w:tc>
        <w:tc>
          <w:tcPr>
            <w:tcW w:w="1817" w:type="pct"/>
            <w:shd w:val="clear" w:color="auto" w:fill="auto"/>
            <w:vAlign w:val="center"/>
          </w:tcPr>
          <w:p w14:paraId="47EC2385">
            <w:pPr>
              <w:bidi w:val="0"/>
              <w:spacing w:line="240" w:lineRule="auto"/>
              <w:jc w:val="center"/>
              <w:rPr>
                <w:rFonts w:hint="eastAsia"/>
                <w:sz w:val="21"/>
                <w:szCs w:val="21"/>
                <w:lang w:val="en-US" w:eastAsia="zh-CN"/>
              </w:rPr>
            </w:pPr>
            <w:r>
              <w:rPr>
                <w:sz w:val="21"/>
                <w:szCs w:val="21"/>
              </w:rPr>
              <w:t>本项目位于合肥循环经济示范园内，项目建设符合《产业结构调整指导目录（</w:t>
            </w:r>
            <w:r>
              <w:rPr>
                <w:rFonts w:hint="eastAsia"/>
                <w:sz w:val="21"/>
                <w:szCs w:val="21"/>
                <w:lang w:val="en-US" w:eastAsia="zh-CN"/>
              </w:rPr>
              <w:t>2024</w:t>
            </w:r>
            <w:r>
              <w:rPr>
                <w:sz w:val="21"/>
                <w:szCs w:val="21"/>
              </w:rPr>
              <w:t>年本）</w:t>
            </w:r>
            <w:r>
              <w:rPr>
                <w:rFonts w:hint="eastAsia"/>
                <w:sz w:val="21"/>
                <w:szCs w:val="21"/>
                <w:lang w:eastAsia="zh-CN"/>
              </w:rPr>
              <w:t>》《</w:t>
            </w:r>
            <w:r>
              <w:rPr>
                <w:sz w:val="21"/>
                <w:szCs w:val="21"/>
              </w:rPr>
              <w:t>巢湖流域禁止和限制的产业目录</w:t>
            </w:r>
            <w:r>
              <w:rPr>
                <w:rFonts w:hint="eastAsia"/>
                <w:sz w:val="21"/>
                <w:szCs w:val="21"/>
                <w:lang w:eastAsia="zh-CN"/>
              </w:rPr>
              <w:t>》《</w:t>
            </w:r>
            <w:r>
              <w:rPr>
                <w:sz w:val="21"/>
                <w:szCs w:val="21"/>
              </w:rPr>
              <w:t>光伏制造行业规范条件（202</w:t>
            </w:r>
            <w:r>
              <w:rPr>
                <w:rFonts w:hint="eastAsia"/>
                <w:sz w:val="21"/>
                <w:szCs w:val="21"/>
                <w:lang w:val="en-US" w:eastAsia="zh-CN"/>
              </w:rPr>
              <w:t>4</w:t>
            </w:r>
            <w:r>
              <w:rPr>
                <w:sz w:val="21"/>
                <w:szCs w:val="21"/>
              </w:rPr>
              <w:t>年本）》等国家产业政策和行业规范条件，项目建设符合合肥循环经济示范园产业规划和功能布局要求</w:t>
            </w:r>
          </w:p>
        </w:tc>
        <w:tc>
          <w:tcPr>
            <w:tcW w:w="306" w:type="pct"/>
            <w:shd w:val="clear" w:color="auto" w:fill="auto"/>
            <w:vAlign w:val="center"/>
          </w:tcPr>
          <w:p w14:paraId="32FB79B4">
            <w:pPr>
              <w:bidi w:val="0"/>
              <w:spacing w:line="240" w:lineRule="auto"/>
              <w:jc w:val="center"/>
              <w:rPr>
                <w:rFonts w:hint="eastAsia"/>
                <w:sz w:val="21"/>
                <w:szCs w:val="21"/>
                <w:lang w:val="en-US" w:eastAsia="zh-CN"/>
              </w:rPr>
            </w:pPr>
            <w:r>
              <w:rPr>
                <w:sz w:val="21"/>
                <w:szCs w:val="21"/>
              </w:rPr>
              <w:t>符合</w:t>
            </w:r>
          </w:p>
        </w:tc>
      </w:tr>
      <w:tr w14:paraId="5301F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200CF7E4">
            <w:pPr>
              <w:bidi w:val="0"/>
              <w:spacing w:line="240" w:lineRule="auto"/>
              <w:jc w:val="center"/>
              <w:rPr>
                <w:rFonts w:hint="eastAsia"/>
                <w:sz w:val="21"/>
                <w:szCs w:val="21"/>
                <w:lang w:val="en-US" w:eastAsia="zh-CN"/>
              </w:rPr>
            </w:pPr>
          </w:p>
        </w:tc>
        <w:tc>
          <w:tcPr>
            <w:tcW w:w="334" w:type="pct"/>
            <w:gridSpan w:val="2"/>
            <w:vMerge w:val="continue"/>
            <w:shd w:val="clear" w:color="auto" w:fill="auto"/>
            <w:vAlign w:val="center"/>
          </w:tcPr>
          <w:p w14:paraId="3325ACEB">
            <w:pPr>
              <w:bidi w:val="0"/>
              <w:spacing w:line="240" w:lineRule="auto"/>
              <w:jc w:val="center"/>
              <w:rPr>
                <w:rFonts w:hint="eastAsia"/>
                <w:sz w:val="21"/>
                <w:szCs w:val="21"/>
                <w:lang w:val="en-US" w:eastAsia="zh-CN"/>
              </w:rPr>
            </w:pPr>
          </w:p>
        </w:tc>
        <w:tc>
          <w:tcPr>
            <w:tcW w:w="1967" w:type="pct"/>
            <w:shd w:val="clear" w:color="auto" w:fill="auto"/>
            <w:vAlign w:val="center"/>
          </w:tcPr>
          <w:p w14:paraId="650FD58C">
            <w:pPr>
              <w:bidi w:val="0"/>
              <w:spacing w:line="240" w:lineRule="auto"/>
              <w:jc w:val="center"/>
              <w:rPr>
                <w:rFonts w:hint="eastAsia"/>
                <w:sz w:val="21"/>
                <w:szCs w:val="21"/>
                <w:lang w:val="en-US" w:eastAsia="zh-CN"/>
              </w:rPr>
            </w:pPr>
            <w:r>
              <w:rPr>
                <w:sz w:val="21"/>
                <w:szCs w:val="21"/>
              </w:rPr>
              <w:t>（二）</w:t>
            </w:r>
            <w:r>
              <w:rPr>
                <w:rFonts w:hint="eastAsia"/>
                <w:sz w:val="21"/>
                <w:szCs w:val="21"/>
              </w:rPr>
              <w:t>光伏制造项目未建设在国家法律法规、规章及规划确定或省级以上人民政府批准的自然保护区、饮用水水源保护区、生态功能保护区，已划定的永久基本农田及生态保护红线，以及</w:t>
            </w:r>
            <w:r>
              <w:rPr>
                <w:rFonts w:hint="eastAsia"/>
                <w:sz w:val="21"/>
                <w:szCs w:val="21"/>
                <w:lang w:eastAsia="zh-CN"/>
              </w:rPr>
              <w:t>法律法规</w:t>
            </w:r>
            <w:r>
              <w:rPr>
                <w:rFonts w:hint="eastAsia"/>
                <w:sz w:val="21"/>
                <w:szCs w:val="21"/>
              </w:rPr>
              <w:t>规定禁止建设工业企业的区域内。上述区域内的现有企业应按照法律法规要求拆除关闭，或严格控制规模、逐步迁出。生态保护红线内零星分布的已有光伏设施严禁扩大现有规模与范围，项目到期后由建设单位负责做好生态修复。</w:t>
            </w:r>
          </w:p>
        </w:tc>
        <w:tc>
          <w:tcPr>
            <w:tcW w:w="0" w:type="auto"/>
            <w:shd w:val="clear" w:color="auto" w:fill="auto"/>
            <w:vAlign w:val="center"/>
          </w:tcPr>
          <w:p w14:paraId="017609DE">
            <w:pPr>
              <w:bidi w:val="0"/>
              <w:spacing w:line="240" w:lineRule="auto"/>
              <w:jc w:val="center"/>
              <w:rPr>
                <w:rFonts w:hint="eastAsia"/>
                <w:sz w:val="21"/>
                <w:szCs w:val="21"/>
                <w:lang w:val="en-US" w:eastAsia="zh-CN"/>
              </w:rPr>
            </w:pPr>
            <w:r>
              <w:rPr>
                <w:sz w:val="21"/>
                <w:szCs w:val="21"/>
              </w:rPr>
              <w:t>本项目位于合肥循环经济示范园，不在以上功能区范围内</w:t>
            </w:r>
          </w:p>
        </w:tc>
        <w:tc>
          <w:tcPr>
            <w:tcW w:w="0" w:type="auto"/>
            <w:shd w:val="clear" w:color="auto" w:fill="auto"/>
            <w:vAlign w:val="center"/>
          </w:tcPr>
          <w:p w14:paraId="7CC86E8C">
            <w:pPr>
              <w:bidi w:val="0"/>
              <w:spacing w:line="240" w:lineRule="auto"/>
              <w:jc w:val="center"/>
              <w:rPr>
                <w:rFonts w:hint="eastAsia"/>
                <w:sz w:val="21"/>
                <w:szCs w:val="21"/>
                <w:lang w:val="en-US" w:eastAsia="zh-CN"/>
              </w:rPr>
            </w:pPr>
            <w:r>
              <w:rPr>
                <w:sz w:val="21"/>
                <w:szCs w:val="21"/>
              </w:rPr>
              <w:t>符合</w:t>
            </w:r>
          </w:p>
        </w:tc>
      </w:tr>
      <w:tr w14:paraId="0CF8B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19419B7B">
            <w:pPr>
              <w:bidi w:val="0"/>
              <w:spacing w:line="240" w:lineRule="auto"/>
              <w:jc w:val="center"/>
              <w:rPr>
                <w:rFonts w:hint="eastAsia"/>
                <w:sz w:val="21"/>
                <w:szCs w:val="21"/>
                <w:lang w:val="en-US" w:eastAsia="zh-CN"/>
              </w:rPr>
            </w:pPr>
          </w:p>
        </w:tc>
        <w:tc>
          <w:tcPr>
            <w:tcW w:w="334" w:type="pct"/>
            <w:gridSpan w:val="2"/>
            <w:vMerge w:val="continue"/>
            <w:shd w:val="clear" w:color="auto" w:fill="auto"/>
            <w:vAlign w:val="center"/>
          </w:tcPr>
          <w:p w14:paraId="2831E7F8">
            <w:pPr>
              <w:bidi w:val="0"/>
              <w:spacing w:line="240" w:lineRule="auto"/>
              <w:jc w:val="center"/>
              <w:rPr>
                <w:sz w:val="21"/>
                <w:szCs w:val="21"/>
              </w:rPr>
            </w:pPr>
          </w:p>
        </w:tc>
        <w:tc>
          <w:tcPr>
            <w:tcW w:w="1967" w:type="pct"/>
            <w:shd w:val="clear" w:color="auto" w:fill="auto"/>
            <w:vAlign w:val="center"/>
          </w:tcPr>
          <w:p w14:paraId="63499D45">
            <w:pPr>
              <w:bidi w:val="0"/>
              <w:spacing w:line="240" w:lineRule="auto"/>
              <w:jc w:val="center"/>
              <w:rPr>
                <w:sz w:val="21"/>
                <w:szCs w:val="21"/>
                <w:lang w:val="en-US" w:eastAsia="zh-CN"/>
              </w:rPr>
            </w:pPr>
            <w:r>
              <w:rPr>
                <w:sz w:val="21"/>
                <w:szCs w:val="21"/>
              </w:rPr>
              <w:t>（三）</w:t>
            </w:r>
            <w:r>
              <w:rPr>
                <w:rFonts w:hint="eastAsia"/>
                <w:sz w:val="21"/>
                <w:szCs w:val="21"/>
              </w:rPr>
              <w:t>引导地方依据资源禀赋和产业基础合理布局光伏制造项目，鼓励集约化、集群化发展。引导光伏企业减少单纯扩大产能的光伏制造项目，加强技术创新、提高产品质量、降低生产成本。新建和改扩建光伏制造项目，最低资本金比例为30%。</w:t>
            </w:r>
          </w:p>
        </w:tc>
        <w:tc>
          <w:tcPr>
            <w:tcW w:w="0" w:type="auto"/>
            <w:shd w:val="clear" w:color="auto" w:fill="auto"/>
            <w:vAlign w:val="center"/>
          </w:tcPr>
          <w:p w14:paraId="0089096A">
            <w:pPr>
              <w:bidi w:val="0"/>
              <w:spacing w:line="240" w:lineRule="auto"/>
              <w:jc w:val="center"/>
              <w:rPr>
                <w:sz w:val="21"/>
                <w:szCs w:val="21"/>
                <w:lang w:val="en-US" w:eastAsia="zh-CN"/>
              </w:rPr>
            </w:pPr>
            <w:r>
              <w:rPr>
                <w:sz w:val="21"/>
                <w:szCs w:val="21"/>
              </w:rPr>
              <w:t>本项目为</w:t>
            </w:r>
            <w:r>
              <w:rPr>
                <w:rFonts w:hint="eastAsia"/>
                <w:sz w:val="21"/>
                <w:szCs w:val="21"/>
              </w:rPr>
              <w:t>加强技术创新、提高产品质量</w:t>
            </w:r>
            <w:r>
              <w:rPr>
                <w:rFonts w:hint="eastAsia"/>
                <w:sz w:val="21"/>
                <w:szCs w:val="21"/>
                <w:lang w:val="en-US" w:eastAsia="zh-CN"/>
              </w:rPr>
              <w:t>的</w:t>
            </w:r>
            <w:r>
              <w:rPr>
                <w:sz w:val="21"/>
                <w:szCs w:val="21"/>
              </w:rPr>
              <w:t>技改项目，投资金额为</w:t>
            </w:r>
            <w:r>
              <w:rPr>
                <w:rFonts w:hint="eastAsia"/>
                <w:sz w:val="21"/>
                <w:szCs w:val="21"/>
                <w:lang w:val="en-US" w:eastAsia="zh-CN"/>
              </w:rPr>
              <w:t>38898.6</w:t>
            </w:r>
            <w:r>
              <w:rPr>
                <w:sz w:val="21"/>
                <w:szCs w:val="21"/>
              </w:rPr>
              <w:t>万元，由企业自筹解决，满足最低资本金比例为20%的要求</w:t>
            </w:r>
          </w:p>
        </w:tc>
        <w:tc>
          <w:tcPr>
            <w:tcW w:w="0" w:type="auto"/>
            <w:shd w:val="clear" w:color="auto" w:fill="auto"/>
            <w:vAlign w:val="center"/>
          </w:tcPr>
          <w:p w14:paraId="6F7970F5">
            <w:pPr>
              <w:bidi w:val="0"/>
              <w:spacing w:line="240" w:lineRule="auto"/>
              <w:jc w:val="center"/>
              <w:rPr>
                <w:sz w:val="21"/>
                <w:szCs w:val="21"/>
                <w:lang w:val="en-US" w:eastAsia="zh-CN"/>
              </w:rPr>
            </w:pPr>
            <w:r>
              <w:rPr>
                <w:sz w:val="21"/>
                <w:szCs w:val="21"/>
              </w:rPr>
              <w:t>符合</w:t>
            </w:r>
          </w:p>
        </w:tc>
      </w:tr>
      <w:tr w14:paraId="0A5DC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793C121A">
            <w:pPr>
              <w:bidi w:val="0"/>
              <w:spacing w:line="240" w:lineRule="auto"/>
              <w:jc w:val="center"/>
              <w:rPr>
                <w:rFonts w:hint="eastAsia"/>
                <w:sz w:val="21"/>
                <w:szCs w:val="21"/>
                <w:lang w:val="en-US" w:eastAsia="zh-CN"/>
              </w:rPr>
            </w:pPr>
          </w:p>
        </w:tc>
        <w:tc>
          <w:tcPr>
            <w:tcW w:w="334" w:type="pct"/>
            <w:gridSpan w:val="2"/>
            <w:vMerge w:val="restart"/>
            <w:shd w:val="clear" w:color="auto" w:fill="auto"/>
            <w:vAlign w:val="center"/>
          </w:tcPr>
          <w:p w14:paraId="44A5AB7F">
            <w:pPr>
              <w:bidi w:val="0"/>
              <w:spacing w:line="240" w:lineRule="auto"/>
              <w:jc w:val="center"/>
              <w:rPr>
                <w:sz w:val="21"/>
                <w:szCs w:val="21"/>
                <w:lang w:val="en-US" w:eastAsia="zh-CN"/>
              </w:rPr>
            </w:pPr>
            <w:r>
              <w:rPr>
                <w:sz w:val="21"/>
                <w:szCs w:val="21"/>
              </w:rPr>
              <w:t>工艺技术</w:t>
            </w:r>
          </w:p>
        </w:tc>
        <w:tc>
          <w:tcPr>
            <w:tcW w:w="1967" w:type="pct"/>
            <w:shd w:val="clear" w:color="auto" w:fill="auto"/>
            <w:vAlign w:val="center"/>
          </w:tcPr>
          <w:p w14:paraId="2088967E">
            <w:pPr>
              <w:bidi w:val="0"/>
              <w:spacing w:line="240" w:lineRule="auto"/>
              <w:jc w:val="center"/>
              <w:rPr>
                <w:sz w:val="21"/>
                <w:szCs w:val="21"/>
                <w:lang w:val="en-US" w:eastAsia="zh-CN"/>
              </w:rPr>
            </w:pPr>
            <w:r>
              <w:rPr>
                <w:sz w:val="21"/>
                <w:szCs w:val="21"/>
              </w:rPr>
              <w:t>（一）光伏制造企业应采用工艺先进、安全可靠、节能环保、产品质量好、生产成本低的生产技术和设备，并实现高品质产品的批量化生产。</w:t>
            </w:r>
          </w:p>
        </w:tc>
        <w:tc>
          <w:tcPr>
            <w:tcW w:w="0" w:type="auto"/>
            <w:shd w:val="clear" w:color="auto" w:fill="auto"/>
            <w:vAlign w:val="center"/>
          </w:tcPr>
          <w:p w14:paraId="72234ADA">
            <w:pPr>
              <w:bidi w:val="0"/>
              <w:spacing w:line="240" w:lineRule="auto"/>
              <w:jc w:val="center"/>
              <w:rPr>
                <w:sz w:val="21"/>
                <w:szCs w:val="21"/>
                <w:lang w:val="en-US" w:eastAsia="zh-CN"/>
              </w:rPr>
            </w:pPr>
            <w:r>
              <w:rPr>
                <w:sz w:val="21"/>
                <w:szCs w:val="21"/>
              </w:rPr>
              <w:t>本项目所选设备符合国家产业政策，选用国内外先进设备，具有自动化程度高、生产连续性好、性能可靠，环保节能等特点。满足高品质产品批量化生产的需求</w:t>
            </w:r>
          </w:p>
        </w:tc>
        <w:tc>
          <w:tcPr>
            <w:tcW w:w="0" w:type="auto"/>
            <w:shd w:val="clear" w:color="auto" w:fill="auto"/>
            <w:vAlign w:val="center"/>
          </w:tcPr>
          <w:p w14:paraId="7B3A2EC7">
            <w:pPr>
              <w:bidi w:val="0"/>
              <w:spacing w:line="240" w:lineRule="auto"/>
              <w:jc w:val="center"/>
              <w:rPr>
                <w:sz w:val="21"/>
                <w:szCs w:val="21"/>
                <w:lang w:val="en-US" w:eastAsia="zh-CN"/>
              </w:rPr>
            </w:pPr>
            <w:r>
              <w:rPr>
                <w:sz w:val="21"/>
                <w:szCs w:val="21"/>
              </w:rPr>
              <w:t>符合</w:t>
            </w:r>
          </w:p>
        </w:tc>
      </w:tr>
      <w:tr w14:paraId="27063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19B21C98">
            <w:pPr>
              <w:bidi w:val="0"/>
              <w:spacing w:line="240" w:lineRule="auto"/>
              <w:jc w:val="center"/>
              <w:rPr>
                <w:rFonts w:hint="eastAsia"/>
                <w:sz w:val="21"/>
                <w:szCs w:val="21"/>
                <w:lang w:val="en-US" w:eastAsia="zh-CN"/>
              </w:rPr>
            </w:pPr>
          </w:p>
        </w:tc>
        <w:tc>
          <w:tcPr>
            <w:tcW w:w="334" w:type="pct"/>
            <w:gridSpan w:val="2"/>
            <w:vMerge w:val="continue"/>
            <w:shd w:val="clear" w:color="auto" w:fill="auto"/>
            <w:vAlign w:val="center"/>
          </w:tcPr>
          <w:p w14:paraId="37CBE134">
            <w:pPr>
              <w:bidi w:val="0"/>
              <w:spacing w:line="240" w:lineRule="auto"/>
              <w:jc w:val="center"/>
              <w:rPr>
                <w:sz w:val="21"/>
                <w:szCs w:val="21"/>
              </w:rPr>
            </w:pPr>
          </w:p>
        </w:tc>
        <w:tc>
          <w:tcPr>
            <w:tcW w:w="1967" w:type="pct"/>
            <w:shd w:val="clear" w:color="auto" w:fill="auto"/>
            <w:vAlign w:val="center"/>
          </w:tcPr>
          <w:p w14:paraId="56393556">
            <w:pPr>
              <w:bidi w:val="0"/>
              <w:spacing w:line="240" w:lineRule="auto"/>
              <w:jc w:val="center"/>
              <w:rPr>
                <w:sz w:val="21"/>
                <w:szCs w:val="21"/>
                <w:lang w:val="en-US" w:eastAsia="zh-CN"/>
              </w:rPr>
            </w:pPr>
            <w:r>
              <w:rPr>
                <w:sz w:val="21"/>
                <w:szCs w:val="21"/>
              </w:rPr>
              <w:t>（二）光伏制造企业应具备以下条件：在中华人民共和国境内依法注册成立，具有独立法人资格；具有太阳能光伏产品独立生产、供应和售后服务能力；每年用于</w:t>
            </w:r>
            <w:r>
              <w:rPr>
                <w:rFonts w:hint="eastAsia"/>
                <w:sz w:val="21"/>
                <w:szCs w:val="21"/>
                <w:lang w:eastAsia="zh-CN"/>
              </w:rPr>
              <w:t>研发</w:t>
            </w:r>
            <w:r>
              <w:rPr>
                <w:sz w:val="21"/>
                <w:szCs w:val="21"/>
              </w:rPr>
              <w:t>工艺改进的费用不低于总销售额的3%且不少于1000万元人民币，鼓励企业取得省级以上独立研发机构、技术中心或高新技术企业资质；申报符合规范名单时上一年实际产量不低于上一年实际产能的50%。</w:t>
            </w:r>
          </w:p>
        </w:tc>
        <w:tc>
          <w:tcPr>
            <w:tcW w:w="0" w:type="auto"/>
            <w:shd w:val="clear" w:color="auto" w:fill="auto"/>
            <w:vAlign w:val="center"/>
          </w:tcPr>
          <w:p w14:paraId="666F10F5">
            <w:pPr>
              <w:bidi w:val="0"/>
              <w:spacing w:line="240" w:lineRule="auto"/>
              <w:jc w:val="center"/>
              <w:rPr>
                <w:rFonts w:hint="eastAsia"/>
                <w:sz w:val="21"/>
                <w:szCs w:val="21"/>
                <w:lang w:val="en-US" w:eastAsia="zh-CN"/>
              </w:rPr>
            </w:pPr>
            <w:r>
              <w:rPr>
                <w:sz w:val="21"/>
                <w:szCs w:val="21"/>
              </w:rPr>
              <w:t>安徽晶科能源有限公司是晶科能源股份有限公司全资子公司。具有太阳能光伏产品独立生产、供应和售后服务能力；晶科能源拥有光伏行业最大的研发中心，也是世界级的研发中心，公司在海宁和上饶设有两所研发中心，拥有400多名高级研发专家，在全球范围内拥有10个以上的联合创新中心，公司研发的单晶产品屡创世界纪录</w:t>
            </w:r>
          </w:p>
        </w:tc>
        <w:tc>
          <w:tcPr>
            <w:tcW w:w="0" w:type="auto"/>
            <w:shd w:val="clear" w:color="auto" w:fill="auto"/>
            <w:vAlign w:val="center"/>
          </w:tcPr>
          <w:p w14:paraId="6433411E">
            <w:pPr>
              <w:bidi w:val="0"/>
              <w:spacing w:line="240" w:lineRule="auto"/>
              <w:jc w:val="center"/>
              <w:rPr>
                <w:sz w:val="21"/>
                <w:szCs w:val="21"/>
                <w:lang w:val="en-US" w:eastAsia="zh-CN"/>
              </w:rPr>
            </w:pPr>
            <w:r>
              <w:rPr>
                <w:sz w:val="21"/>
                <w:szCs w:val="21"/>
              </w:rPr>
              <w:t>符合</w:t>
            </w:r>
          </w:p>
        </w:tc>
      </w:tr>
      <w:tr w14:paraId="4FF73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39B93711">
            <w:pPr>
              <w:bidi w:val="0"/>
              <w:spacing w:line="240" w:lineRule="auto"/>
              <w:jc w:val="center"/>
              <w:rPr>
                <w:rFonts w:hint="eastAsia"/>
                <w:sz w:val="21"/>
                <w:szCs w:val="21"/>
                <w:lang w:val="en-US" w:eastAsia="zh-CN"/>
              </w:rPr>
            </w:pPr>
          </w:p>
        </w:tc>
        <w:tc>
          <w:tcPr>
            <w:tcW w:w="334" w:type="pct"/>
            <w:gridSpan w:val="2"/>
            <w:vMerge w:val="continue"/>
            <w:shd w:val="clear" w:color="auto" w:fill="auto"/>
            <w:vAlign w:val="center"/>
          </w:tcPr>
          <w:p w14:paraId="2E49FC0D">
            <w:pPr>
              <w:bidi w:val="0"/>
              <w:spacing w:line="240" w:lineRule="auto"/>
              <w:jc w:val="center"/>
              <w:rPr>
                <w:sz w:val="21"/>
                <w:szCs w:val="21"/>
              </w:rPr>
            </w:pPr>
          </w:p>
        </w:tc>
        <w:tc>
          <w:tcPr>
            <w:tcW w:w="1967" w:type="pct"/>
            <w:shd w:val="clear" w:color="auto" w:fill="auto"/>
            <w:vAlign w:val="center"/>
          </w:tcPr>
          <w:p w14:paraId="234222D5">
            <w:pPr>
              <w:bidi w:val="0"/>
              <w:spacing w:line="240" w:lineRule="auto"/>
              <w:jc w:val="center"/>
              <w:rPr>
                <w:sz w:val="21"/>
                <w:szCs w:val="21"/>
                <w:lang w:val="en-US" w:eastAsia="zh-CN"/>
              </w:rPr>
            </w:pPr>
            <w:r>
              <w:rPr>
                <w:sz w:val="21"/>
                <w:szCs w:val="21"/>
                <w:lang w:val="en-US" w:eastAsia="zh-CN"/>
              </w:rPr>
              <w:t>（四）新建和改扩建企业及项目产品应满足以下要求：</w:t>
            </w:r>
          </w:p>
          <w:p w14:paraId="409D0D18">
            <w:pPr>
              <w:bidi w:val="0"/>
              <w:spacing w:line="240" w:lineRule="auto"/>
              <w:jc w:val="center"/>
              <w:rPr>
                <w:sz w:val="21"/>
                <w:szCs w:val="21"/>
                <w:lang w:val="en-US" w:eastAsia="zh-CN"/>
              </w:rPr>
            </w:pPr>
            <w:r>
              <w:rPr>
                <w:sz w:val="21"/>
                <w:szCs w:val="21"/>
                <w:lang w:val="en-US" w:eastAsia="zh-CN"/>
              </w:rPr>
              <w:t>1.多晶硅满足《电子级多晶硅》（GB/T 12963）3级品以上要求或《流化床法颗粒硅》（GB/T35307）特级品的要求；</w:t>
            </w:r>
          </w:p>
          <w:p w14:paraId="02262CEC">
            <w:pPr>
              <w:bidi w:val="0"/>
              <w:spacing w:line="240" w:lineRule="auto"/>
              <w:jc w:val="center"/>
              <w:rPr>
                <w:sz w:val="21"/>
                <w:szCs w:val="21"/>
                <w:lang w:val="en-US" w:eastAsia="zh-CN"/>
              </w:rPr>
            </w:pPr>
            <w:r>
              <w:rPr>
                <w:sz w:val="21"/>
                <w:szCs w:val="21"/>
                <w:lang w:val="en-US" w:eastAsia="zh-CN"/>
              </w:rPr>
              <w:t>2.多晶硅片（含准单晶硅片）少子寿命不低于2.5us，碳氧含量分别小于6ppma和8ppma；P型单晶硅片少子寿命不低于90us，N型单晶硅片少子寿命不低于1000us，碳、氧含量分别小于1ppma和12ppma，其中异质结电池用N型单晶硅片少子寿命不低于700us，碳、氧含量分别小于1ppma和14ppma；</w:t>
            </w:r>
          </w:p>
          <w:p w14:paraId="28F26D1B">
            <w:pPr>
              <w:bidi w:val="0"/>
              <w:spacing w:line="240" w:lineRule="auto"/>
              <w:jc w:val="center"/>
              <w:rPr>
                <w:sz w:val="21"/>
                <w:szCs w:val="21"/>
                <w:lang w:val="en-US" w:eastAsia="zh-CN"/>
              </w:rPr>
            </w:pPr>
            <w:r>
              <w:rPr>
                <w:sz w:val="21"/>
                <w:szCs w:val="21"/>
                <w:lang w:val="en-US" w:eastAsia="zh-CN"/>
              </w:rPr>
              <w:t>3.多晶硅电池、P型单晶硅电池和N型单晶硅电池（双面电池按正面效率计算）的平均光电转换效率分别不低于21.7%、23.7%和26%；</w:t>
            </w:r>
          </w:p>
          <w:p w14:paraId="0F485657">
            <w:pPr>
              <w:bidi w:val="0"/>
              <w:spacing w:line="240" w:lineRule="auto"/>
              <w:jc w:val="center"/>
              <w:rPr>
                <w:sz w:val="21"/>
                <w:szCs w:val="21"/>
                <w:lang w:val="en-US" w:eastAsia="zh-CN"/>
              </w:rPr>
            </w:pPr>
            <w:r>
              <w:rPr>
                <w:sz w:val="21"/>
                <w:szCs w:val="21"/>
                <w:lang w:val="en-US" w:eastAsia="zh-CN"/>
              </w:rPr>
              <w:t>4.多晶硅组件、P型单晶硅组件和N型单晶硅组件（双面组件按正面效率计算）的平均光电转换效率分别不低于 19.7%、21.8%和23.1%。</w:t>
            </w:r>
          </w:p>
          <w:p w14:paraId="64BAC522">
            <w:pPr>
              <w:bidi w:val="0"/>
              <w:spacing w:line="240" w:lineRule="auto"/>
              <w:jc w:val="center"/>
              <w:rPr>
                <w:sz w:val="21"/>
                <w:szCs w:val="21"/>
                <w:lang w:val="en-US" w:eastAsia="zh-CN"/>
              </w:rPr>
            </w:pPr>
            <w:r>
              <w:rPr>
                <w:sz w:val="21"/>
                <w:szCs w:val="21"/>
                <w:lang w:val="en-US" w:eastAsia="zh-CN"/>
              </w:rPr>
              <w:t>5.CIGS、CdTe及钙钛矿等其他薄膜组件的平均光电转换效率分别不低于16%、16.5%、15.5%。</w:t>
            </w:r>
          </w:p>
        </w:tc>
        <w:tc>
          <w:tcPr>
            <w:tcW w:w="0" w:type="auto"/>
            <w:shd w:val="clear" w:color="auto" w:fill="auto"/>
            <w:vAlign w:val="center"/>
          </w:tcPr>
          <w:p w14:paraId="452188FB">
            <w:pPr>
              <w:bidi w:val="0"/>
              <w:spacing w:line="240" w:lineRule="auto"/>
              <w:jc w:val="center"/>
              <w:rPr>
                <w:rFonts w:hint="default" w:eastAsia="宋体"/>
                <w:sz w:val="21"/>
                <w:szCs w:val="21"/>
                <w:lang w:val="en-US" w:eastAsia="zh-CN"/>
              </w:rPr>
            </w:pPr>
            <w:r>
              <w:rPr>
                <w:rFonts w:hint="eastAsia"/>
                <w:sz w:val="21"/>
                <w:szCs w:val="21"/>
                <w:lang w:val="en-US" w:eastAsia="zh-CN"/>
              </w:rPr>
              <w:t>本项目产品为</w:t>
            </w:r>
            <w:r>
              <w:rPr>
                <w:sz w:val="21"/>
                <w:szCs w:val="21"/>
                <w:lang w:val="en-US" w:eastAsia="zh-CN"/>
              </w:rPr>
              <w:t>N型单晶硅电池</w:t>
            </w:r>
            <w:r>
              <w:rPr>
                <w:rFonts w:hint="eastAsia"/>
                <w:sz w:val="21"/>
                <w:szCs w:val="21"/>
                <w:lang w:val="en-US" w:eastAsia="zh-CN"/>
              </w:rPr>
              <w:t>，技改完成后</w:t>
            </w:r>
            <w:r>
              <w:rPr>
                <w:sz w:val="21"/>
                <w:szCs w:val="21"/>
                <w:lang w:val="en-US" w:eastAsia="zh-CN"/>
              </w:rPr>
              <w:t>光电</w:t>
            </w:r>
            <w:r>
              <w:rPr>
                <w:rFonts w:hint="eastAsia"/>
                <w:sz w:val="21"/>
                <w:szCs w:val="21"/>
              </w:rPr>
              <w:t>转化效率为</w:t>
            </w:r>
            <w:r>
              <w:rPr>
                <w:rFonts w:hint="eastAsia"/>
                <w:sz w:val="21"/>
                <w:szCs w:val="21"/>
                <w:lang w:val="en-US" w:eastAsia="zh-CN"/>
              </w:rPr>
              <w:t>26%</w:t>
            </w:r>
            <w:r>
              <w:rPr>
                <w:rFonts w:hint="eastAsia"/>
                <w:sz w:val="21"/>
                <w:szCs w:val="21"/>
                <w:lang w:eastAsia="zh-CN"/>
              </w:rPr>
              <w:t>，</w:t>
            </w:r>
            <w:r>
              <w:rPr>
                <w:rFonts w:hint="eastAsia"/>
                <w:sz w:val="21"/>
                <w:szCs w:val="21"/>
                <w:lang w:val="en-US" w:eastAsia="zh-CN"/>
              </w:rPr>
              <w:t>满足</w:t>
            </w:r>
            <w:r>
              <w:rPr>
                <w:sz w:val="21"/>
                <w:szCs w:val="21"/>
                <w:lang w:val="en-US" w:eastAsia="zh-CN"/>
              </w:rPr>
              <w:t>N型单晶硅电池光电转换效率不低于</w:t>
            </w:r>
            <w:r>
              <w:rPr>
                <w:rFonts w:hint="eastAsia"/>
                <w:sz w:val="21"/>
                <w:szCs w:val="21"/>
                <w:lang w:val="en-US" w:eastAsia="zh-CN"/>
              </w:rPr>
              <w:t>26%的要求</w:t>
            </w:r>
          </w:p>
        </w:tc>
        <w:tc>
          <w:tcPr>
            <w:tcW w:w="0" w:type="auto"/>
            <w:shd w:val="clear" w:color="auto" w:fill="auto"/>
            <w:vAlign w:val="center"/>
          </w:tcPr>
          <w:p w14:paraId="02711F58">
            <w:pPr>
              <w:bidi w:val="0"/>
              <w:spacing w:line="240" w:lineRule="auto"/>
              <w:jc w:val="center"/>
              <w:rPr>
                <w:sz w:val="21"/>
                <w:szCs w:val="21"/>
                <w:lang w:val="en-US" w:eastAsia="zh-CN"/>
              </w:rPr>
            </w:pPr>
            <w:r>
              <w:rPr>
                <w:rFonts w:hint="eastAsia"/>
                <w:sz w:val="21"/>
                <w:szCs w:val="21"/>
              </w:rPr>
              <w:t>符合</w:t>
            </w:r>
          </w:p>
        </w:tc>
      </w:tr>
      <w:tr w14:paraId="5A06C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042B2F1D">
            <w:pPr>
              <w:bidi w:val="0"/>
              <w:spacing w:line="240" w:lineRule="auto"/>
              <w:jc w:val="center"/>
              <w:rPr>
                <w:rFonts w:hint="eastAsia"/>
                <w:sz w:val="21"/>
                <w:szCs w:val="21"/>
                <w:lang w:val="en-US" w:eastAsia="zh-CN"/>
              </w:rPr>
            </w:pPr>
          </w:p>
        </w:tc>
        <w:tc>
          <w:tcPr>
            <w:tcW w:w="334" w:type="pct"/>
            <w:gridSpan w:val="2"/>
            <w:vMerge w:val="restart"/>
            <w:shd w:val="clear" w:color="auto" w:fill="auto"/>
            <w:vAlign w:val="center"/>
          </w:tcPr>
          <w:p w14:paraId="12356015">
            <w:pPr>
              <w:bidi w:val="0"/>
              <w:spacing w:line="240" w:lineRule="auto"/>
              <w:jc w:val="center"/>
              <w:rPr>
                <w:sz w:val="21"/>
                <w:szCs w:val="21"/>
                <w:lang w:val="en-US" w:eastAsia="zh-CN"/>
              </w:rPr>
            </w:pPr>
            <w:r>
              <w:rPr>
                <w:rFonts w:hint="eastAsia"/>
                <w:sz w:val="21"/>
                <w:szCs w:val="21"/>
              </w:rPr>
              <w:t>资源综合利用及能耗</w:t>
            </w:r>
          </w:p>
        </w:tc>
        <w:tc>
          <w:tcPr>
            <w:tcW w:w="1967" w:type="pct"/>
            <w:shd w:val="clear" w:color="auto" w:fill="auto"/>
            <w:vAlign w:val="center"/>
          </w:tcPr>
          <w:p w14:paraId="2AA92BAF">
            <w:pPr>
              <w:bidi w:val="0"/>
              <w:spacing w:line="240" w:lineRule="auto"/>
              <w:jc w:val="center"/>
              <w:rPr>
                <w:rFonts w:hint="eastAsia"/>
                <w:sz w:val="21"/>
                <w:szCs w:val="21"/>
                <w:lang w:val="en-US" w:eastAsia="zh-CN"/>
              </w:rPr>
            </w:pPr>
            <w:r>
              <w:rPr>
                <w:sz w:val="21"/>
                <w:szCs w:val="21"/>
              </w:rPr>
              <w:t>（一）光伏制造企业和项目用地应符合国家出台的土地使用标准，严格保护耕地，节约集约用地</w:t>
            </w:r>
            <w:r>
              <w:rPr>
                <w:rFonts w:hint="eastAsia"/>
                <w:sz w:val="21"/>
                <w:szCs w:val="21"/>
                <w:lang w:eastAsia="zh-CN"/>
              </w:rPr>
              <w:t>。</w:t>
            </w:r>
          </w:p>
        </w:tc>
        <w:tc>
          <w:tcPr>
            <w:tcW w:w="0" w:type="auto"/>
            <w:shd w:val="clear" w:color="auto" w:fill="auto"/>
            <w:vAlign w:val="center"/>
          </w:tcPr>
          <w:p w14:paraId="198C072D">
            <w:pPr>
              <w:bidi w:val="0"/>
              <w:spacing w:line="240" w:lineRule="auto"/>
              <w:jc w:val="center"/>
              <w:rPr>
                <w:rFonts w:hint="eastAsia"/>
                <w:sz w:val="21"/>
                <w:szCs w:val="21"/>
                <w:lang w:val="en-US" w:eastAsia="zh-CN"/>
              </w:rPr>
            </w:pPr>
            <w:r>
              <w:rPr>
                <w:sz w:val="21"/>
                <w:szCs w:val="21"/>
              </w:rPr>
              <w:t>本</w:t>
            </w:r>
            <w:r>
              <w:rPr>
                <w:rFonts w:hint="eastAsia"/>
                <w:sz w:val="21"/>
                <w:szCs w:val="21"/>
                <w:lang w:val="en-US" w:eastAsia="zh-CN"/>
              </w:rPr>
              <w:t>次</w:t>
            </w:r>
            <w:r>
              <w:rPr>
                <w:sz w:val="21"/>
                <w:szCs w:val="21"/>
              </w:rPr>
              <w:t>技改项目</w:t>
            </w:r>
            <w:r>
              <w:rPr>
                <w:rFonts w:hint="eastAsia"/>
                <w:sz w:val="21"/>
                <w:szCs w:val="21"/>
                <w:lang w:val="en-US" w:eastAsia="zh-CN"/>
              </w:rPr>
              <w:t>利用现有工程厂区</w:t>
            </w:r>
            <w:r>
              <w:rPr>
                <w:sz w:val="21"/>
                <w:szCs w:val="21"/>
              </w:rPr>
              <w:t>，不新增用地</w:t>
            </w:r>
          </w:p>
        </w:tc>
        <w:tc>
          <w:tcPr>
            <w:tcW w:w="0" w:type="auto"/>
            <w:shd w:val="clear" w:color="auto" w:fill="auto"/>
            <w:vAlign w:val="center"/>
          </w:tcPr>
          <w:p w14:paraId="61FDC8F3">
            <w:pPr>
              <w:bidi w:val="0"/>
              <w:spacing w:line="240" w:lineRule="auto"/>
              <w:jc w:val="center"/>
              <w:rPr>
                <w:rFonts w:hint="eastAsia"/>
                <w:sz w:val="21"/>
                <w:szCs w:val="21"/>
                <w:lang w:val="en-US" w:eastAsia="zh-CN"/>
              </w:rPr>
            </w:pPr>
            <w:r>
              <w:rPr>
                <w:rFonts w:hint="eastAsia"/>
                <w:sz w:val="21"/>
                <w:szCs w:val="21"/>
                <w:lang w:val="en-US" w:eastAsia="zh-CN"/>
              </w:rPr>
              <w:t>符合</w:t>
            </w:r>
          </w:p>
        </w:tc>
      </w:tr>
      <w:tr w14:paraId="3E5BB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0D113E45">
            <w:pPr>
              <w:bidi w:val="0"/>
              <w:spacing w:line="240" w:lineRule="auto"/>
              <w:jc w:val="center"/>
              <w:rPr>
                <w:rFonts w:hint="eastAsia"/>
                <w:sz w:val="21"/>
                <w:szCs w:val="21"/>
                <w:lang w:val="en-US" w:eastAsia="zh-CN"/>
              </w:rPr>
            </w:pPr>
          </w:p>
        </w:tc>
        <w:tc>
          <w:tcPr>
            <w:tcW w:w="334" w:type="pct"/>
            <w:gridSpan w:val="2"/>
            <w:vMerge w:val="continue"/>
            <w:vAlign w:val="center"/>
          </w:tcPr>
          <w:p w14:paraId="607F8E00">
            <w:pPr>
              <w:bidi w:val="0"/>
              <w:spacing w:line="240" w:lineRule="auto"/>
              <w:jc w:val="center"/>
              <w:rPr>
                <w:sz w:val="21"/>
                <w:szCs w:val="21"/>
              </w:rPr>
            </w:pPr>
          </w:p>
        </w:tc>
        <w:tc>
          <w:tcPr>
            <w:tcW w:w="1967" w:type="pct"/>
            <w:shd w:val="clear" w:color="auto" w:fill="auto"/>
            <w:vAlign w:val="center"/>
          </w:tcPr>
          <w:p w14:paraId="4311B8C9">
            <w:pPr>
              <w:bidi w:val="0"/>
              <w:spacing w:line="240" w:lineRule="auto"/>
              <w:jc w:val="center"/>
              <w:rPr>
                <w:sz w:val="21"/>
                <w:szCs w:val="21"/>
              </w:rPr>
            </w:pPr>
            <w:r>
              <w:rPr>
                <w:sz w:val="21"/>
                <w:szCs w:val="21"/>
              </w:rPr>
              <w:t>（二）光伏制造项目能耗应满足以下要求：</w:t>
            </w:r>
          </w:p>
          <w:p w14:paraId="494167FC">
            <w:pPr>
              <w:bidi w:val="0"/>
              <w:spacing w:line="240" w:lineRule="auto"/>
              <w:jc w:val="center"/>
              <w:rPr>
                <w:sz w:val="21"/>
                <w:szCs w:val="21"/>
              </w:rPr>
            </w:pPr>
            <w:r>
              <w:rPr>
                <w:sz w:val="21"/>
                <w:szCs w:val="21"/>
              </w:rPr>
              <w:t>1.现有多晶硅项目还原电耗小于</w:t>
            </w:r>
            <w:r>
              <w:rPr>
                <w:rFonts w:hint="eastAsia"/>
                <w:sz w:val="21"/>
                <w:szCs w:val="21"/>
                <w:lang w:val="en-US" w:eastAsia="zh-CN"/>
              </w:rPr>
              <w:t>46</w:t>
            </w:r>
            <w:r>
              <w:rPr>
                <w:sz w:val="21"/>
                <w:szCs w:val="21"/>
              </w:rPr>
              <w:t>千瓦时/千克，综合电耗小于</w:t>
            </w:r>
            <w:r>
              <w:rPr>
                <w:rFonts w:hint="eastAsia"/>
                <w:sz w:val="21"/>
                <w:szCs w:val="21"/>
                <w:lang w:val="en-US" w:eastAsia="zh-CN"/>
              </w:rPr>
              <w:t>60</w:t>
            </w:r>
            <w:r>
              <w:rPr>
                <w:sz w:val="21"/>
                <w:szCs w:val="21"/>
              </w:rPr>
              <w:t>千瓦时/千克；新建和</w:t>
            </w:r>
            <w:r>
              <w:rPr>
                <w:rFonts w:hint="eastAsia"/>
                <w:sz w:val="21"/>
                <w:szCs w:val="21"/>
                <w:lang w:eastAsia="zh-CN"/>
              </w:rPr>
              <w:t>改扩建项目</w:t>
            </w:r>
            <w:r>
              <w:rPr>
                <w:sz w:val="21"/>
                <w:szCs w:val="21"/>
              </w:rPr>
              <w:t>还原电耗小于</w:t>
            </w:r>
            <w:r>
              <w:rPr>
                <w:rFonts w:hint="eastAsia"/>
                <w:sz w:val="21"/>
                <w:szCs w:val="21"/>
                <w:lang w:val="en-US" w:eastAsia="zh-CN"/>
              </w:rPr>
              <w:t>4</w:t>
            </w:r>
            <w:r>
              <w:rPr>
                <w:sz w:val="21"/>
                <w:szCs w:val="21"/>
              </w:rPr>
              <w:t>0千瓦时/千克，综合电耗小于</w:t>
            </w:r>
            <w:r>
              <w:rPr>
                <w:rFonts w:hint="eastAsia"/>
                <w:sz w:val="21"/>
                <w:szCs w:val="21"/>
                <w:lang w:val="en-US" w:eastAsia="zh-CN"/>
              </w:rPr>
              <w:t>53</w:t>
            </w:r>
            <w:r>
              <w:rPr>
                <w:sz w:val="21"/>
                <w:szCs w:val="21"/>
              </w:rPr>
              <w:t>千瓦时/千克。</w:t>
            </w:r>
          </w:p>
          <w:p w14:paraId="4476C769">
            <w:pPr>
              <w:bidi w:val="0"/>
              <w:spacing w:line="240" w:lineRule="auto"/>
              <w:jc w:val="center"/>
              <w:rPr>
                <w:sz w:val="21"/>
                <w:szCs w:val="21"/>
              </w:rPr>
            </w:pPr>
            <w:r>
              <w:rPr>
                <w:sz w:val="21"/>
                <w:szCs w:val="21"/>
              </w:rPr>
              <w:t>2.现有硅锭项目平均综合电耗小于7.5千瓦时/千克，新建和</w:t>
            </w:r>
            <w:r>
              <w:rPr>
                <w:rFonts w:hint="eastAsia"/>
                <w:sz w:val="21"/>
                <w:szCs w:val="21"/>
                <w:lang w:eastAsia="zh-CN"/>
              </w:rPr>
              <w:t>改扩建项目</w:t>
            </w:r>
            <w:r>
              <w:rPr>
                <w:sz w:val="21"/>
                <w:szCs w:val="21"/>
              </w:rPr>
              <w:t>小于6.5千瓦时/千克；如采用多晶铸锭炉生产准单晶或高效多晶产品，项目平均综合电耗的增加幅度不得超过0.5千瓦时/千克。</w:t>
            </w:r>
          </w:p>
          <w:p w14:paraId="27BDE321">
            <w:pPr>
              <w:bidi w:val="0"/>
              <w:spacing w:line="240" w:lineRule="auto"/>
              <w:jc w:val="center"/>
              <w:rPr>
                <w:sz w:val="21"/>
                <w:szCs w:val="21"/>
              </w:rPr>
            </w:pPr>
            <w:r>
              <w:rPr>
                <w:sz w:val="21"/>
                <w:szCs w:val="21"/>
              </w:rPr>
              <w:t>3.现有硅棒项目平均综合电耗小于</w:t>
            </w:r>
            <w:r>
              <w:rPr>
                <w:rFonts w:hint="eastAsia"/>
                <w:sz w:val="21"/>
                <w:szCs w:val="21"/>
                <w:lang w:val="en-US" w:eastAsia="zh-CN"/>
              </w:rPr>
              <w:t>26</w:t>
            </w:r>
            <w:r>
              <w:rPr>
                <w:sz w:val="21"/>
                <w:szCs w:val="21"/>
              </w:rPr>
              <w:t>千瓦时/千克，新建和</w:t>
            </w:r>
            <w:r>
              <w:rPr>
                <w:rFonts w:hint="eastAsia"/>
                <w:sz w:val="21"/>
                <w:szCs w:val="21"/>
                <w:lang w:eastAsia="zh-CN"/>
              </w:rPr>
              <w:t>改扩建项目</w:t>
            </w:r>
            <w:r>
              <w:rPr>
                <w:sz w:val="21"/>
                <w:szCs w:val="21"/>
              </w:rPr>
              <w:t>小于</w:t>
            </w:r>
            <w:r>
              <w:rPr>
                <w:rFonts w:hint="eastAsia"/>
                <w:sz w:val="21"/>
                <w:szCs w:val="21"/>
                <w:lang w:val="en-US" w:eastAsia="zh-CN"/>
              </w:rPr>
              <w:t>23</w:t>
            </w:r>
            <w:r>
              <w:rPr>
                <w:sz w:val="21"/>
                <w:szCs w:val="21"/>
              </w:rPr>
              <w:t>千瓦时/千克。</w:t>
            </w:r>
          </w:p>
          <w:p w14:paraId="2095B9E5">
            <w:pPr>
              <w:bidi w:val="0"/>
              <w:spacing w:line="240" w:lineRule="auto"/>
              <w:jc w:val="center"/>
              <w:rPr>
                <w:sz w:val="21"/>
                <w:szCs w:val="21"/>
              </w:rPr>
            </w:pPr>
            <w:r>
              <w:rPr>
                <w:sz w:val="21"/>
                <w:szCs w:val="21"/>
              </w:rPr>
              <w:t>4.现有多晶硅片项目平均综合电耗小于25万千瓦时/百万片，新建和改拟建项目小于20万千瓦时/百万片；现有单晶硅片项目平均综合电耗小于</w:t>
            </w:r>
            <w:r>
              <w:rPr>
                <w:rFonts w:hint="eastAsia"/>
                <w:sz w:val="21"/>
                <w:szCs w:val="21"/>
                <w:lang w:val="en-US" w:eastAsia="zh-CN"/>
              </w:rPr>
              <w:t>1</w:t>
            </w:r>
            <w:r>
              <w:rPr>
                <w:sz w:val="21"/>
                <w:szCs w:val="21"/>
              </w:rPr>
              <w:t>0万千瓦时/百万片，新建和改拟建项目小于</w:t>
            </w:r>
            <w:r>
              <w:rPr>
                <w:rFonts w:hint="eastAsia"/>
                <w:sz w:val="21"/>
                <w:szCs w:val="21"/>
                <w:lang w:val="en-US" w:eastAsia="zh-CN"/>
              </w:rPr>
              <w:t>8</w:t>
            </w:r>
            <w:r>
              <w:rPr>
                <w:sz w:val="21"/>
                <w:szCs w:val="21"/>
              </w:rPr>
              <w:t>万千瓦时/百万片。</w:t>
            </w:r>
          </w:p>
          <w:p w14:paraId="696D4475">
            <w:pPr>
              <w:bidi w:val="0"/>
              <w:spacing w:line="240" w:lineRule="auto"/>
              <w:jc w:val="center"/>
              <w:rPr>
                <w:rFonts w:hint="eastAsia"/>
                <w:sz w:val="21"/>
                <w:szCs w:val="21"/>
                <w:lang w:eastAsia="zh-CN"/>
              </w:rPr>
            </w:pPr>
            <w:r>
              <w:rPr>
                <w:sz w:val="21"/>
                <w:szCs w:val="21"/>
              </w:rPr>
              <w:t>5.</w:t>
            </w:r>
            <w:r>
              <w:rPr>
                <w:rFonts w:hint="eastAsia"/>
                <w:sz w:val="21"/>
                <w:szCs w:val="21"/>
                <w:lang w:val="en-US" w:eastAsia="zh-CN"/>
              </w:rPr>
              <w:t>P型</w:t>
            </w:r>
            <w:r>
              <w:rPr>
                <w:sz w:val="21"/>
                <w:szCs w:val="21"/>
              </w:rPr>
              <w:t>晶硅电池项目平均综合电耗小于</w:t>
            </w:r>
            <w:r>
              <w:rPr>
                <w:rFonts w:hint="eastAsia"/>
                <w:sz w:val="21"/>
                <w:szCs w:val="21"/>
                <w:lang w:val="en-US" w:eastAsia="zh-CN"/>
              </w:rPr>
              <w:t>5</w:t>
            </w:r>
            <w:r>
              <w:rPr>
                <w:sz w:val="21"/>
                <w:szCs w:val="21"/>
              </w:rPr>
              <w:t>万千瓦时/MWp</w:t>
            </w:r>
            <w:r>
              <w:rPr>
                <w:rFonts w:hint="eastAsia"/>
                <w:sz w:val="21"/>
                <w:szCs w:val="21"/>
                <w:lang w:eastAsia="zh-CN"/>
              </w:rPr>
              <w:t>，N</w:t>
            </w:r>
          </w:p>
          <w:p w14:paraId="33CC78F0">
            <w:pPr>
              <w:bidi w:val="0"/>
              <w:spacing w:line="240" w:lineRule="auto"/>
              <w:jc w:val="center"/>
              <w:rPr>
                <w:sz w:val="21"/>
                <w:szCs w:val="21"/>
              </w:rPr>
            </w:pPr>
            <w:r>
              <w:rPr>
                <w:rFonts w:hint="eastAsia"/>
                <w:sz w:val="21"/>
                <w:szCs w:val="21"/>
                <w:lang w:eastAsia="zh-CN"/>
              </w:rPr>
              <w:t>型晶硅电池项目平均综合电耗小于7万千瓦时/MWp</w:t>
            </w:r>
            <w:r>
              <w:rPr>
                <w:sz w:val="21"/>
                <w:szCs w:val="21"/>
              </w:rPr>
              <w:t>。</w:t>
            </w:r>
          </w:p>
          <w:p w14:paraId="4D93EDC4">
            <w:pPr>
              <w:bidi w:val="0"/>
              <w:spacing w:line="240" w:lineRule="auto"/>
              <w:jc w:val="center"/>
              <w:rPr>
                <w:sz w:val="21"/>
                <w:szCs w:val="21"/>
                <w:lang w:val="en-US" w:eastAsia="zh-CN"/>
              </w:rPr>
            </w:pPr>
            <w:r>
              <w:rPr>
                <w:sz w:val="21"/>
                <w:szCs w:val="21"/>
              </w:rPr>
              <w:t>6.晶硅组件项目平均综合电耗小于</w:t>
            </w:r>
            <w:r>
              <w:rPr>
                <w:rFonts w:hint="eastAsia"/>
                <w:sz w:val="21"/>
                <w:szCs w:val="21"/>
                <w:lang w:val="en-US" w:eastAsia="zh-CN"/>
              </w:rPr>
              <w:t>2.5</w:t>
            </w:r>
            <w:r>
              <w:rPr>
                <w:sz w:val="21"/>
                <w:szCs w:val="21"/>
              </w:rPr>
              <w:t>万千瓦时/MWp ，薄膜组件项目平均电耗小于</w:t>
            </w:r>
            <w:r>
              <w:rPr>
                <w:rFonts w:hint="eastAsia"/>
                <w:sz w:val="21"/>
                <w:szCs w:val="21"/>
                <w:lang w:val="en-US" w:eastAsia="zh-CN"/>
              </w:rPr>
              <w:t>40</w:t>
            </w:r>
            <w:r>
              <w:rPr>
                <w:sz w:val="21"/>
                <w:szCs w:val="21"/>
              </w:rPr>
              <w:t>万千瓦时/MWp。</w:t>
            </w:r>
          </w:p>
        </w:tc>
        <w:tc>
          <w:tcPr>
            <w:tcW w:w="0" w:type="auto"/>
            <w:shd w:val="clear" w:color="auto" w:fill="auto"/>
            <w:vAlign w:val="center"/>
          </w:tcPr>
          <w:p w14:paraId="5D21DDC9">
            <w:pPr>
              <w:bidi w:val="0"/>
              <w:spacing w:line="240" w:lineRule="auto"/>
              <w:jc w:val="center"/>
              <w:rPr>
                <w:rFonts w:hint="eastAsia"/>
                <w:sz w:val="21"/>
                <w:szCs w:val="21"/>
              </w:rPr>
            </w:pPr>
            <w:r>
              <w:rPr>
                <w:rFonts w:hint="eastAsia"/>
                <w:sz w:val="21"/>
                <w:szCs w:val="21"/>
              </w:rPr>
              <w:t>本项目不涉及多晶硅片、单晶硅原片生产。</w:t>
            </w:r>
          </w:p>
          <w:p w14:paraId="07E2DA71">
            <w:pPr>
              <w:bidi w:val="0"/>
              <w:spacing w:line="240" w:lineRule="auto"/>
              <w:jc w:val="center"/>
              <w:rPr>
                <w:sz w:val="21"/>
                <w:szCs w:val="21"/>
                <w:lang w:val="en-US" w:eastAsia="zh-CN"/>
              </w:rPr>
            </w:pPr>
            <w:r>
              <w:rPr>
                <w:rFonts w:hint="eastAsia"/>
                <w:sz w:val="21"/>
                <w:szCs w:val="21"/>
              </w:rPr>
              <w:t>本次技改后全厂单晶硅电池平均综合能耗为2.843万千瓦时/MWp（技改后全厂产量17589MW，年用电量为50000万</w:t>
            </w:r>
            <w:r>
              <w:rPr>
                <w:rFonts w:hint="eastAsia"/>
                <w:sz w:val="21"/>
                <w:szCs w:val="21"/>
                <w:lang w:eastAsia="zh-CN"/>
              </w:rPr>
              <w:t>kW</w:t>
            </w:r>
            <w:r>
              <w:rPr>
                <w:rFonts w:hint="eastAsia"/>
                <w:sz w:val="21"/>
                <w:szCs w:val="21"/>
              </w:rPr>
              <w:t>·h），小于</w:t>
            </w:r>
            <w:r>
              <w:rPr>
                <w:rFonts w:hint="eastAsia"/>
                <w:sz w:val="21"/>
                <w:szCs w:val="21"/>
                <w:lang w:val="en-US" w:eastAsia="zh-CN"/>
              </w:rPr>
              <w:t>7.5</w:t>
            </w:r>
            <w:r>
              <w:rPr>
                <w:rFonts w:hint="eastAsia"/>
                <w:sz w:val="21"/>
                <w:szCs w:val="21"/>
              </w:rPr>
              <w:t>万千瓦时/MWp。</w:t>
            </w:r>
          </w:p>
        </w:tc>
        <w:tc>
          <w:tcPr>
            <w:tcW w:w="0" w:type="auto"/>
            <w:shd w:val="clear" w:color="auto" w:fill="auto"/>
            <w:vAlign w:val="center"/>
          </w:tcPr>
          <w:p w14:paraId="1EA9C875">
            <w:pPr>
              <w:bidi w:val="0"/>
              <w:spacing w:line="240" w:lineRule="auto"/>
              <w:jc w:val="center"/>
              <w:rPr>
                <w:rFonts w:hint="default"/>
                <w:sz w:val="21"/>
                <w:szCs w:val="21"/>
                <w:lang w:val="en-US" w:eastAsia="zh-CN"/>
              </w:rPr>
            </w:pPr>
            <w:r>
              <w:rPr>
                <w:rFonts w:hint="eastAsia"/>
                <w:sz w:val="21"/>
                <w:szCs w:val="21"/>
                <w:lang w:val="en-US" w:eastAsia="zh-CN"/>
              </w:rPr>
              <w:t>符合</w:t>
            </w:r>
          </w:p>
        </w:tc>
      </w:tr>
      <w:tr w14:paraId="37B7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1CF69E7B">
            <w:pPr>
              <w:bidi w:val="0"/>
              <w:spacing w:line="240" w:lineRule="auto"/>
              <w:jc w:val="center"/>
              <w:rPr>
                <w:rFonts w:hint="eastAsia"/>
                <w:sz w:val="21"/>
                <w:szCs w:val="21"/>
                <w:lang w:val="en-US" w:eastAsia="zh-CN"/>
              </w:rPr>
            </w:pPr>
          </w:p>
        </w:tc>
        <w:tc>
          <w:tcPr>
            <w:tcW w:w="334" w:type="pct"/>
            <w:gridSpan w:val="2"/>
            <w:vMerge w:val="continue"/>
            <w:vAlign w:val="center"/>
          </w:tcPr>
          <w:p w14:paraId="09A27D64">
            <w:pPr>
              <w:bidi w:val="0"/>
              <w:spacing w:line="240" w:lineRule="auto"/>
              <w:jc w:val="center"/>
              <w:rPr>
                <w:sz w:val="21"/>
                <w:szCs w:val="21"/>
              </w:rPr>
            </w:pPr>
          </w:p>
        </w:tc>
        <w:tc>
          <w:tcPr>
            <w:tcW w:w="1967" w:type="pct"/>
            <w:shd w:val="clear" w:color="auto" w:fill="auto"/>
            <w:vAlign w:val="center"/>
          </w:tcPr>
          <w:p w14:paraId="4AC71C8D">
            <w:pPr>
              <w:bidi w:val="0"/>
              <w:spacing w:line="240" w:lineRule="auto"/>
              <w:jc w:val="center"/>
              <w:rPr>
                <w:rFonts w:hint="eastAsia"/>
                <w:sz w:val="21"/>
                <w:szCs w:val="21"/>
              </w:rPr>
            </w:pPr>
            <w:r>
              <w:rPr>
                <w:rFonts w:hint="eastAsia"/>
                <w:sz w:val="21"/>
                <w:szCs w:val="21"/>
              </w:rPr>
              <w:t>（三）光伏制造项目生产水耗应满足以下要求：</w:t>
            </w:r>
          </w:p>
          <w:p w14:paraId="3D42A07C">
            <w:pPr>
              <w:bidi w:val="0"/>
              <w:spacing w:line="240" w:lineRule="auto"/>
              <w:jc w:val="center"/>
              <w:rPr>
                <w:rFonts w:hint="eastAsia"/>
                <w:sz w:val="21"/>
                <w:szCs w:val="21"/>
              </w:rPr>
            </w:pPr>
            <w:r>
              <w:rPr>
                <w:rFonts w:hint="eastAsia"/>
                <w:sz w:val="21"/>
                <w:szCs w:val="21"/>
              </w:rPr>
              <w:t>1.多晶硅项目水循环利用率不低于98%；</w:t>
            </w:r>
          </w:p>
          <w:p w14:paraId="0A4E15A6">
            <w:pPr>
              <w:bidi w:val="0"/>
              <w:spacing w:line="240" w:lineRule="auto"/>
              <w:jc w:val="center"/>
              <w:rPr>
                <w:rFonts w:hint="eastAsia"/>
                <w:sz w:val="21"/>
                <w:szCs w:val="21"/>
              </w:rPr>
            </w:pPr>
            <w:r>
              <w:rPr>
                <w:rFonts w:hint="eastAsia"/>
                <w:sz w:val="21"/>
                <w:szCs w:val="21"/>
              </w:rPr>
              <w:t>2.硅片项目水耗低于900吨/百万片，鼓励企业使用再生水；新建和改扩建硅片项目水耗低于540吨/百万片且再生水使用率高于40%。</w:t>
            </w:r>
          </w:p>
          <w:p w14:paraId="318F47F3">
            <w:pPr>
              <w:bidi w:val="0"/>
              <w:spacing w:line="240" w:lineRule="auto"/>
              <w:jc w:val="center"/>
              <w:rPr>
                <w:sz w:val="21"/>
                <w:szCs w:val="21"/>
                <w:lang w:val="en-US" w:eastAsia="zh-CN"/>
              </w:rPr>
            </w:pPr>
            <w:r>
              <w:rPr>
                <w:rFonts w:hint="eastAsia"/>
                <w:sz w:val="21"/>
                <w:szCs w:val="21"/>
              </w:rPr>
              <w:t>3.现有P型晶硅电池项目水耗低于400吨/MWp，N型晶硅电池项目水耗低于600吨/MWp，鼓励企业使用再生水；新建和改扩建项目水耗低于360吨/MWp且再生水使用率高于40%。</w:t>
            </w:r>
          </w:p>
        </w:tc>
        <w:tc>
          <w:tcPr>
            <w:tcW w:w="0" w:type="auto"/>
            <w:shd w:val="clear" w:color="auto" w:fill="auto"/>
            <w:vAlign w:val="center"/>
          </w:tcPr>
          <w:p w14:paraId="0BC188E6">
            <w:pPr>
              <w:bidi w:val="0"/>
              <w:spacing w:line="240" w:lineRule="auto"/>
              <w:jc w:val="center"/>
              <w:rPr>
                <w:sz w:val="21"/>
                <w:szCs w:val="21"/>
                <w:lang w:val="en-US" w:eastAsia="zh-CN"/>
              </w:rPr>
            </w:pPr>
            <w:r>
              <w:rPr>
                <w:rFonts w:hint="eastAsia"/>
                <w:sz w:val="21"/>
                <w:szCs w:val="21"/>
                <w:lang w:val="en-US" w:eastAsia="zh-CN"/>
              </w:rPr>
              <w:t>本项目产品为</w:t>
            </w:r>
            <w:r>
              <w:rPr>
                <w:sz w:val="21"/>
                <w:szCs w:val="21"/>
                <w:lang w:val="en-US" w:eastAsia="zh-CN"/>
              </w:rPr>
              <w:t>N型单晶硅电池</w:t>
            </w:r>
            <w:r>
              <w:rPr>
                <w:sz w:val="21"/>
                <w:szCs w:val="21"/>
              </w:rPr>
              <w:t>，技改</w:t>
            </w:r>
            <w:r>
              <w:rPr>
                <w:rFonts w:hint="eastAsia"/>
                <w:sz w:val="21"/>
                <w:szCs w:val="21"/>
                <w:lang w:val="en-US" w:eastAsia="zh-CN"/>
              </w:rPr>
              <w:t>完成后</w:t>
            </w:r>
            <w:r>
              <w:rPr>
                <w:sz w:val="21"/>
                <w:szCs w:val="21"/>
              </w:rPr>
              <w:t>后单位水耗为612.767吨/MWP（技改后全厂产量17589MW，年用水量为10777955.85t），低于</w:t>
            </w:r>
            <w:r>
              <w:rPr>
                <w:rFonts w:hint="eastAsia"/>
                <w:sz w:val="21"/>
                <w:szCs w:val="21"/>
                <w:lang w:val="en-US" w:eastAsia="zh-CN"/>
              </w:rPr>
              <w:t>600</w:t>
            </w:r>
            <w:r>
              <w:rPr>
                <w:sz w:val="21"/>
                <w:szCs w:val="21"/>
              </w:rPr>
              <w:t>/MWp</w:t>
            </w:r>
          </w:p>
        </w:tc>
        <w:tc>
          <w:tcPr>
            <w:tcW w:w="0" w:type="auto"/>
            <w:shd w:val="clear" w:color="auto" w:fill="auto"/>
            <w:vAlign w:val="center"/>
          </w:tcPr>
          <w:p w14:paraId="10EFC92F">
            <w:pPr>
              <w:bidi w:val="0"/>
              <w:spacing w:line="240" w:lineRule="auto"/>
              <w:jc w:val="center"/>
              <w:rPr>
                <w:rFonts w:hint="default"/>
                <w:sz w:val="21"/>
                <w:szCs w:val="21"/>
                <w:lang w:val="en-US" w:eastAsia="zh-CN"/>
              </w:rPr>
            </w:pPr>
            <w:r>
              <w:rPr>
                <w:rFonts w:hint="eastAsia"/>
                <w:sz w:val="21"/>
                <w:szCs w:val="21"/>
                <w:lang w:val="en-US" w:eastAsia="zh-CN"/>
              </w:rPr>
              <w:t>符合</w:t>
            </w:r>
          </w:p>
        </w:tc>
      </w:tr>
      <w:tr w14:paraId="6C58E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8" w:hRule="atLeast"/>
          <w:jc w:val="center"/>
        </w:trPr>
        <w:tc>
          <w:tcPr>
            <w:tcW w:w="573" w:type="pct"/>
            <w:shd w:val="clear" w:color="auto" w:fill="auto"/>
            <w:vAlign w:val="center"/>
          </w:tcPr>
          <w:p w14:paraId="3E6E7422">
            <w:pPr>
              <w:bidi w:val="0"/>
              <w:spacing w:line="240" w:lineRule="auto"/>
              <w:jc w:val="center"/>
              <w:rPr>
                <w:sz w:val="21"/>
                <w:szCs w:val="21"/>
              </w:rPr>
            </w:pPr>
            <w:r>
              <w:rPr>
                <w:sz w:val="21"/>
                <w:szCs w:val="21"/>
              </w:rPr>
              <w:t>《安徽省</w:t>
            </w:r>
            <w:r>
              <w:rPr>
                <w:rFonts w:hint="eastAsia"/>
                <w:sz w:val="21"/>
                <w:szCs w:val="21"/>
                <w:lang w:eastAsia="zh-CN"/>
              </w:rPr>
              <w:t>“</w:t>
            </w:r>
            <w:r>
              <w:rPr>
                <w:sz w:val="21"/>
                <w:szCs w:val="21"/>
              </w:rPr>
              <w:t>两高</w:t>
            </w:r>
            <w:r>
              <w:rPr>
                <w:rFonts w:hint="eastAsia"/>
                <w:sz w:val="21"/>
                <w:szCs w:val="21"/>
                <w:lang w:eastAsia="zh-CN"/>
              </w:rPr>
              <w:t>”</w:t>
            </w:r>
            <w:r>
              <w:rPr>
                <w:sz w:val="21"/>
                <w:szCs w:val="21"/>
              </w:rPr>
              <w:t>项目管理</w:t>
            </w:r>
          </w:p>
          <w:p w14:paraId="5F2F7607">
            <w:pPr>
              <w:bidi w:val="0"/>
              <w:spacing w:line="240" w:lineRule="auto"/>
              <w:jc w:val="center"/>
              <w:rPr>
                <w:sz w:val="21"/>
                <w:szCs w:val="21"/>
                <w:lang w:val="en-US" w:eastAsia="en-US"/>
              </w:rPr>
            </w:pPr>
            <w:r>
              <w:rPr>
                <w:sz w:val="21"/>
                <w:szCs w:val="21"/>
              </w:rPr>
              <w:t>目录（试行）》</w:t>
            </w:r>
          </w:p>
        </w:tc>
        <w:tc>
          <w:tcPr>
            <w:tcW w:w="2302" w:type="pct"/>
            <w:gridSpan w:val="3"/>
            <w:shd w:val="clear" w:color="auto" w:fill="auto"/>
            <w:vAlign w:val="center"/>
          </w:tcPr>
          <w:p w14:paraId="133AB84F">
            <w:pPr>
              <w:bidi w:val="0"/>
              <w:spacing w:line="240" w:lineRule="auto"/>
              <w:jc w:val="center"/>
              <w:rPr>
                <w:sz w:val="21"/>
                <w:szCs w:val="21"/>
                <w:lang w:val="en-US" w:eastAsia="en-US"/>
              </w:rPr>
            </w:pPr>
            <w:r>
              <w:rPr>
                <w:sz w:val="21"/>
                <w:szCs w:val="21"/>
              </w:rPr>
              <w:t>《安徽省</w:t>
            </w:r>
            <w:r>
              <w:rPr>
                <w:rFonts w:hint="eastAsia"/>
                <w:sz w:val="21"/>
                <w:szCs w:val="21"/>
                <w:lang w:eastAsia="zh-CN"/>
              </w:rPr>
              <w:t>“</w:t>
            </w:r>
            <w:r>
              <w:rPr>
                <w:sz w:val="21"/>
                <w:szCs w:val="21"/>
              </w:rPr>
              <w:t>两高</w:t>
            </w:r>
            <w:r>
              <w:rPr>
                <w:rFonts w:hint="eastAsia"/>
                <w:sz w:val="21"/>
                <w:szCs w:val="21"/>
                <w:lang w:eastAsia="zh-CN"/>
              </w:rPr>
              <w:t>”</w:t>
            </w:r>
            <w:r>
              <w:rPr>
                <w:sz w:val="21"/>
                <w:szCs w:val="21"/>
              </w:rPr>
              <w:t>项目管理目录（试行）》中两高项目包括石化、焦化、煤化工、化工、建材、钢铁、有色、煤电。</w:t>
            </w:r>
          </w:p>
        </w:tc>
        <w:tc>
          <w:tcPr>
            <w:tcW w:w="1817" w:type="pct"/>
            <w:shd w:val="clear" w:color="auto" w:fill="auto"/>
            <w:vAlign w:val="center"/>
          </w:tcPr>
          <w:p w14:paraId="540A32D1">
            <w:pPr>
              <w:bidi w:val="0"/>
              <w:spacing w:line="240" w:lineRule="auto"/>
              <w:jc w:val="center"/>
              <w:rPr>
                <w:sz w:val="21"/>
                <w:szCs w:val="21"/>
                <w:lang w:val="en-US" w:eastAsia="en-US"/>
              </w:rPr>
            </w:pPr>
            <w:r>
              <w:rPr>
                <w:sz w:val="21"/>
                <w:szCs w:val="21"/>
              </w:rPr>
              <w:t>根据目录，本项目不属于《安徽省</w:t>
            </w:r>
            <w:r>
              <w:rPr>
                <w:rFonts w:hint="eastAsia"/>
                <w:sz w:val="21"/>
                <w:szCs w:val="21"/>
                <w:lang w:eastAsia="zh-CN"/>
              </w:rPr>
              <w:t>“</w:t>
            </w:r>
            <w:r>
              <w:rPr>
                <w:sz w:val="21"/>
                <w:szCs w:val="21"/>
              </w:rPr>
              <w:t>两高</w:t>
            </w:r>
            <w:r>
              <w:rPr>
                <w:rFonts w:hint="eastAsia"/>
                <w:sz w:val="21"/>
                <w:szCs w:val="21"/>
                <w:lang w:eastAsia="zh-CN"/>
              </w:rPr>
              <w:t>”</w:t>
            </w:r>
            <w:r>
              <w:rPr>
                <w:sz w:val="21"/>
                <w:szCs w:val="21"/>
              </w:rPr>
              <w:t>项目管理目录（试行）》中内容，本项目不属于两高项目。</w:t>
            </w:r>
          </w:p>
        </w:tc>
        <w:tc>
          <w:tcPr>
            <w:tcW w:w="306" w:type="pct"/>
            <w:shd w:val="clear" w:color="auto" w:fill="auto"/>
            <w:vAlign w:val="center"/>
          </w:tcPr>
          <w:p w14:paraId="764923DD">
            <w:pPr>
              <w:bidi w:val="0"/>
              <w:spacing w:line="240" w:lineRule="auto"/>
              <w:jc w:val="center"/>
              <w:rPr>
                <w:rFonts w:hint="eastAsia"/>
                <w:sz w:val="21"/>
                <w:szCs w:val="21"/>
                <w:lang w:val="en-US" w:eastAsia="zh-CN"/>
              </w:rPr>
            </w:pPr>
            <w:r>
              <w:rPr>
                <w:sz w:val="21"/>
                <w:szCs w:val="21"/>
              </w:rPr>
              <w:t>符合</w:t>
            </w:r>
          </w:p>
        </w:tc>
      </w:tr>
      <w:tr w14:paraId="7141B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restart"/>
            <w:shd w:val="clear" w:color="auto" w:fill="auto"/>
            <w:vAlign w:val="center"/>
          </w:tcPr>
          <w:p w14:paraId="2D5A12E2">
            <w:pPr>
              <w:bidi w:val="0"/>
              <w:spacing w:line="240" w:lineRule="auto"/>
              <w:jc w:val="center"/>
              <w:rPr>
                <w:sz w:val="21"/>
                <w:szCs w:val="21"/>
                <w:lang w:val="en-US" w:eastAsia="en-US"/>
              </w:rPr>
            </w:pPr>
            <w:r>
              <w:rPr>
                <w:sz w:val="21"/>
                <w:szCs w:val="21"/>
              </w:rPr>
              <w:t>《长江经济带发展负面清单指南》（试行，2022年版）</w:t>
            </w:r>
          </w:p>
        </w:tc>
        <w:tc>
          <w:tcPr>
            <w:tcW w:w="2302" w:type="pct"/>
            <w:gridSpan w:val="3"/>
            <w:shd w:val="clear" w:color="auto" w:fill="auto"/>
            <w:vAlign w:val="center"/>
          </w:tcPr>
          <w:p w14:paraId="1803C3A1">
            <w:pPr>
              <w:bidi w:val="0"/>
              <w:spacing w:line="240" w:lineRule="auto"/>
              <w:jc w:val="center"/>
              <w:rPr>
                <w:sz w:val="21"/>
                <w:szCs w:val="21"/>
                <w:lang w:val="en-US" w:eastAsia="en-US"/>
              </w:rPr>
            </w:pPr>
            <w:r>
              <w:rPr>
                <w:sz w:val="21"/>
                <w:szCs w:val="21"/>
              </w:rPr>
              <w:t>禁止在长江干支流、重要湖泊岸线一公里范围内新建、扩建化工园区和化工项目，禁止在长江干流岸线三公里范围和重要支流岸线一公里范围内新建、改建、扩建尾矿库、冶炼渣库和磷石膏库，以提升安全、生态环境保护水平为目的的改建除外</w:t>
            </w:r>
          </w:p>
        </w:tc>
        <w:tc>
          <w:tcPr>
            <w:tcW w:w="0" w:type="auto"/>
            <w:shd w:val="clear" w:color="auto" w:fill="auto"/>
            <w:vAlign w:val="center"/>
          </w:tcPr>
          <w:p w14:paraId="74374BDD">
            <w:pPr>
              <w:bidi w:val="0"/>
              <w:spacing w:line="240" w:lineRule="auto"/>
              <w:jc w:val="center"/>
              <w:rPr>
                <w:sz w:val="21"/>
                <w:szCs w:val="21"/>
                <w:lang w:val="en-US" w:eastAsia="en-US"/>
              </w:rPr>
            </w:pPr>
            <w:r>
              <w:rPr>
                <w:sz w:val="21"/>
                <w:szCs w:val="21"/>
              </w:rPr>
              <w:t>建设项目不属于化工项目，不在长江干支流、重要湖泊岸线一公里范围内；不属于尾矿库、冶炼渣库和磷石膏库项目</w:t>
            </w:r>
          </w:p>
        </w:tc>
        <w:tc>
          <w:tcPr>
            <w:tcW w:w="0" w:type="auto"/>
            <w:shd w:val="clear" w:color="auto" w:fill="auto"/>
            <w:vAlign w:val="center"/>
          </w:tcPr>
          <w:p w14:paraId="0098AE3B">
            <w:pPr>
              <w:bidi w:val="0"/>
              <w:spacing w:line="240" w:lineRule="auto"/>
              <w:jc w:val="center"/>
              <w:rPr>
                <w:sz w:val="21"/>
                <w:szCs w:val="21"/>
                <w:lang w:val="en-US" w:eastAsia="zh-CN"/>
              </w:rPr>
            </w:pPr>
            <w:r>
              <w:rPr>
                <w:sz w:val="21"/>
                <w:szCs w:val="21"/>
              </w:rPr>
              <w:t>相符</w:t>
            </w:r>
          </w:p>
        </w:tc>
      </w:tr>
      <w:tr w14:paraId="31398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2CCB6D46">
            <w:pPr>
              <w:bidi w:val="0"/>
              <w:spacing w:line="240" w:lineRule="auto"/>
              <w:jc w:val="center"/>
              <w:rPr>
                <w:sz w:val="21"/>
                <w:szCs w:val="21"/>
              </w:rPr>
            </w:pPr>
          </w:p>
        </w:tc>
        <w:tc>
          <w:tcPr>
            <w:tcW w:w="2302" w:type="pct"/>
            <w:gridSpan w:val="3"/>
            <w:shd w:val="clear" w:color="auto" w:fill="auto"/>
            <w:vAlign w:val="center"/>
          </w:tcPr>
          <w:p w14:paraId="33F4E07E">
            <w:pPr>
              <w:bidi w:val="0"/>
              <w:spacing w:line="240" w:lineRule="auto"/>
              <w:jc w:val="center"/>
              <w:rPr>
                <w:sz w:val="21"/>
                <w:szCs w:val="21"/>
                <w:lang w:val="en-US" w:eastAsia="en-US"/>
              </w:rPr>
            </w:pPr>
            <w:r>
              <w:rPr>
                <w:sz w:val="21"/>
                <w:szCs w:val="21"/>
              </w:rPr>
              <w:t>禁止在合规园区外新建、扩建钢铁、石化、化工、焦化、建材、有色、制浆造纸等高污染项目</w:t>
            </w:r>
          </w:p>
        </w:tc>
        <w:tc>
          <w:tcPr>
            <w:tcW w:w="0" w:type="auto"/>
            <w:shd w:val="clear" w:color="auto" w:fill="auto"/>
            <w:vAlign w:val="center"/>
          </w:tcPr>
          <w:p w14:paraId="7AAF2926">
            <w:pPr>
              <w:bidi w:val="0"/>
              <w:spacing w:line="240" w:lineRule="auto"/>
              <w:jc w:val="center"/>
              <w:rPr>
                <w:sz w:val="21"/>
                <w:szCs w:val="21"/>
                <w:lang w:val="en-US" w:eastAsia="en-US"/>
              </w:rPr>
            </w:pPr>
            <w:r>
              <w:rPr>
                <w:sz w:val="21"/>
                <w:szCs w:val="21"/>
              </w:rPr>
              <w:t>本项目为太阳能电池生产项目，不属于钢铁、石化、化工、焦化、建材、有色、制浆造纸等高污染项目</w:t>
            </w:r>
          </w:p>
        </w:tc>
        <w:tc>
          <w:tcPr>
            <w:tcW w:w="0" w:type="auto"/>
            <w:shd w:val="clear" w:color="auto" w:fill="auto"/>
            <w:vAlign w:val="center"/>
          </w:tcPr>
          <w:p w14:paraId="2AA855ED">
            <w:pPr>
              <w:bidi w:val="0"/>
              <w:spacing w:line="240" w:lineRule="auto"/>
              <w:jc w:val="center"/>
              <w:rPr>
                <w:sz w:val="21"/>
                <w:szCs w:val="21"/>
                <w:lang w:val="en-US" w:eastAsia="zh-CN"/>
              </w:rPr>
            </w:pPr>
            <w:r>
              <w:rPr>
                <w:sz w:val="21"/>
                <w:szCs w:val="21"/>
              </w:rPr>
              <w:t>相符</w:t>
            </w:r>
          </w:p>
        </w:tc>
      </w:tr>
      <w:tr w14:paraId="650159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5FDCD85A">
            <w:pPr>
              <w:bidi w:val="0"/>
              <w:spacing w:line="240" w:lineRule="auto"/>
              <w:jc w:val="center"/>
              <w:rPr>
                <w:sz w:val="21"/>
                <w:szCs w:val="21"/>
              </w:rPr>
            </w:pPr>
          </w:p>
        </w:tc>
        <w:tc>
          <w:tcPr>
            <w:tcW w:w="2302" w:type="pct"/>
            <w:gridSpan w:val="3"/>
            <w:shd w:val="clear" w:color="auto" w:fill="auto"/>
            <w:vAlign w:val="center"/>
          </w:tcPr>
          <w:p w14:paraId="39122518">
            <w:pPr>
              <w:bidi w:val="0"/>
              <w:spacing w:line="240" w:lineRule="auto"/>
              <w:jc w:val="center"/>
              <w:rPr>
                <w:sz w:val="21"/>
                <w:szCs w:val="21"/>
                <w:lang w:val="en-US" w:eastAsia="en-US"/>
              </w:rPr>
            </w:pPr>
            <w:r>
              <w:rPr>
                <w:sz w:val="21"/>
                <w:szCs w:val="21"/>
              </w:rPr>
              <w:t>禁止新建、扩建不符合国家石化、现代煤化工等产业布局规划的项目</w:t>
            </w:r>
          </w:p>
        </w:tc>
        <w:tc>
          <w:tcPr>
            <w:tcW w:w="0" w:type="auto"/>
            <w:shd w:val="clear" w:color="auto" w:fill="auto"/>
            <w:vAlign w:val="center"/>
          </w:tcPr>
          <w:p w14:paraId="7FD42BC0">
            <w:pPr>
              <w:bidi w:val="0"/>
              <w:spacing w:line="240" w:lineRule="auto"/>
              <w:jc w:val="center"/>
              <w:rPr>
                <w:sz w:val="21"/>
                <w:szCs w:val="21"/>
                <w:lang w:val="en-US" w:eastAsia="en-US"/>
              </w:rPr>
            </w:pPr>
            <w:r>
              <w:rPr>
                <w:sz w:val="21"/>
                <w:szCs w:val="21"/>
              </w:rPr>
              <w:t>本项目为光伏电池制造项目，不属于石化、现代煤化工等产业布局规划的项目</w:t>
            </w:r>
          </w:p>
        </w:tc>
        <w:tc>
          <w:tcPr>
            <w:tcW w:w="0" w:type="auto"/>
            <w:shd w:val="clear" w:color="auto" w:fill="auto"/>
            <w:vAlign w:val="center"/>
          </w:tcPr>
          <w:p w14:paraId="59A92AE2">
            <w:pPr>
              <w:bidi w:val="0"/>
              <w:spacing w:line="240" w:lineRule="auto"/>
              <w:jc w:val="center"/>
              <w:rPr>
                <w:sz w:val="21"/>
                <w:szCs w:val="21"/>
                <w:lang w:val="en-US" w:eastAsia="zh-CN"/>
              </w:rPr>
            </w:pPr>
            <w:r>
              <w:rPr>
                <w:sz w:val="21"/>
                <w:szCs w:val="21"/>
              </w:rPr>
              <w:t>相符</w:t>
            </w:r>
          </w:p>
        </w:tc>
      </w:tr>
      <w:tr w14:paraId="24F12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0EAD68A6">
            <w:pPr>
              <w:bidi w:val="0"/>
              <w:spacing w:line="240" w:lineRule="auto"/>
              <w:jc w:val="center"/>
              <w:rPr>
                <w:sz w:val="21"/>
                <w:szCs w:val="21"/>
              </w:rPr>
            </w:pPr>
          </w:p>
        </w:tc>
        <w:tc>
          <w:tcPr>
            <w:tcW w:w="2302" w:type="pct"/>
            <w:gridSpan w:val="3"/>
            <w:shd w:val="clear" w:color="auto" w:fill="auto"/>
            <w:vAlign w:val="center"/>
          </w:tcPr>
          <w:p w14:paraId="7F6D5CAC">
            <w:pPr>
              <w:bidi w:val="0"/>
              <w:spacing w:line="240" w:lineRule="auto"/>
              <w:jc w:val="center"/>
              <w:rPr>
                <w:sz w:val="21"/>
                <w:szCs w:val="21"/>
                <w:lang w:val="en-US" w:eastAsia="en-US"/>
              </w:rPr>
            </w:pPr>
            <w:r>
              <w:rPr>
                <w:sz w:val="21"/>
                <w:szCs w:val="21"/>
              </w:rPr>
              <w:t>禁止新建、扩建法律法规和相关政策明令禁止的落后产能项目，禁止新建、扩建不符合国家产能置换要求的严重过剩产能行业的项目。禁止新建、扩建不符合要求的高耗能高排放项目</w:t>
            </w:r>
          </w:p>
        </w:tc>
        <w:tc>
          <w:tcPr>
            <w:tcW w:w="0" w:type="auto"/>
            <w:shd w:val="clear" w:color="auto" w:fill="auto"/>
            <w:vAlign w:val="center"/>
          </w:tcPr>
          <w:p w14:paraId="43111302">
            <w:pPr>
              <w:bidi w:val="0"/>
              <w:spacing w:line="240" w:lineRule="auto"/>
              <w:jc w:val="center"/>
              <w:rPr>
                <w:sz w:val="21"/>
                <w:szCs w:val="21"/>
                <w:lang w:val="en-US" w:eastAsia="en-US"/>
              </w:rPr>
            </w:pPr>
            <w:r>
              <w:rPr>
                <w:sz w:val="21"/>
                <w:szCs w:val="21"/>
              </w:rPr>
              <w:t>建设项目对照《产业结构调整指导目录（2024年本）》，属于鼓励类项目。不属于禁止的不符合国家产能置换要求的严重产能过剩和高耗能高排放项目</w:t>
            </w:r>
          </w:p>
        </w:tc>
        <w:tc>
          <w:tcPr>
            <w:tcW w:w="0" w:type="auto"/>
            <w:shd w:val="clear" w:color="auto" w:fill="auto"/>
            <w:vAlign w:val="center"/>
          </w:tcPr>
          <w:p w14:paraId="41B408A6">
            <w:pPr>
              <w:bidi w:val="0"/>
              <w:spacing w:line="240" w:lineRule="auto"/>
              <w:jc w:val="center"/>
              <w:rPr>
                <w:sz w:val="21"/>
                <w:szCs w:val="21"/>
                <w:lang w:val="en-US" w:eastAsia="zh-CN"/>
              </w:rPr>
            </w:pPr>
            <w:r>
              <w:rPr>
                <w:sz w:val="21"/>
                <w:szCs w:val="21"/>
              </w:rPr>
              <w:t>相符</w:t>
            </w:r>
          </w:p>
        </w:tc>
      </w:tr>
      <w:tr w14:paraId="43DC1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shd w:val="clear" w:color="auto" w:fill="auto"/>
            <w:vAlign w:val="center"/>
          </w:tcPr>
          <w:p w14:paraId="6E1E83A7">
            <w:pPr>
              <w:bidi w:val="0"/>
              <w:spacing w:line="240" w:lineRule="auto"/>
              <w:jc w:val="center"/>
              <w:rPr>
                <w:sz w:val="21"/>
                <w:szCs w:val="21"/>
                <w:lang w:val="en-US" w:eastAsia="en-US"/>
              </w:rPr>
            </w:pPr>
            <w:r>
              <w:rPr>
                <w:sz w:val="21"/>
                <w:szCs w:val="21"/>
              </w:rPr>
              <w:t>《关于加快解决当前挥发性有机物治理突出问题的通知》（环大气〔2021〕65号）</w:t>
            </w:r>
          </w:p>
        </w:tc>
        <w:tc>
          <w:tcPr>
            <w:tcW w:w="2302" w:type="pct"/>
            <w:gridSpan w:val="3"/>
            <w:shd w:val="clear" w:color="auto" w:fill="auto"/>
            <w:vAlign w:val="center"/>
          </w:tcPr>
          <w:p w14:paraId="2C64EE12">
            <w:pPr>
              <w:bidi w:val="0"/>
              <w:spacing w:line="240" w:lineRule="auto"/>
              <w:jc w:val="center"/>
              <w:rPr>
                <w:sz w:val="21"/>
                <w:szCs w:val="21"/>
                <w:lang w:val="en-US" w:eastAsia="en-US"/>
              </w:rPr>
            </w:pPr>
            <w:r>
              <w:rPr>
                <w:sz w:val="21"/>
                <w:szCs w:val="21"/>
              </w:rPr>
              <w:t>五、废气收集设施治理要求。产生VOCs的生产环节优先采用密闭设备、在密闭空间中操作或采用全密闭集气罩收集方式，并保持负压运行对采用局部收集方式的企业，距废气收集系统排风罩开口面最远处的VOCs无组织排放位置控制风速不低于0.3m/s废气收集系统的输送管道应密闭、无破损含VOCs物料输送原则上采用重力流或泵送方式；有机液体进料鼓励采用底部、浸入管给料方式；固体物料投加逐步推进采用密闭式投料装置使用VOCs质量占比大于等于10%的涂料、油墨、胶粘剂、稀释剂、清洗剂等物料存储、调配、转移、输送等环节应密闭。</w:t>
            </w:r>
          </w:p>
        </w:tc>
        <w:tc>
          <w:tcPr>
            <w:tcW w:w="0" w:type="auto"/>
            <w:shd w:val="clear" w:color="auto" w:fill="auto"/>
            <w:vAlign w:val="center"/>
          </w:tcPr>
          <w:p w14:paraId="7D821BF8">
            <w:pPr>
              <w:bidi w:val="0"/>
              <w:spacing w:line="240" w:lineRule="auto"/>
              <w:jc w:val="center"/>
              <w:rPr>
                <w:sz w:val="21"/>
                <w:szCs w:val="21"/>
                <w:lang w:val="en-US" w:eastAsia="en-US"/>
              </w:rPr>
            </w:pPr>
            <w:r>
              <w:rPr>
                <w:sz w:val="21"/>
                <w:szCs w:val="21"/>
              </w:rPr>
              <w:t>本</w:t>
            </w:r>
            <w:r>
              <w:rPr>
                <w:rFonts w:hint="eastAsia"/>
                <w:sz w:val="21"/>
                <w:szCs w:val="21"/>
                <w:lang w:val="en-US" w:eastAsia="zh-CN"/>
              </w:rPr>
              <w:t>次技改项目产生的</w:t>
            </w:r>
            <w:r>
              <w:rPr>
                <w:sz w:val="21"/>
                <w:szCs w:val="21"/>
              </w:rPr>
              <w:t>有机废气</w:t>
            </w:r>
            <w:r>
              <w:rPr>
                <w:rFonts w:hint="eastAsia"/>
                <w:sz w:val="21"/>
                <w:szCs w:val="21"/>
                <w:lang w:val="en-US" w:eastAsia="zh-CN"/>
              </w:rPr>
              <w:t>治理</w:t>
            </w:r>
            <w:r>
              <w:rPr>
                <w:sz w:val="21"/>
                <w:szCs w:val="21"/>
              </w:rPr>
              <w:t>措施采用</w:t>
            </w:r>
            <w:r>
              <w:rPr>
                <w:rFonts w:hint="eastAsia"/>
                <w:sz w:val="21"/>
                <w:szCs w:val="21"/>
                <w:lang w:eastAsia="zh-CN"/>
              </w:rPr>
              <w:t>“</w:t>
            </w:r>
            <w:r>
              <w:rPr>
                <w:sz w:val="21"/>
                <w:szCs w:val="21"/>
              </w:rPr>
              <w:t>自带燃烧装置+</w:t>
            </w:r>
            <w:r>
              <w:rPr>
                <w:rFonts w:hint="eastAsia"/>
                <w:sz w:val="21"/>
                <w:szCs w:val="21"/>
                <w:lang w:val="en-US" w:eastAsia="zh-CN"/>
              </w:rPr>
              <w:t>一</w:t>
            </w:r>
            <w:r>
              <w:rPr>
                <w:sz w:val="21"/>
                <w:szCs w:val="21"/>
              </w:rPr>
              <w:t>级活性炭</w:t>
            </w:r>
            <w:r>
              <w:rPr>
                <w:rFonts w:hint="eastAsia"/>
                <w:sz w:val="21"/>
                <w:szCs w:val="21"/>
                <w:lang w:val="en-US" w:eastAsia="zh-CN"/>
              </w:rPr>
              <w:t>吸附</w:t>
            </w:r>
            <w:r>
              <w:rPr>
                <w:sz w:val="21"/>
                <w:szCs w:val="21"/>
              </w:rPr>
              <w:t>装置</w:t>
            </w:r>
            <w:r>
              <w:rPr>
                <w:rFonts w:hint="eastAsia"/>
                <w:sz w:val="21"/>
                <w:szCs w:val="21"/>
                <w:lang w:eastAsia="zh-CN"/>
              </w:rPr>
              <w:t>”</w:t>
            </w:r>
            <w:r>
              <w:rPr>
                <w:sz w:val="21"/>
                <w:szCs w:val="21"/>
              </w:rPr>
              <w:t>；企业在生产中将强化运行维护管理，确保做到治理设施较生产设备</w:t>
            </w:r>
            <w:r>
              <w:rPr>
                <w:rFonts w:hint="eastAsia"/>
                <w:sz w:val="21"/>
                <w:szCs w:val="21"/>
                <w:lang w:eastAsia="zh-CN"/>
              </w:rPr>
              <w:t>“</w:t>
            </w:r>
            <w:r>
              <w:rPr>
                <w:sz w:val="21"/>
                <w:szCs w:val="21"/>
              </w:rPr>
              <w:t>先启后停</w:t>
            </w:r>
            <w:r>
              <w:rPr>
                <w:rFonts w:hint="eastAsia"/>
                <w:sz w:val="21"/>
                <w:szCs w:val="21"/>
                <w:lang w:eastAsia="zh-CN"/>
              </w:rPr>
              <w:t>”</w:t>
            </w:r>
            <w:r>
              <w:rPr>
                <w:sz w:val="21"/>
                <w:szCs w:val="21"/>
              </w:rPr>
              <w:t>，对于VOCs治理设施产生的固废及时清运，妥善处置。废气处理装置中活性炭碘值大于800mg/g</w:t>
            </w:r>
          </w:p>
        </w:tc>
        <w:tc>
          <w:tcPr>
            <w:tcW w:w="0" w:type="auto"/>
            <w:shd w:val="clear" w:color="auto" w:fill="auto"/>
            <w:vAlign w:val="center"/>
          </w:tcPr>
          <w:p w14:paraId="0130F309">
            <w:pPr>
              <w:bidi w:val="0"/>
              <w:spacing w:line="240" w:lineRule="auto"/>
              <w:jc w:val="center"/>
              <w:rPr>
                <w:sz w:val="21"/>
                <w:szCs w:val="21"/>
                <w:lang w:val="en-US" w:eastAsia="en-US"/>
              </w:rPr>
            </w:pPr>
            <w:r>
              <w:rPr>
                <w:sz w:val="21"/>
                <w:szCs w:val="21"/>
              </w:rPr>
              <w:t>相符</w:t>
            </w:r>
          </w:p>
        </w:tc>
      </w:tr>
      <w:tr w14:paraId="49DFB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restart"/>
            <w:shd w:val="clear" w:color="auto" w:fill="auto"/>
            <w:vAlign w:val="center"/>
          </w:tcPr>
          <w:p w14:paraId="27249CC7">
            <w:pPr>
              <w:bidi w:val="0"/>
              <w:spacing w:line="240" w:lineRule="auto"/>
              <w:jc w:val="center"/>
              <w:rPr>
                <w:sz w:val="21"/>
                <w:szCs w:val="21"/>
                <w:lang w:val="en-US" w:eastAsia="en-US"/>
              </w:rPr>
            </w:pPr>
            <w:r>
              <w:rPr>
                <w:rFonts w:hint="eastAsia"/>
                <w:sz w:val="21"/>
                <w:szCs w:val="21"/>
                <w:lang w:val="en-US" w:eastAsia="en-US"/>
              </w:rPr>
              <w:t>《安徽省空气质量持续改善行动方案的通知》（皖政〔2024〕36号）</w:t>
            </w:r>
          </w:p>
        </w:tc>
        <w:tc>
          <w:tcPr>
            <w:tcW w:w="301" w:type="pct"/>
            <w:shd w:val="clear" w:color="auto" w:fill="auto"/>
            <w:vAlign w:val="center"/>
          </w:tcPr>
          <w:p w14:paraId="31649D05">
            <w:pPr>
              <w:bidi w:val="0"/>
              <w:spacing w:line="240" w:lineRule="auto"/>
              <w:jc w:val="center"/>
              <w:rPr>
                <w:rFonts w:hint="default"/>
                <w:sz w:val="21"/>
                <w:szCs w:val="21"/>
                <w:lang w:val="en-US" w:eastAsia="en-US"/>
              </w:rPr>
            </w:pPr>
            <w:r>
              <w:rPr>
                <w:rFonts w:hint="default"/>
                <w:sz w:val="21"/>
                <w:szCs w:val="21"/>
                <w:lang w:val="en-US" w:eastAsia="zh-CN"/>
              </w:rPr>
              <w:t>目标任务</w:t>
            </w:r>
          </w:p>
        </w:tc>
        <w:tc>
          <w:tcPr>
            <w:tcW w:w="2000" w:type="pct"/>
            <w:gridSpan w:val="2"/>
            <w:shd w:val="clear" w:color="auto" w:fill="auto"/>
            <w:vAlign w:val="center"/>
          </w:tcPr>
          <w:p w14:paraId="28E3CA76">
            <w:pPr>
              <w:bidi w:val="0"/>
              <w:spacing w:line="240" w:lineRule="auto"/>
              <w:jc w:val="center"/>
              <w:rPr>
                <w:rFonts w:hint="default"/>
                <w:sz w:val="21"/>
                <w:szCs w:val="21"/>
                <w:lang w:val="en-US" w:eastAsia="en-US"/>
              </w:rPr>
            </w:pPr>
            <w:r>
              <w:rPr>
                <w:rFonts w:hint="default"/>
                <w:sz w:val="21"/>
                <w:szCs w:val="21"/>
                <w:lang w:val="en-US" w:eastAsia="zh-CN"/>
              </w:rPr>
              <w:t>到2025年，全省地级城市细颗粒物（PM2.5）平均浓度控制在35微克/立方米以下，重度及以上污染天数比率降至0.2%以下。其中，皖北六市在确保完成“十四五”期间约束性目标基础上，力争PM2.5控制在37.7微克/立方米以下。全省“十四五”期间氮氧化物、挥发性有机物（VOCs）重点工程排放总量比2020年分别减排8.3万吨、3.07万吨。</w:t>
            </w:r>
          </w:p>
        </w:tc>
        <w:tc>
          <w:tcPr>
            <w:tcW w:w="0" w:type="auto"/>
            <w:shd w:val="clear" w:color="auto" w:fill="auto"/>
            <w:vAlign w:val="center"/>
          </w:tcPr>
          <w:p w14:paraId="51434625">
            <w:pPr>
              <w:bidi w:val="0"/>
              <w:spacing w:line="240" w:lineRule="auto"/>
              <w:jc w:val="center"/>
              <w:rPr>
                <w:rFonts w:hint="default"/>
                <w:sz w:val="21"/>
                <w:szCs w:val="21"/>
                <w:lang w:val="en-US" w:eastAsia="zh-CN"/>
              </w:rPr>
            </w:pPr>
            <w:r>
              <w:rPr>
                <w:rFonts w:hint="eastAsia"/>
                <w:sz w:val="21"/>
                <w:szCs w:val="21"/>
                <w:lang w:val="en-US" w:eastAsia="zh-CN"/>
              </w:rPr>
              <w:t>根据合肥市生态环境局2026年5月14日发布的《2025年合肥市生态环境质量状况公报》，</w:t>
            </w:r>
            <w:r>
              <w:rPr>
                <w:rFonts w:hint="default"/>
                <w:sz w:val="21"/>
                <w:szCs w:val="21"/>
                <w:lang w:val="en-US" w:eastAsia="zh-CN"/>
              </w:rPr>
              <w:t>细颗粒物（PM2.5）平均浓度</w:t>
            </w:r>
            <w:r>
              <w:rPr>
                <w:rFonts w:hint="eastAsia"/>
                <w:sz w:val="21"/>
                <w:szCs w:val="21"/>
                <w:lang w:val="en-US" w:eastAsia="zh-CN"/>
              </w:rPr>
              <w:t>为32.7</w:t>
            </w:r>
            <w:r>
              <w:rPr>
                <w:rFonts w:hint="default"/>
                <w:sz w:val="21"/>
                <w:szCs w:val="21"/>
                <w:lang w:val="en-US" w:eastAsia="zh-CN"/>
              </w:rPr>
              <w:t>微克/立方米</w:t>
            </w:r>
            <w:r>
              <w:rPr>
                <w:rFonts w:hint="eastAsia"/>
                <w:sz w:val="21"/>
                <w:szCs w:val="21"/>
                <w:lang w:val="en-US" w:eastAsia="zh-CN"/>
              </w:rPr>
              <w:t>，在</w:t>
            </w:r>
            <w:r>
              <w:rPr>
                <w:rFonts w:hint="default"/>
                <w:sz w:val="21"/>
                <w:szCs w:val="21"/>
                <w:lang w:val="en-US" w:eastAsia="zh-CN"/>
              </w:rPr>
              <w:t>35微克/立方米以下</w:t>
            </w:r>
            <w:r>
              <w:rPr>
                <w:rFonts w:hint="eastAsia"/>
                <w:sz w:val="21"/>
                <w:szCs w:val="21"/>
                <w:lang w:val="en-US" w:eastAsia="zh-CN"/>
              </w:rPr>
              <w:t>，2025年合肥市环境空气质量能够满足国家环境空气质量二级标准</w:t>
            </w:r>
          </w:p>
        </w:tc>
        <w:tc>
          <w:tcPr>
            <w:tcW w:w="0" w:type="auto"/>
            <w:shd w:val="clear" w:color="auto" w:fill="auto"/>
            <w:vAlign w:val="center"/>
          </w:tcPr>
          <w:p w14:paraId="03178A2B">
            <w:pPr>
              <w:bidi w:val="0"/>
              <w:spacing w:line="240" w:lineRule="auto"/>
              <w:jc w:val="center"/>
              <w:rPr>
                <w:rFonts w:hint="eastAsia"/>
                <w:sz w:val="21"/>
                <w:szCs w:val="21"/>
                <w:lang w:val="en-US" w:eastAsia="zh-CN"/>
              </w:rPr>
            </w:pPr>
            <w:r>
              <w:rPr>
                <w:rFonts w:hint="eastAsia"/>
                <w:sz w:val="21"/>
                <w:szCs w:val="21"/>
                <w:lang w:val="en-US" w:eastAsia="zh-CN"/>
              </w:rPr>
              <w:t>符合</w:t>
            </w:r>
          </w:p>
        </w:tc>
      </w:tr>
      <w:tr w14:paraId="30CE5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1CDD32DF">
            <w:pPr>
              <w:bidi w:val="0"/>
              <w:spacing w:line="240" w:lineRule="auto"/>
              <w:jc w:val="center"/>
              <w:rPr>
                <w:sz w:val="21"/>
                <w:szCs w:val="21"/>
                <w:lang w:val="en-US" w:eastAsia="en-US"/>
              </w:rPr>
            </w:pPr>
          </w:p>
        </w:tc>
        <w:tc>
          <w:tcPr>
            <w:tcW w:w="301" w:type="pct"/>
            <w:shd w:val="clear" w:color="auto" w:fill="auto"/>
            <w:vAlign w:val="center"/>
          </w:tcPr>
          <w:p w14:paraId="7C0A5DBF">
            <w:pPr>
              <w:bidi w:val="0"/>
              <w:spacing w:line="240" w:lineRule="auto"/>
              <w:jc w:val="center"/>
              <w:rPr>
                <w:rFonts w:hint="default"/>
                <w:sz w:val="21"/>
                <w:szCs w:val="21"/>
                <w:lang w:val="en-US" w:eastAsia="en-US"/>
              </w:rPr>
            </w:pPr>
            <w:r>
              <w:rPr>
                <w:rFonts w:hint="default"/>
                <w:sz w:val="21"/>
                <w:szCs w:val="21"/>
              </w:rPr>
              <w:t>实施范围</w:t>
            </w:r>
          </w:p>
        </w:tc>
        <w:tc>
          <w:tcPr>
            <w:tcW w:w="2000" w:type="pct"/>
            <w:gridSpan w:val="2"/>
            <w:shd w:val="clear" w:color="auto" w:fill="auto"/>
            <w:vAlign w:val="center"/>
          </w:tcPr>
          <w:p w14:paraId="7E323047">
            <w:pPr>
              <w:bidi w:val="0"/>
              <w:spacing w:line="240" w:lineRule="auto"/>
              <w:jc w:val="center"/>
              <w:rPr>
                <w:rFonts w:hint="default"/>
                <w:sz w:val="21"/>
                <w:szCs w:val="21"/>
              </w:rPr>
            </w:pPr>
            <w:r>
              <w:rPr>
                <w:rFonts w:hint="default"/>
                <w:sz w:val="21"/>
                <w:szCs w:val="21"/>
              </w:rPr>
              <w:t>1．重点区域。合肥、淮北、亳州、宿州、蚌埠、阜阳、淮南、滁州、六安、马鞍山、芜湖市。</w:t>
            </w:r>
          </w:p>
          <w:p w14:paraId="564D82D4">
            <w:pPr>
              <w:bidi w:val="0"/>
              <w:spacing w:line="240" w:lineRule="auto"/>
              <w:jc w:val="center"/>
              <w:rPr>
                <w:rFonts w:hint="default"/>
                <w:sz w:val="21"/>
                <w:szCs w:val="21"/>
                <w:lang w:val="en-US" w:eastAsia="en-US"/>
              </w:rPr>
            </w:pPr>
            <w:r>
              <w:rPr>
                <w:rFonts w:hint="default"/>
                <w:sz w:val="21"/>
                <w:szCs w:val="21"/>
              </w:rPr>
              <w:t>2．非重点区域。宣城、铜陵、池州、安庆、黄山市。</w:t>
            </w:r>
          </w:p>
        </w:tc>
        <w:tc>
          <w:tcPr>
            <w:tcW w:w="0" w:type="auto"/>
            <w:shd w:val="clear" w:color="auto" w:fill="auto"/>
            <w:vAlign w:val="center"/>
          </w:tcPr>
          <w:p w14:paraId="7D339FFD">
            <w:pPr>
              <w:bidi w:val="0"/>
              <w:spacing w:line="240" w:lineRule="auto"/>
              <w:jc w:val="center"/>
              <w:rPr>
                <w:rFonts w:hint="default"/>
                <w:sz w:val="21"/>
                <w:szCs w:val="21"/>
                <w:lang w:val="en-US" w:eastAsia="zh-CN"/>
              </w:rPr>
            </w:pPr>
            <w:r>
              <w:rPr>
                <w:rFonts w:hint="eastAsia"/>
                <w:sz w:val="21"/>
                <w:szCs w:val="21"/>
                <w:lang w:val="en-US" w:eastAsia="zh-CN"/>
              </w:rPr>
              <w:t>本次技改项目</w:t>
            </w:r>
            <w:r>
              <w:rPr>
                <w:rFonts w:hint="default"/>
                <w:sz w:val="21"/>
                <w:szCs w:val="21"/>
                <w:lang w:val="en-US" w:eastAsia="zh-CN"/>
              </w:rPr>
              <w:t>属于重点区域</w:t>
            </w:r>
          </w:p>
        </w:tc>
        <w:tc>
          <w:tcPr>
            <w:tcW w:w="0" w:type="auto"/>
            <w:shd w:val="clear" w:color="auto" w:fill="auto"/>
            <w:vAlign w:val="center"/>
          </w:tcPr>
          <w:p w14:paraId="25E54868">
            <w:pPr>
              <w:bidi w:val="0"/>
              <w:spacing w:line="240" w:lineRule="auto"/>
              <w:jc w:val="center"/>
              <w:rPr>
                <w:rFonts w:hint="default"/>
                <w:sz w:val="21"/>
                <w:szCs w:val="21"/>
                <w:lang w:val="en-US" w:eastAsia="zh-CN"/>
              </w:rPr>
            </w:pPr>
            <w:r>
              <w:rPr>
                <w:rFonts w:hint="default"/>
                <w:sz w:val="21"/>
                <w:szCs w:val="21"/>
              </w:rPr>
              <w:t>符合</w:t>
            </w:r>
          </w:p>
        </w:tc>
      </w:tr>
      <w:tr w14:paraId="18395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2A859FC9">
            <w:pPr>
              <w:bidi w:val="0"/>
              <w:spacing w:line="240" w:lineRule="auto"/>
              <w:jc w:val="center"/>
              <w:rPr>
                <w:sz w:val="21"/>
                <w:szCs w:val="21"/>
                <w:lang w:val="en-US" w:eastAsia="en-US"/>
              </w:rPr>
            </w:pPr>
          </w:p>
        </w:tc>
        <w:tc>
          <w:tcPr>
            <w:tcW w:w="301" w:type="pct"/>
            <w:vMerge w:val="restart"/>
            <w:shd w:val="clear" w:color="auto" w:fill="auto"/>
            <w:vAlign w:val="center"/>
          </w:tcPr>
          <w:p w14:paraId="26438495">
            <w:pPr>
              <w:bidi w:val="0"/>
              <w:spacing w:line="240" w:lineRule="auto"/>
              <w:jc w:val="center"/>
              <w:rPr>
                <w:rFonts w:hint="default"/>
                <w:sz w:val="21"/>
                <w:szCs w:val="21"/>
                <w:lang w:val="en-US" w:eastAsia="en-US"/>
              </w:rPr>
            </w:pPr>
            <w:r>
              <w:rPr>
                <w:rFonts w:hint="eastAsia"/>
                <w:sz w:val="21"/>
                <w:szCs w:val="21"/>
                <w:lang w:val="en-US" w:eastAsia="zh-CN"/>
              </w:rPr>
              <w:t>优化调整产业结构布局</w:t>
            </w:r>
          </w:p>
        </w:tc>
        <w:tc>
          <w:tcPr>
            <w:tcW w:w="2000" w:type="pct"/>
            <w:gridSpan w:val="2"/>
            <w:shd w:val="clear" w:color="auto" w:fill="auto"/>
            <w:vAlign w:val="center"/>
          </w:tcPr>
          <w:p w14:paraId="4D4252D3">
            <w:pPr>
              <w:bidi w:val="0"/>
              <w:spacing w:line="240" w:lineRule="auto"/>
              <w:jc w:val="center"/>
              <w:rPr>
                <w:rFonts w:hint="default"/>
                <w:sz w:val="21"/>
                <w:szCs w:val="21"/>
                <w:lang w:val="en-US" w:eastAsia="en-US"/>
              </w:rPr>
            </w:pPr>
            <w:r>
              <w:rPr>
                <w:rFonts w:hint="eastAsia"/>
                <w:sz w:val="21"/>
                <w:szCs w:val="21"/>
                <w:lang w:val="en-US" w:eastAsia="zh-CN"/>
              </w:rPr>
              <w:t>坚决遏制高耗能、高排放、低水平项目盲目上马。新改扩建项目严格落实国家产业规划、产业政策、生态环境分区管控方案、规划环评、项目环评、节能审查、产能置换、重点污染物总量控制、污染物排放区域削减、碳排放达峰目标等相关要求，原则上采用清洁运输方式。实施“高污染、高耗能”项目部门联审，源头管控低水平项目上马。制定实施安徽省加强生态环境分区管控方案。严格落实产能置换要求，不以任何名义、任何方式核准、备案产能严重过剩行业新增产能项目，被置换产能及其配套设施关停后，新建项目方可投产。</w:t>
            </w:r>
          </w:p>
        </w:tc>
        <w:tc>
          <w:tcPr>
            <w:tcW w:w="1817" w:type="pct"/>
            <w:vMerge w:val="restart"/>
            <w:shd w:val="clear" w:color="auto" w:fill="auto"/>
            <w:vAlign w:val="center"/>
          </w:tcPr>
          <w:p w14:paraId="1A5A98EB">
            <w:pPr>
              <w:bidi w:val="0"/>
              <w:spacing w:line="240" w:lineRule="auto"/>
              <w:jc w:val="center"/>
              <w:rPr>
                <w:rFonts w:hint="eastAsia"/>
                <w:sz w:val="21"/>
                <w:szCs w:val="21"/>
                <w:lang w:val="en-US" w:eastAsia="zh-CN"/>
              </w:rPr>
            </w:pPr>
            <w:r>
              <w:rPr>
                <w:rFonts w:hint="eastAsia"/>
                <w:sz w:val="21"/>
                <w:szCs w:val="21"/>
                <w:lang w:val="en-US" w:eastAsia="zh-CN"/>
              </w:rPr>
              <w:t>①本次技改项目不属于高耗能、高排放、低水平项目；</w:t>
            </w:r>
          </w:p>
          <w:p w14:paraId="64CD360C">
            <w:pPr>
              <w:bidi w:val="0"/>
              <w:spacing w:line="240" w:lineRule="auto"/>
              <w:jc w:val="center"/>
              <w:rPr>
                <w:rFonts w:hint="eastAsia"/>
                <w:sz w:val="21"/>
                <w:szCs w:val="21"/>
                <w:lang w:val="en-US" w:eastAsia="zh-CN"/>
              </w:rPr>
            </w:pPr>
            <w:r>
              <w:rPr>
                <w:rFonts w:hint="eastAsia"/>
                <w:sz w:val="21"/>
                <w:szCs w:val="21"/>
                <w:lang w:val="en-US" w:eastAsia="zh-CN"/>
              </w:rPr>
              <w:t>②本次技改项目满足《合肥市国土空间总体规划（2021-2035）》、《合肥循环经济示范园总体发展规划》（2022-2035年）、《合肥循环经济示范园总体发展规划（2022-2035年）环境影响报告书》及其审查意见、《产业结构调整指导目录（2024年本）》等国家产业规划、产业政策；</w:t>
            </w:r>
          </w:p>
          <w:p w14:paraId="0119075E">
            <w:pPr>
              <w:bidi w:val="0"/>
              <w:spacing w:line="240" w:lineRule="auto"/>
              <w:jc w:val="center"/>
              <w:rPr>
                <w:rFonts w:hint="eastAsia"/>
                <w:sz w:val="21"/>
                <w:szCs w:val="21"/>
                <w:lang w:val="en-US" w:eastAsia="zh-CN"/>
              </w:rPr>
            </w:pPr>
            <w:r>
              <w:rPr>
                <w:rFonts w:hint="eastAsia"/>
                <w:sz w:val="21"/>
                <w:szCs w:val="21"/>
                <w:lang w:val="en-US" w:eastAsia="zh-CN"/>
              </w:rPr>
              <w:t>③本次技改项目采用清洁运输方式；④本次技改项目严格执行合肥市生态环境分区管控要求；</w:t>
            </w:r>
          </w:p>
          <w:p w14:paraId="62C259D7">
            <w:pPr>
              <w:bidi w:val="0"/>
              <w:spacing w:line="240" w:lineRule="auto"/>
              <w:jc w:val="center"/>
              <w:rPr>
                <w:rFonts w:hint="default"/>
                <w:sz w:val="21"/>
                <w:szCs w:val="21"/>
                <w:lang w:val="en-US" w:eastAsia="zh-CN"/>
              </w:rPr>
            </w:pPr>
            <w:r>
              <w:rPr>
                <w:rFonts w:hint="eastAsia"/>
                <w:sz w:val="21"/>
                <w:szCs w:val="21"/>
                <w:lang w:val="en-US" w:eastAsia="zh-CN"/>
              </w:rPr>
              <w:t>⑤本次技改项目不属于备案产能严重过剩项目</w:t>
            </w:r>
          </w:p>
        </w:tc>
        <w:tc>
          <w:tcPr>
            <w:tcW w:w="0" w:type="auto"/>
            <w:shd w:val="clear" w:color="auto" w:fill="auto"/>
            <w:vAlign w:val="center"/>
          </w:tcPr>
          <w:p w14:paraId="7A46583A">
            <w:pPr>
              <w:bidi w:val="0"/>
              <w:spacing w:line="240" w:lineRule="auto"/>
              <w:jc w:val="center"/>
              <w:rPr>
                <w:rFonts w:hint="default"/>
                <w:sz w:val="21"/>
                <w:szCs w:val="21"/>
                <w:lang w:val="en-US" w:eastAsia="zh-CN"/>
              </w:rPr>
            </w:pPr>
            <w:r>
              <w:rPr>
                <w:rFonts w:hint="eastAsia"/>
                <w:sz w:val="21"/>
                <w:szCs w:val="21"/>
                <w:lang w:val="en-US" w:eastAsia="zh-CN"/>
              </w:rPr>
              <w:t>符合</w:t>
            </w:r>
          </w:p>
        </w:tc>
      </w:tr>
      <w:tr w14:paraId="67AEE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4E62E6E6">
            <w:pPr>
              <w:bidi w:val="0"/>
              <w:spacing w:line="240" w:lineRule="auto"/>
              <w:jc w:val="center"/>
              <w:rPr>
                <w:sz w:val="21"/>
                <w:szCs w:val="21"/>
                <w:lang w:val="en-US" w:eastAsia="en-US"/>
              </w:rPr>
            </w:pPr>
          </w:p>
        </w:tc>
        <w:tc>
          <w:tcPr>
            <w:tcW w:w="301" w:type="pct"/>
            <w:vMerge w:val="continue"/>
            <w:shd w:val="clear" w:color="auto" w:fill="auto"/>
            <w:vAlign w:val="center"/>
          </w:tcPr>
          <w:p w14:paraId="34CCEA58">
            <w:pPr>
              <w:bidi w:val="0"/>
              <w:spacing w:line="240" w:lineRule="auto"/>
              <w:jc w:val="center"/>
              <w:rPr>
                <w:sz w:val="21"/>
                <w:szCs w:val="21"/>
                <w:lang w:val="en-US" w:eastAsia="en-US"/>
              </w:rPr>
            </w:pPr>
          </w:p>
        </w:tc>
        <w:tc>
          <w:tcPr>
            <w:tcW w:w="2000" w:type="pct"/>
            <w:gridSpan w:val="2"/>
            <w:shd w:val="clear" w:color="auto" w:fill="auto"/>
            <w:vAlign w:val="center"/>
          </w:tcPr>
          <w:p w14:paraId="25C10674">
            <w:pPr>
              <w:bidi w:val="0"/>
              <w:spacing w:line="240" w:lineRule="auto"/>
              <w:jc w:val="center"/>
              <w:rPr>
                <w:rFonts w:hint="default"/>
                <w:sz w:val="21"/>
                <w:szCs w:val="21"/>
                <w:lang w:val="en-US" w:eastAsia="en-US"/>
              </w:rPr>
            </w:pPr>
            <w:r>
              <w:rPr>
                <w:rFonts w:hint="eastAsia"/>
                <w:sz w:val="21"/>
                <w:szCs w:val="21"/>
                <w:lang w:val="en-US" w:eastAsia="zh-CN"/>
              </w:rPr>
              <w:t>推动新能源和节能环保等产业健康发展。深化新能源和节能环保产业“双招双引”，在低（无）VOCs含量原辅材料生产和使用、VOCs污染治理、超低排放、环境和大气成分监测等领域支持培育一批技术水平高、市场竞争力强的龙头企业。加快发展新能源汽车和智能网联汽车等战略性新兴产业。开展招标投标领域优化营商环境对标提升行动，系统治理环保领域低价低质中标乱象，营造公平竞争环境，推动产业健康有序发展。</w:t>
            </w:r>
          </w:p>
        </w:tc>
        <w:tc>
          <w:tcPr>
            <w:tcW w:w="1817" w:type="pct"/>
            <w:vMerge w:val="continue"/>
            <w:shd w:val="clear" w:color="auto" w:fill="auto"/>
            <w:vAlign w:val="center"/>
          </w:tcPr>
          <w:p w14:paraId="7360CB39">
            <w:pPr>
              <w:bidi w:val="0"/>
              <w:spacing w:line="240" w:lineRule="auto"/>
              <w:jc w:val="center"/>
              <w:rPr>
                <w:rFonts w:hint="default"/>
                <w:sz w:val="21"/>
                <w:szCs w:val="21"/>
                <w:lang w:val="en-US" w:eastAsia="zh-CN"/>
              </w:rPr>
            </w:pPr>
          </w:p>
        </w:tc>
        <w:tc>
          <w:tcPr>
            <w:tcW w:w="0" w:type="auto"/>
            <w:shd w:val="clear" w:color="auto" w:fill="auto"/>
            <w:vAlign w:val="center"/>
          </w:tcPr>
          <w:p w14:paraId="65B7F3FA">
            <w:pPr>
              <w:bidi w:val="0"/>
              <w:spacing w:line="240" w:lineRule="auto"/>
              <w:jc w:val="center"/>
              <w:rPr>
                <w:rFonts w:hint="default"/>
                <w:sz w:val="21"/>
                <w:szCs w:val="21"/>
                <w:lang w:val="en-US" w:eastAsia="zh-CN"/>
              </w:rPr>
            </w:pPr>
            <w:r>
              <w:rPr>
                <w:rFonts w:hint="eastAsia"/>
                <w:sz w:val="21"/>
                <w:szCs w:val="21"/>
                <w:lang w:val="en-US" w:eastAsia="zh-CN"/>
              </w:rPr>
              <w:t>符合</w:t>
            </w:r>
          </w:p>
        </w:tc>
      </w:tr>
      <w:tr w14:paraId="759D2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4B0B8B9B">
            <w:pPr>
              <w:bidi w:val="0"/>
              <w:spacing w:line="240" w:lineRule="auto"/>
              <w:jc w:val="center"/>
              <w:rPr>
                <w:sz w:val="21"/>
                <w:szCs w:val="21"/>
                <w:lang w:val="en-US" w:eastAsia="en-US"/>
              </w:rPr>
            </w:pPr>
          </w:p>
        </w:tc>
        <w:tc>
          <w:tcPr>
            <w:tcW w:w="301" w:type="pct"/>
            <w:shd w:val="clear" w:color="auto" w:fill="auto"/>
            <w:vAlign w:val="center"/>
          </w:tcPr>
          <w:p w14:paraId="2E434B8C">
            <w:pPr>
              <w:bidi w:val="0"/>
              <w:spacing w:line="240" w:lineRule="auto"/>
              <w:jc w:val="center"/>
              <w:rPr>
                <w:rFonts w:hint="default"/>
                <w:sz w:val="21"/>
                <w:szCs w:val="21"/>
                <w:lang w:val="en-US" w:eastAsia="en-US"/>
              </w:rPr>
            </w:pPr>
            <w:r>
              <w:rPr>
                <w:rFonts w:hint="eastAsia"/>
                <w:sz w:val="21"/>
                <w:szCs w:val="21"/>
                <w:lang w:val="en-US" w:eastAsia="zh-CN"/>
              </w:rPr>
              <w:t>推动重点行业领域污染物减排</w:t>
            </w:r>
          </w:p>
        </w:tc>
        <w:tc>
          <w:tcPr>
            <w:tcW w:w="2000" w:type="pct"/>
            <w:gridSpan w:val="2"/>
            <w:shd w:val="clear" w:color="auto" w:fill="auto"/>
            <w:vAlign w:val="center"/>
          </w:tcPr>
          <w:p w14:paraId="1794159F">
            <w:pPr>
              <w:bidi w:val="0"/>
              <w:spacing w:line="240" w:lineRule="auto"/>
              <w:jc w:val="center"/>
              <w:rPr>
                <w:rFonts w:hint="default"/>
                <w:sz w:val="21"/>
                <w:szCs w:val="21"/>
                <w:lang w:val="en-US" w:eastAsia="en-US"/>
              </w:rPr>
            </w:pPr>
            <w:r>
              <w:rPr>
                <w:rFonts w:hint="eastAsia"/>
                <w:sz w:val="21"/>
                <w:szCs w:val="21"/>
                <w:lang w:val="en-US" w:eastAsia="zh-CN"/>
              </w:rPr>
              <w:t>加快低（无）VOCs原辅材料替代。严格控制生产和使用高VOCs含量涂料、油墨、胶粘剂、清洗剂等建设项目。推动现有高VOCs含量产品生产企业加快产品升级转型，提高低（无）VOCs含量产品比重。加大工业涂装行业、包装印刷行业及电子行业低（无）VOCs含量原辅材料替代力度。室外构筑物防护和城市道路交通标志推广使用低（无）VOCs含量涂料。严格执行VOCs含量限值标准，确保生产、销售、进口、使用符合标准的产品。</w:t>
            </w:r>
          </w:p>
        </w:tc>
        <w:tc>
          <w:tcPr>
            <w:tcW w:w="0" w:type="auto"/>
            <w:shd w:val="clear" w:color="auto" w:fill="auto"/>
            <w:vAlign w:val="center"/>
          </w:tcPr>
          <w:p w14:paraId="4DFCA643">
            <w:pPr>
              <w:bidi w:val="0"/>
              <w:spacing w:line="240" w:lineRule="auto"/>
              <w:jc w:val="center"/>
              <w:rPr>
                <w:sz w:val="21"/>
                <w:szCs w:val="21"/>
              </w:rPr>
            </w:pPr>
            <w:r>
              <w:rPr>
                <w:sz w:val="21"/>
                <w:szCs w:val="21"/>
              </w:rPr>
              <w:t>本项目属于[C3825]光伏设备及元器件制造行业，其中丝网印刷采用光伏</w:t>
            </w:r>
            <w:r>
              <w:rPr>
                <w:rFonts w:hint="eastAsia"/>
                <w:sz w:val="21"/>
                <w:szCs w:val="21"/>
                <w:lang w:val="en-US" w:eastAsia="zh-CN"/>
              </w:rPr>
              <w:t>银</w:t>
            </w:r>
            <w:r>
              <w:rPr>
                <w:sz w:val="21"/>
                <w:szCs w:val="21"/>
              </w:rPr>
              <w:t>浆，</w:t>
            </w:r>
            <w:r>
              <w:rPr>
                <w:rFonts w:hint="eastAsia"/>
                <w:sz w:val="21"/>
                <w:szCs w:val="21"/>
                <w:lang w:val="en-US" w:eastAsia="zh-CN"/>
              </w:rPr>
              <w:t>AC印刷采用银包铜浆料，均</w:t>
            </w:r>
            <w:r>
              <w:rPr>
                <w:sz w:val="21"/>
                <w:szCs w:val="21"/>
              </w:rPr>
              <w:t>为导电浆料。对比传统油墨，其有以下几点区别：</w:t>
            </w:r>
          </w:p>
          <w:p w14:paraId="143EBCFD">
            <w:pPr>
              <w:bidi w:val="0"/>
              <w:spacing w:line="240" w:lineRule="auto"/>
              <w:jc w:val="center"/>
              <w:rPr>
                <w:sz w:val="21"/>
                <w:szCs w:val="21"/>
              </w:rPr>
            </w:pPr>
            <w:r>
              <w:rPr>
                <w:sz w:val="21"/>
                <w:szCs w:val="21"/>
              </w:rPr>
              <w:t>（1）定义不同：根据《油墨中可挥发性有机化合物（VOCs）含量的限值》（GB38507-2020）文件中油墨定义：</w:t>
            </w:r>
            <w:r>
              <w:rPr>
                <w:rFonts w:hint="eastAsia"/>
                <w:sz w:val="21"/>
                <w:szCs w:val="21"/>
                <w:lang w:eastAsia="zh-CN"/>
              </w:rPr>
              <w:t>“</w:t>
            </w:r>
            <w:r>
              <w:rPr>
                <w:sz w:val="21"/>
                <w:szCs w:val="21"/>
              </w:rPr>
              <w:t>由着色剂、连结料、辅助剂等成分组成的分散体系，在印刷过程中被转移到承印物上的着色的物质</w:t>
            </w:r>
            <w:r>
              <w:rPr>
                <w:rFonts w:hint="eastAsia"/>
                <w:sz w:val="21"/>
                <w:szCs w:val="21"/>
                <w:lang w:eastAsia="zh-CN"/>
              </w:rPr>
              <w:t>”</w:t>
            </w:r>
            <w:r>
              <w:rPr>
                <w:sz w:val="21"/>
                <w:szCs w:val="21"/>
              </w:rPr>
              <w:t>，本项目</w:t>
            </w:r>
            <w:r>
              <w:rPr>
                <w:rFonts w:hint="eastAsia"/>
                <w:sz w:val="21"/>
                <w:szCs w:val="21"/>
                <w:lang w:val="en-US" w:eastAsia="zh-CN"/>
              </w:rPr>
              <w:t>采用的浆料</w:t>
            </w:r>
            <w:r>
              <w:rPr>
                <w:sz w:val="21"/>
                <w:szCs w:val="21"/>
              </w:rPr>
              <w:t>是一种功能性电子材料（导电浆料），其核心功能是形成高效的导电电极，而不是呈现图文色彩。（2）成分不同：传统油墨的主要成分是颜料、树脂和有机溶剂。而本项目</w:t>
            </w:r>
            <w:r>
              <w:rPr>
                <w:rFonts w:hint="eastAsia"/>
                <w:sz w:val="21"/>
                <w:szCs w:val="21"/>
                <w:lang w:val="en-US" w:eastAsia="zh-CN"/>
              </w:rPr>
              <w:t>采用的浆料</w:t>
            </w:r>
            <w:r>
              <w:rPr>
                <w:sz w:val="21"/>
                <w:szCs w:val="21"/>
              </w:rPr>
              <w:t>的主要成分是超细铜粉、</w:t>
            </w:r>
            <w:r>
              <w:rPr>
                <w:rFonts w:hint="eastAsia"/>
                <w:sz w:val="21"/>
                <w:szCs w:val="21"/>
                <w:lang w:val="en-US" w:eastAsia="zh-CN"/>
              </w:rPr>
              <w:t>银粉、</w:t>
            </w:r>
            <w:r>
              <w:rPr>
                <w:sz w:val="21"/>
                <w:szCs w:val="21"/>
              </w:rPr>
              <w:t>有机载体（树脂和溶剂）和添加剂。其有机载体部分虽然含有溶剂，但配方和目的（流变性、印刷性、烧结性）与印刷油墨截然不同。（3）工艺不同：</w:t>
            </w:r>
          </w:p>
          <w:p w14:paraId="581B516D">
            <w:pPr>
              <w:bidi w:val="0"/>
              <w:spacing w:line="240" w:lineRule="auto"/>
              <w:jc w:val="center"/>
              <w:rPr>
                <w:sz w:val="21"/>
                <w:szCs w:val="21"/>
              </w:rPr>
            </w:pPr>
            <w:r>
              <w:rPr>
                <w:rFonts w:hint="eastAsia"/>
                <w:sz w:val="21"/>
                <w:szCs w:val="21"/>
                <w:lang w:val="en-US" w:eastAsia="zh-CN"/>
              </w:rPr>
              <w:t>本项目</w:t>
            </w:r>
            <w:r>
              <w:rPr>
                <w:sz w:val="21"/>
                <w:szCs w:val="21"/>
              </w:rPr>
              <w:t>需要通过高温烧结（&gt;500℃</w:t>
            </w:r>
            <w:r>
              <w:rPr>
                <w:rFonts w:hint="eastAsia"/>
                <w:sz w:val="21"/>
                <w:szCs w:val="21"/>
                <w:lang w:eastAsia="zh-CN"/>
              </w:rPr>
              <w:t>）</w:t>
            </w:r>
            <w:r>
              <w:rPr>
                <w:sz w:val="21"/>
                <w:szCs w:val="21"/>
              </w:rPr>
              <w:t>来去除有机载体，并使</w:t>
            </w:r>
            <w:r>
              <w:rPr>
                <w:rFonts w:hint="eastAsia"/>
                <w:sz w:val="21"/>
                <w:szCs w:val="21"/>
                <w:lang w:val="en-US" w:eastAsia="zh-CN"/>
              </w:rPr>
              <w:t>浆料</w:t>
            </w:r>
            <w:r>
              <w:rPr>
                <w:sz w:val="21"/>
                <w:szCs w:val="21"/>
              </w:rPr>
              <w:t>熔融形成致密的导电膜，同时实现与硅片的欧姆接触。这个过程中有机物基本会完全燃烧分解。而传统油墨是依靠溶剂挥发或紫外光固化等方式在承印物表面成膜。综上所述，本项目所使用的光伏铜浆不属于油墨</w:t>
            </w:r>
          </w:p>
        </w:tc>
        <w:tc>
          <w:tcPr>
            <w:tcW w:w="0" w:type="auto"/>
            <w:shd w:val="clear" w:color="auto" w:fill="auto"/>
            <w:vAlign w:val="center"/>
          </w:tcPr>
          <w:p w14:paraId="6FDE7522">
            <w:pPr>
              <w:bidi w:val="0"/>
              <w:spacing w:line="240" w:lineRule="auto"/>
              <w:jc w:val="center"/>
              <w:rPr>
                <w:sz w:val="21"/>
                <w:szCs w:val="21"/>
              </w:rPr>
            </w:pPr>
            <w:r>
              <w:rPr>
                <w:rFonts w:hint="eastAsia"/>
                <w:sz w:val="21"/>
                <w:szCs w:val="21"/>
                <w:lang w:val="en-US" w:eastAsia="zh-CN"/>
              </w:rPr>
              <w:t>符合</w:t>
            </w:r>
          </w:p>
        </w:tc>
      </w:tr>
      <w:tr w14:paraId="5D151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shd w:val="clear" w:color="auto" w:fill="auto"/>
            <w:vAlign w:val="center"/>
          </w:tcPr>
          <w:p w14:paraId="1D4EB437">
            <w:pPr>
              <w:bidi w:val="0"/>
              <w:spacing w:line="240" w:lineRule="auto"/>
              <w:jc w:val="center"/>
              <w:rPr>
                <w:sz w:val="21"/>
                <w:szCs w:val="21"/>
                <w:lang w:val="en-US" w:eastAsia="en-US"/>
              </w:rPr>
            </w:pPr>
          </w:p>
        </w:tc>
        <w:tc>
          <w:tcPr>
            <w:tcW w:w="301" w:type="pct"/>
            <w:shd w:val="clear" w:color="auto" w:fill="auto"/>
            <w:vAlign w:val="center"/>
          </w:tcPr>
          <w:p w14:paraId="40704A30">
            <w:pPr>
              <w:bidi w:val="0"/>
              <w:spacing w:line="240" w:lineRule="auto"/>
              <w:jc w:val="center"/>
              <w:rPr>
                <w:rFonts w:hint="default"/>
                <w:sz w:val="21"/>
                <w:szCs w:val="21"/>
                <w:lang w:val="en-US" w:eastAsia="en-US"/>
              </w:rPr>
            </w:pPr>
            <w:r>
              <w:rPr>
                <w:rFonts w:hint="default"/>
                <w:sz w:val="21"/>
                <w:szCs w:val="21"/>
              </w:rPr>
              <w:t>加快能源结构绿色低碳转型</w:t>
            </w:r>
          </w:p>
        </w:tc>
        <w:tc>
          <w:tcPr>
            <w:tcW w:w="2000" w:type="pct"/>
            <w:gridSpan w:val="2"/>
            <w:shd w:val="clear" w:color="auto" w:fill="auto"/>
            <w:vAlign w:val="center"/>
          </w:tcPr>
          <w:p w14:paraId="39882CC7">
            <w:pPr>
              <w:bidi w:val="0"/>
              <w:spacing w:line="240" w:lineRule="auto"/>
              <w:jc w:val="center"/>
              <w:rPr>
                <w:rFonts w:hint="default"/>
                <w:sz w:val="21"/>
                <w:szCs w:val="21"/>
                <w:lang w:val="en-US" w:eastAsia="en-US"/>
              </w:rPr>
            </w:pPr>
            <w:r>
              <w:rPr>
                <w:rFonts w:hint="default"/>
                <w:sz w:val="21"/>
                <w:szCs w:val="21"/>
              </w:rPr>
              <w:t>加快推广使用清洁能源。深入实施风电光伏发电装机倍增工程，提高电能占终端能源消费比重。到2025年，非化石能源消费比重达到15.5%以上，电能占终端能源消费比重达到30%左右。加快推进天然气入皖管道建设，提升城镇燃气管网覆盖率，增强天然气供应能力，新增天然气优先保障居民生活和清洁取暖需求。</w:t>
            </w:r>
          </w:p>
        </w:tc>
        <w:tc>
          <w:tcPr>
            <w:tcW w:w="0" w:type="auto"/>
            <w:shd w:val="clear" w:color="auto" w:fill="auto"/>
            <w:vAlign w:val="center"/>
          </w:tcPr>
          <w:p w14:paraId="77256864">
            <w:pPr>
              <w:bidi w:val="0"/>
              <w:spacing w:line="240" w:lineRule="auto"/>
              <w:jc w:val="center"/>
              <w:rPr>
                <w:rFonts w:hint="default"/>
                <w:sz w:val="21"/>
                <w:szCs w:val="21"/>
                <w:lang w:val="en-US" w:eastAsia="zh-CN"/>
              </w:rPr>
            </w:pPr>
            <w:r>
              <w:rPr>
                <w:rFonts w:hint="eastAsia"/>
                <w:sz w:val="21"/>
                <w:szCs w:val="21"/>
                <w:lang w:val="en-US" w:eastAsia="zh-CN"/>
              </w:rPr>
              <w:t>本次技改项目</w:t>
            </w:r>
            <w:r>
              <w:rPr>
                <w:rFonts w:hint="default"/>
                <w:sz w:val="21"/>
                <w:szCs w:val="21"/>
                <w:lang w:val="en-US" w:eastAsia="zh-CN"/>
              </w:rPr>
              <w:t>使用电能</w:t>
            </w:r>
            <w:r>
              <w:rPr>
                <w:rFonts w:hint="eastAsia"/>
                <w:sz w:val="21"/>
                <w:szCs w:val="21"/>
                <w:lang w:val="en-US" w:eastAsia="zh-CN"/>
              </w:rPr>
              <w:t>、天然气和水</w:t>
            </w:r>
            <w:r>
              <w:rPr>
                <w:rFonts w:hint="default"/>
                <w:sz w:val="21"/>
                <w:szCs w:val="21"/>
                <w:lang w:val="en-US" w:eastAsia="zh-CN"/>
              </w:rPr>
              <w:t>，不涉及高污染燃料的使用</w:t>
            </w:r>
          </w:p>
        </w:tc>
        <w:tc>
          <w:tcPr>
            <w:tcW w:w="0" w:type="auto"/>
            <w:shd w:val="clear" w:color="auto" w:fill="auto"/>
            <w:vAlign w:val="center"/>
          </w:tcPr>
          <w:p w14:paraId="21F5E387">
            <w:pPr>
              <w:bidi w:val="0"/>
              <w:spacing w:line="240" w:lineRule="auto"/>
              <w:jc w:val="center"/>
              <w:rPr>
                <w:rFonts w:hint="default"/>
                <w:sz w:val="21"/>
                <w:szCs w:val="21"/>
                <w:lang w:val="en-US" w:eastAsia="zh-CN"/>
              </w:rPr>
            </w:pPr>
            <w:r>
              <w:rPr>
                <w:rFonts w:hint="default"/>
                <w:sz w:val="21"/>
                <w:szCs w:val="21"/>
              </w:rPr>
              <w:t>符合</w:t>
            </w:r>
          </w:p>
        </w:tc>
      </w:tr>
      <w:tr w14:paraId="6FBC1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shd w:val="clear" w:color="auto" w:fill="auto"/>
            <w:vAlign w:val="center"/>
          </w:tcPr>
          <w:p w14:paraId="0C4F6C5F">
            <w:pPr>
              <w:bidi w:val="0"/>
              <w:spacing w:line="240" w:lineRule="auto"/>
              <w:jc w:val="center"/>
              <w:rPr>
                <w:sz w:val="21"/>
                <w:szCs w:val="21"/>
                <w:lang w:val="en-US" w:eastAsia="en-US"/>
              </w:rPr>
            </w:pPr>
            <w:r>
              <w:rPr>
                <w:rFonts w:hint="eastAsia"/>
                <w:sz w:val="21"/>
                <w:szCs w:val="21"/>
                <w:lang w:val="en-US" w:eastAsia="en-US"/>
              </w:rPr>
              <w:t>关于印发安徽省低挥发性有机物含量原辅材料替代工作方案的通知》（皖环发〔2024〕1号）</w:t>
            </w:r>
          </w:p>
        </w:tc>
        <w:tc>
          <w:tcPr>
            <w:tcW w:w="2302" w:type="pct"/>
            <w:gridSpan w:val="3"/>
            <w:shd w:val="clear" w:color="auto" w:fill="auto"/>
            <w:vAlign w:val="center"/>
          </w:tcPr>
          <w:p w14:paraId="08EBD199">
            <w:pPr>
              <w:bidi w:val="0"/>
              <w:spacing w:line="240" w:lineRule="auto"/>
              <w:jc w:val="center"/>
              <w:rPr>
                <w:sz w:val="21"/>
                <w:szCs w:val="21"/>
              </w:rPr>
            </w:pPr>
            <w:r>
              <w:rPr>
                <w:sz w:val="21"/>
                <w:szCs w:val="21"/>
              </w:rPr>
              <w:t>（一）加强替代管理。工业涂装、包装印刷、竹木加工、家具制造、汽车修理与维护、鞋和皮革制品制造等重点行业企业，要按照《低挥发性有机物含量原辅材料源头替代技术指引（试行）》（附件 3）要</w:t>
            </w:r>
          </w:p>
          <w:p w14:paraId="6621BDA2">
            <w:pPr>
              <w:bidi w:val="0"/>
              <w:spacing w:line="240" w:lineRule="auto"/>
              <w:jc w:val="center"/>
              <w:rPr>
                <w:sz w:val="21"/>
                <w:szCs w:val="21"/>
              </w:rPr>
            </w:pPr>
            <w:r>
              <w:rPr>
                <w:sz w:val="21"/>
                <w:szCs w:val="21"/>
              </w:rPr>
              <w:t>求，开展低 VOCs 原辅材料和生产方式替代：优化管控台账及档案管理，持续提升环境管理水平。</w:t>
            </w:r>
          </w:p>
          <w:p w14:paraId="73467E65">
            <w:pPr>
              <w:bidi w:val="0"/>
              <w:spacing w:line="240" w:lineRule="auto"/>
              <w:jc w:val="center"/>
              <w:rPr>
                <w:sz w:val="21"/>
                <w:szCs w:val="21"/>
              </w:rPr>
            </w:pPr>
            <w:r>
              <w:rPr>
                <w:sz w:val="21"/>
                <w:szCs w:val="21"/>
              </w:rPr>
              <w:t>（二）严格项目准入。根据《低挥发性有机化合物含量涂料产品技术要求》（ GB/T 38597-2020）要求，进一步完善 VOCs 排放管控地方标准建设，细化相关行业涂料种类及各项污染物指标限值，编制实施固定源挥发性有机物综合排放标准和制鞋、汽修木材等行业大气污染物排放标准。禁止建设生产和使用高 VOCs 含量的溶剂型涂料、油</w:t>
            </w:r>
          </w:p>
          <w:p w14:paraId="1D39D1C2">
            <w:pPr>
              <w:bidi w:val="0"/>
              <w:spacing w:line="240" w:lineRule="auto"/>
              <w:jc w:val="center"/>
              <w:rPr>
                <w:sz w:val="21"/>
                <w:szCs w:val="21"/>
              </w:rPr>
            </w:pPr>
            <w:r>
              <w:rPr>
                <w:sz w:val="21"/>
                <w:szCs w:val="21"/>
              </w:rPr>
              <w:t>墨、胶黏剂等项目，全省工业涂装、包装印刷等重点行业和涂料、油墨等生产企业的新（改、扩）建项目需满足低（无）VOCs 含量限值要求。省内市场上流通的水性涂料等低 VOCs 含量涂料产品，执行</w:t>
            </w:r>
          </w:p>
          <w:p w14:paraId="3FDA36AA">
            <w:pPr>
              <w:bidi w:val="0"/>
              <w:spacing w:line="240" w:lineRule="auto"/>
              <w:jc w:val="center"/>
              <w:rPr>
                <w:sz w:val="21"/>
                <w:szCs w:val="21"/>
              </w:rPr>
            </w:pPr>
            <w:r>
              <w:rPr>
                <w:sz w:val="21"/>
                <w:szCs w:val="21"/>
              </w:rPr>
              <w:t>《低挥发性有机化合物含量涂料产品技术要求》，应在包装标志或产品说明上标明符合标准的分类、产品类别及产品类型（或施涂方</w:t>
            </w:r>
          </w:p>
          <w:p w14:paraId="15F28728">
            <w:pPr>
              <w:bidi w:val="0"/>
              <w:spacing w:line="240" w:lineRule="auto"/>
              <w:jc w:val="center"/>
              <w:rPr>
                <w:sz w:val="21"/>
                <w:szCs w:val="21"/>
                <w:lang w:val="en-US" w:eastAsia="zh-CN"/>
              </w:rPr>
            </w:pPr>
            <w:r>
              <w:rPr>
                <w:sz w:val="21"/>
                <w:szCs w:val="21"/>
              </w:rPr>
              <w:t>式）。</w:t>
            </w:r>
          </w:p>
        </w:tc>
        <w:tc>
          <w:tcPr>
            <w:tcW w:w="0" w:type="auto"/>
            <w:shd w:val="clear" w:color="auto" w:fill="auto"/>
            <w:vAlign w:val="center"/>
          </w:tcPr>
          <w:p w14:paraId="72476FFD">
            <w:pPr>
              <w:bidi w:val="0"/>
              <w:spacing w:line="240" w:lineRule="auto"/>
              <w:jc w:val="center"/>
              <w:rPr>
                <w:sz w:val="21"/>
                <w:szCs w:val="21"/>
              </w:rPr>
            </w:pPr>
            <w:r>
              <w:rPr>
                <w:sz w:val="21"/>
                <w:szCs w:val="21"/>
              </w:rPr>
              <w:t>本项目属于[C3825]光伏设备及元器件制造行业，其中丝网印刷采用光伏</w:t>
            </w:r>
            <w:r>
              <w:rPr>
                <w:rFonts w:hint="eastAsia"/>
                <w:sz w:val="21"/>
                <w:szCs w:val="21"/>
                <w:lang w:val="en-US" w:eastAsia="zh-CN"/>
              </w:rPr>
              <w:t>银</w:t>
            </w:r>
            <w:r>
              <w:rPr>
                <w:sz w:val="21"/>
                <w:szCs w:val="21"/>
              </w:rPr>
              <w:t>浆，</w:t>
            </w:r>
            <w:r>
              <w:rPr>
                <w:rFonts w:hint="eastAsia"/>
                <w:sz w:val="21"/>
                <w:szCs w:val="21"/>
                <w:lang w:val="en-US" w:eastAsia="zh-CN"/>
              </w:rPr>
              <w:t>AC印刷采用银包铜浆料，均</w:t>
            </w:r>
            <w:r>
              <w:rPr>
                <w:sz w:val="21"/>
                <w:szCs w:val="21"/>
              </w:rPr>
              <w:t>为导电浆料。对比传统油墨，其有以下几点区别：</w:t>
            </w:r>
          </w:p>
          <w:p w14:paraId="441EBBB5">
            <w:pPr>
              <w:bidi w:val="0"/>
              <w:spacing w:line="240" w:lineRule="auto"/>
              <w:jc w:val="center"/>
              <w:rPr>
                <w:sz w:val="21"/>
                <w:szCs w:val="21"/>
              </w:rPr>
            </w:pPr>
            <w:r>
              <w:rPr>
                <w:sz w:val="21"/>
                <w:szCs w:val="21"/>
              </w:rPr>
              <w:t>（1）定义不同：根据《油墨中可挥发性有机化合物（VOCs）含量的限值》（GB38507-2020）文件中油墨定义：</w:t>
            </w:r>
            <w:r>
              <w:rPr>
                <w:rFonts w:hint="eastAsia"/>
                <w:sz w:val="21"/>
                <w:szCs w:val="21"/>
                <w:lang w:eastAsia="zh-CN"/>
              </w:rPr>
              <w:t>“</w:t>
            </w:r>
            <w:r>
              <w:rPr>
                <w:sz w:val="21"/>
                <w:szCs w:val="21"/>
              </w:rPr>
              <w:t>由着色剂、连结料、辅助剂等成分组成的分散体系，在印刷过程中被转移到承印物上的着色的物质</w:t>
            </w:r>
            <w:r>
              <w:rPr>
                <w:rFonts w:hint="eastAsia"/>
                <w:sz w:val="21"/>
                <w:szCs w:val="21"/>
                <w:lang w:eastAsia="zh-CN"/>
              </w:rPr>
              <w:t>”</w:t>
            </w:r>
            <w:r>
              <w:rPr>
                <w:sz w:val="21"/>
                <w:szCs w:val="21"/>
              </w:rPr>
              <w:t>，本项目</w:t>
            </w:r>
            <w:r>
              <w:rPr>
                <w:rFonts w:hint="eastAsia"/>
                <w:sz w:val="21"/>
                <w:szCs w:val="21"/>
                <w:lang w:val="en-US" w:eastAsia="zh-CN"/>
              </w:rPr>
              <w:t>采用的浆料</w:t>
            </w:r>
            <w:r>
              <w:rPr>
                <w:sz w:val="21"/>
                <w:szCs w:val="21"/>
              </w:rPr>
              <w:t>是一种功能性电子材料（导电浆料），其核心功能是形成高效的导电电极，而不是呈现图文色彩。（2）成分不同：传统油墨的主要成分是颜料、树脂和有机溶剂。而本项目</w:t>
            </w:r>
            <w:r>
              <w:rPr>
                <w:rFonts w:hint="eastAsia"/>
                <w:sz w:val="21"/>
                <w:szCs w:val="21"/>
                <w:lang w:val="en-US" w:eastAsia="zh-CN"/>
              </w:rPr>
              <w:t>采用的浆料</w:t>
            </w:r>
            <w:r>
              <w:rPr>
                <w:sz w:val="21"/>
                <w:szCs w:val="21"/>
              </w:rPr>
              <w:t>的主要成分是超细铜粉、</w:t>
            </w:r>
            <w:r>
              <w:rPr>
                <w:rFonts w:hint="eastAsia"/>
                <w:sz w:val="21"/>
                <w:szCs w:val="21"/>
                <w:lang w:val="en-US" w:eastAsia="zh-CN"/>
              </w:rPr>
              <w:t>银粉、</w:t>
            </w:r>
            <w:r>
              <w:rPr>
                <w:sz w:val="21"/>
                <w:szCs w:val="21"/>
              </w:rPr>
              <w:t>有机载体（树脂和溶剂）和添加剂。其有机载体部分虽然含有溶剂，但配方和目的（流变性、印刷性、烧结性）与印刷油墨截然不同。（3）工艺不同：</w:t>
            </w:r>
          </w:p>
          <w:p w14:paraId="5B43DB5D">
            <w:pPr>
              <w:bidi w:val="0"/>
              <w:spacing w:line="240" w:lineRule="auto"/>
              <w:jc w:val="center"/>
              <w:rPr>
                <w:sz w:val="21"/>
                <w:szCs w:val="21"/>
              </w:rPr>
            </w:pPr>
            <w:r>
              <w:rPr>
                <w:rFonts w:hint="eastAsia"/>
                <w:sz w:val="21"/>
                <w:szCs w:val="21"/>
                <w:lang w:val="en-US" w:eastAsia="zh-CN"/>
              </w:rPr>
              <w:t>本项目</w:t>
            </w:r>
            <w:r>
              <w:rPr>
                <w:sz w:val="21"/>
                <w:szCs w:val="21"/>
              </w:rPr>
              <w:t>需要通过高温烧结（&gt;500℃</w:t>
            </w:r>
            <w:r>
              <w:rPr>
                <w:rFonts w:hint="eastAsia"/>
                <w:sz w:val="21"/>
                <w:szCs w:val="21"/>
                <w:lang w:eastAsia="zh-CN"/>
              </w:rPr>
              <w:t>）</w:t>
            </w:r>
            <w:r>
              <w:rPr>
                <w:sz w:val="21"/>
                <w:szCs w:val="21"/>
              </w:rPr>
              <w:t>来去除有机载体，并使</w:t>
            </w:r>
            <w:r>
              <w:rPr>
                <w:rFonts w:hint="eastAsia"/>
                <w:sz w:val="21"/>
                <w:szCs w:val="21"/>
                <w:lang w:val="en-US" w:eastAsia="zh-CN"/>
              </w:rPr>
              <w:t>浆料</w:t>
            </w:r>
            <w:r>
              <w:rPr>
                <w:sz w:val="21"/>
                <w:szCs w:val="21"/>
              </w:rPr>
              <w:t>熔融形成致密的导电膜，同时实现与硅片的欧姆接触。这个过程中有机物基本会完全燃烧分解。而传统油墨是依靠溶剂挥发或紫外光固化等方式在承印物表面成膜。</w:t>
            </w:r>
          </w:p>
          <w:p w14:paraId="361AB16A">
            <w:pPr>
              <w:bidi w:val="0"/>
              <w:spacing w:line="240" w:lineRule="auto"/>
              <w:jc w:val="center"/>
              <w:rPr>
                <w:sz w:val="21"/>
                <w:szCs w:val="21"/>
                <w:lang w:val="en-US" w:eastAsia="en-US"/>
              </w:rPr>
            </w:pPr>
            <w:r>
              <w:rPr>
                <w:sz w:val="21"/>
                <w:szCs w:val="21"/>
              </w:rPr>
              <w:t>综上所述，本项目所使用的光伏铜浆不属于油墨，故不在《关于印发安徽省低挥发性有机物含量原辅材料替代工作方案的通知》（皖环发〔2024〕1号）》文件要求范围内。本</w:t>
            </w:r>
            <w:r>
              <w:rPr>
                <w:rFonts w:hint="eastAsia"/>
                <w:sz w:val="21"/>
                <w:szCs w:val="21"/>
                <w:lang w:val="en-US" w:eastAsia="zh-CN"/>
              </w:rPr>
              <w:t>次技改项目产生的</w:t>
            </w:r>
            <w:r>
              <w:rPr>
                <w:sz w:val="21"/>
                <w:szCs w:val="21"/>
              </w:rPr>
              <w:t>有机废气</w:t>
            </w:r>
            <w:r>
              <w:rPr>
                <w:rFonts w:hint="eastAsia"/>
                <w:sz w:val="21"/>
                <w:szCs w:val="21"/>
                <w:lang w:val="en-US" w:eastAsia="zh-CN"/>
              </w:rPr>
              <w:t>治理</w:t>
            </w:r>
            <w:r>
              <w:rPr>
                <w:sz w:val="21"/>
                <w:szCs w:val="21"/>
              </w:rPr>
              <w:t>措施采用</w:t>
            </w:r>
            <w:r>
              <w:rPr>
                <w:rFonts w:hint="eastAsia"/>
                <w:sz w:val="21"/>
                <w:szCs w:val="21"/>
                <w:lang w:eastAsia="zh-CN"/>
              </w:rPr>
              <w:t>“</w:t>
            </w:r>
            <w:r>
              <w:rPr>
                <w:sz w:val="21"/>
                <w:szCs w:val="21"/>
              </w:rPr>
              <w:t>自带燃烧装置+</w:t>
            </w:r>
            <w:r>
              <w:rPr>
                <w:rFonts w:hint="eastAsia"/>
                <w:sz w:val="21"/>
                <w:szCs w:val="21"/>
                <w:lang w:val="en-US" w:eastAsia="zh-CN"/>
              </w:rPr>
              <w:t>一</w:t>
            </w:r>
            <w:r>
              <w:rPr>
                <w:sz w:val="21"/>
                <w:szCs w:val="21"/>
              </w:rPr>
              <w:t>级活性炭</w:t>
            </w:r>
            <w:r>
              <w:rPr>
                <w:rFonts w:hint="eastAsia"/>
                <w:sz w:val="21"/>
                <w:szCs w:val="21"/>
                <w:lang w:val="en-US" w:eastAsia="zh-CN"/>
              </w:rPr>
              <w:t>吸附</w:t>
            </w:r>
            <w:r>
              <w:rPr>
                <w:sz w:val="21"/>
                <w:szCs w:val="21"/>
              </w:rPr>
              <w:t>装置</w:t>
            </w:r>
            <w:r>
              <w:rPr>
                <w:rFonts w:hint="eastAsia"/>
                <w:sz w:val="21"/>
                <w:szCs w:val="21"/>
                <w:lang w:eastAsia="zh-CN"/>
              </w:rPr>
              <w:t>”</w:t>
            </w:r>
            <w:r>
              <w:rPr>
                <w:sz w:val="21"/>
                <w:szCs w:val="21"/>
              </w:rPr>
              <w:t>，外排废气排放满足《电池工业污染物排放标准》（GB30484-2013）</w:t>
            </w:r>
          </w:p>
        </w:tc>
        <w:tc>
          <w:tcPr>
            <w:tcW w:w="0" w:type="auto"/>
            <w:shd w:val="clear" w:color="auto" w:fill="auto"/>
            <w:vAlign w:val="center"/>
          </w:tcPr>
          <w:p w14:paraId="34108133">
            <w:pPr>
              <w:bidi w:val="0"/>
              <w:spacing w:line="240" w:lineRule="auto"/>
              <w:jc w:val="center"/>
              <w:rPr>
                <w:sz w:val="21"/>
                <w:szCs w:val="21"/>
                <w:lang w:val="en-US" w:eastAsia="en-US"/>
              </w:rPr>
            </w:pPr>
            <w:r>
              <w:rPr>
                <w:sz w:val="21"/>
                <w:szCs w:val="21"/>
              </w:rPr>
              <w:t>符合</w:t>
            </w:r>
          </w:p>
        </w:tc>
      </w:tr>
      <w:tr w14:paraId="75C35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restart"/>
            <w:shd w:val="clear" w:color="auto" w:fill="auto"/>
            <w:vAlign w:val="center"/>
          </w:tcPr>
          <w:p w14:paraId="056AC73D">
            <w:pPr>
              <w:pStyle w:val="30"/>
              <w:bidi w:val="0"/>
              <w:ind w:firstLine="0" w:firstLineChars="0"/>
              <w:jc w:val="center"/>
              <w:rPr>
                <w:rFonts w:ascii="Times New Roman" w:hAnsi="Times New Roman" w:eastAsia="宋体" w:cs="宋体"/>
                <w:b w:val="0"/>
                <w:color w:val="auto"/>
                <w:kern w:val="0"/>
                <w:sz w:val="21"/>
                <w:szCs w:val="21"/>
                <w:lang w:val="en-US" w:eastAsia="zh-CN" w:bidi="ar-SA"/>
              </w:rPr>
            </w:pPr>
            <w:r>
              <w:rPr>
                <w:color w:val="auto"/>
              </w:rPr>
              <w:t>《巢湖流域水污染防治条例》</w:t>
            </w:r>
          </w:p>
        </w:tc>
        <w:tc>
          <w:tcPr>
            <w:tcW w:w="2302" w:type="pct"/>
            <w:gridSpan w:val="3"/>
            <w:shd w:val="clear" w:color="auto" w:fill="auto"/>
            <w:vAlign w:val="center"/>
          </w:tcPr>
          <w:p w14:paraId="04BE2F83">
            <w:pPr>
              <w:bidi w:val="0"/>
              <w:spacing w:line="240" w:lineRule="auto"/>
              <w:jc w:val="center"/>
              <w:rPr>
                <w:rFonts w:hint="eastAsia"/>
                <w:sz w:val="21"/>
                <w:szCs w:val="21"/>
                <w:lang w:val="en-US" w:eastAsia="zh-CN"/>
              </w:rPr>
            </w:pPr>
            <w:r>
              <w:rPr>
                <w:sz w:val="21"/>
                <w:szCs w:val="21"/>
              </w:rPr>
              <w:t>在巢湖流域新建、改建、扩建直接或者间接向水体排放污染物的建设项目和其他水上设施，应当依法进行环境影响评价。建设项目的</w:t>
            </w:r>
            <w:r>
              <w:rPr>
                <w:rFonts w:hint="eastAsia"/>
                <w:sz w:val="21"/>
                <w:szCs w:val="21"/>
                <w:lang w:eastAsia="zh-CN"/>
              </w:rPr>
              <w:t>环境影响报告</w:t>
            </w:r>
            <w:r>
              <w:rPr>
                <w:sz w:val="21"/>
                <w:szCs w:val="21"/>
              </w:rPr>
              <w:t>未依法经有审批权的生态环境主管部门审查或者审查后未予批准的，建设单位不得开工建设</w:t>
            </w:r>
          </w:p>
        </w:tc>
        <w:tc>
          <w:tcPr>
            <w:tcW w:w="0" w:type="auto"/>
            <w:shd w:val="clear" w:color="auto" w:fill="auto"/>
            <w:vAlign w:val="center"/>
          </w:tcPr>
          <w:p w14:paraId="5DF215A6">
            <w:pPr>
              <w:bidi w:val="0"/>
              <w:spacing w:line="240" w:lineRule="auto"/>
              <w:jc w:val="center"/>
              <w:rPr>
                <w:sz w:val="21"/>
                <w:szCs w:val="21"/>
                <w:lang w:val="en-US" w:eastAsia="zh-CN"/>
              </w:rPr>
            </w:pPr>
            <w:r>
              <w:rPr>
                <w:rFonts w:hint="eastAsia"/>
                <w:sz w:val="21"/>
                <w:szCs w:val="21"/>
              </w:rPr>
              <w:t>本项目为技改项目，废水预处理后进入合肥循环经济示范园第二污水处理厂深度处理达标后排入店埠河，属于间接向水体排放污染物的建设项目，项目正在依法进行环境影响评价</w:t>
            </w:r>
          </w:p>
        </w:tc>
        <w:tc>
          <w:tcPr>
            <w:tcW w:w="0" w:type="auto"/>
            <w:shd w:val="clear" w:color="auto" w:fill="auto"/>
            <w:vAlign w:val="center"/>
          </w:tcPr>
          <w:p w14:paraId="6A88636F">
            <w:pPr>
              <w:bidi w:val="0"/>
              <w:spacing w:line="240" w:lineRule="auto"/>
              <w:jc w:val="center"/>
              <w:rPr>
                <w:sz w:val="21"/>
                <w:szCs w:val="21"/>
              </w:rPr>
            </w:pPr>
            <w:r>
              <w:rPr>
                <w:sz w:val="21"/>
                <w:szCs w:val="21"/>
              </w:rPr>
              <w:t>符合</w:t>
            </w:r>
          </w:p>
        </w:tc>
      </w:tr>
      <w:tr w14:paraId="5EF2D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37CA57B0">
            <w:pPr>
              <w:bidi w:val="0"/>
              <w:spacing w:line="240" w:lineRule="auto"/>
              <w:jc w:val="center"/>
              <w:rPr>
                <w:sz w:val="21"/>
                <w:szCs w:val="21"/>
              </w:rPr>
            </w:pPr>
          </w:p>
        </w:tc>
        <w:tc>
          <w:tcPr>
            <w:tcW w:w="0" w:type="auto"/>
            <w:gridSpan w:val="3"/>
            <w:shd w:val="clear" w:color="auto" w:fill="auto"/>
            <w:vAlign w:val="center"/>
          </w:tcPr>
          <w:p w14:paraId="2AC8B0BF">
            <w:pPr>
              <w:pStyle w:val="30"/>
              <w:bidi w:val="0"/>
              <w:jc w:val="center"/>
              <w:rPr>
                <w:color w:val="auto"/>
              </w:rPr>
            </w:pPr>
            <w:r>
              <w:rPr>
                <w:color w:val="auto"/>
              </w:rPr>
              <w:t>水环境一、二、三级保护区内禁止下列行为：</w:t>
            </w:r>
          </w:p>
          <w:p w14:paraId="7B9E5708">
            <w:pPr>
              <w:pStyle w:val="30"/>
              <w:bidi w:val="0"/>
              <w:jc w:val="center"/>
              <w:rPr>
                <w:color w:val="auto"/>
              </w:rPr>
            </w:pPr>
            <w:r>
              <w:rPr>
                <w:rFonts w:hint="eastAsia"/>
                <w:color w:val="auto"/>
                <w:lang w:eastAsia="zh-CN"/>
              </w:rPr>
              <w:t>（一）</w:t>
            </w:r>
            <w:r>
              <w:rPr>
                <w:color w:val="auto"/>
              </w:rPr>
              <w:t>新建化学制浆造纸企业；</w:t>
            </w:r>
          </w:p>
          <w:p w14:paraId="1C5915FA">
            <w:pPr>
              <w:pStyle w:val="30"/>
              <w:bidi w:val="0"/>
              <w:jc w:val="center"/>
              <w:rPr>
                <w:color w:val="auto"/>
              </w:rPr>
            </w:pPr>
            <w:r>
              <w:rPr>
                <w:rFonts w:hint="eastAsia"/>
                <w:color w:val="auto"/>
                <w:lang w:eastAsia="zh-CN"/>
              </w:rPr>
              <w:t>（二）</w:t>
            </w:r>
            <w:r>
              <w:rPr>
                <w:color w:val="auto"/>
              </w:rPr>
              <w:t>新建制革、化工、印染、电镀、酿造、水泥、石棉、玻璃等水污染严重的小型项目；</w:t>
            </w:r>
          </w:p>
          <w:p w14:paraId="6031BC59">
            <w:pPr>
              <w:pStyle w:val="30"/>
              <w:bidi w:val="0"/>
              <w:jc w:val="center"/>
              <w:rPr>
                <w:color w:val="auto"/>
              </w:rPr>
            </w:pPr>
            <w:r>
              <w:rPr>
                <w:rFonts w:hint="eastAsia"/>
                <w:color w:val="auto"/>
                <w:lang w:eastAsia="zh-CN"/>
              </w:rPr>
              <w:t>（三）</w:t>
            </w:r>
            <w:r>
              <w:rPr>
                <w:color w:val="auto"/>
              </w:rPr>
              <w:t>销售、使用含磷洗涤用品；</w:t>
            </w:r>
          </w:p>
          <w:p w14:paraId="3EB58D22">
            <w:pPr>
              <w:pStyle w:val="30"/>
              <w:bidi w:val="0"/>
              <w:jc w:val="center"/>
              <w:rPr>
                <w:color w:val="auto"/>
              </w:rPr>
            </w:pPr>
            <w:r>
              <w:rPr>
                <w:rFonts w:hint="eastAsia"/>
                <w:color w:val="auto"/>
                <w:lang w:eastAsia="zh-CN"/>
              </w:rPr>
              <w:t>（四）</w:t>
            </w:r>
            <w:r>
              <w:rPr>
                <w:color w:val="auto"/>
              </w:rPr>
              <w:t>围湖造地；</w:t>
            </w:r>
          </w:p>
          <w:p w14:paraId="7BBFED66">
            <w:pPr>
              <w:pStyle w:val="30"/>
              <w:bidi w:val="0"/>
              <w:jc w:val="center"/>
              <w:rPr>
                <w:color w:val="auto"/>
              </w:rPr>
            </w:pPr>
            <w:r>
              <w:rPr>
                <w:rFonts w:hint="eastAsia"/>
                <w:color w:val="auto"/>
                <w:lang w:eastAsia="zh-CN"/>
              </w:rPr>
              <w:t>（五）法律法规</w:t>
            </w:r>
            <w:r>
              <w:rPr>
                <w:color w:val="auto"/>
              </w:rPr>
              <w:t>禁止的其他行为。</w:t>
            </w:r>
          </w:p>
          <w:p w14:paraId="1C4C875A">
            <w:pPr>
              <w:pStyle w:val="30"/>
              <w:bidi w:val="0"/>
              <w:ind w:firstLine="0" w:firstLineChars="0"/>
              <w:jc w:val="center"/>
              <w:rPr>
                <w:rFonts w:hint="eastAsia" w:ascii="Times New Roman" w:hAnsi="Times New Roman" w:eastAsia="宋体" w:cs="宋体"/>
                <w:b w:val="0"/>
                <w:color w:val="auto"/>
                <w:kern w:val="0"/>
                <w:sz w:val="21"/>
                <w:szCs w:val="21"/>
                <w:lang w:val="en-US" w:eastAsia="zh-CN" w:bidi="ar-SA"/>
              </w:rPr>
            </w:pPr>
            <w:r>
              <w:rPr>
                <w:color w:val="auto"/>
              </w:rPr>
              <w:t>严格限制在水环境三级保护区内新建制革、化工、印染、 电镀、酿造、水泥、石棉、玻璃等水污染严重的大中型项目；确需新建的，应当事先报经省人民政府生态环境主管部门同意。</w:t>
            </w:r>
          </w:p>
        </w:tc>
        <w:tc>
          <w:tcPr>
            <w:tcW w:w="0" w:type="auto"/>
            <w:shd w:val="clear" w:color="auto" w:fill="auto"/>
            <w:vAlign w:val="center"/>
          </w:tcPr>
          <w:p w14:paraId="782B04CC">
            <w:pPr>
              <w:pStyle w:val="30"/>
              <w:bidi w:val="0"/>
              <w:ind w:firstLine="0" w:firstLineChars="0"/>
              <w:jc w:val="center"/>
              <w:rPr>
                <w:rFonts w:ascii="Times New Roman" w:hAnsi="Times New Roman" w:eastAsia="宋体" w:cs="宋体"/>
                <w:b w:val="0"/>
                <w:color w:val="auto"/>
                <w:kern w:val="0"/>
                <w:sz w:val="21"/>
                <w:szCs w:val="21"/>
                <w:lang w:val="en-US" w:eastAsia="zh-CN" w:bidi="ar-SA"/>
              </w:rPr>
            </w:pPr>
            <w:r>
              <w:rPr>
                <w:rFonts w:hint="eastAsia"/>
                <w:color w:val="auto"/>
              </w:rPr>
              <w:t>本项目距离巢湖11.7km，在巢湖流域水环境三级保护区范围内，行业类别为</w:t>
            </w:r>
            <w:r>
              <w:rPr>
                <w:sz w:val="21"/>
                <w:szCs w:val="21"/>
              </w:rPr>
              <w:t>光伏设备及元器件制造行业</w:t>
            </w:r>
            <w:r>
              <w:rPr>
                <w:rFonts w:hint="eastAsia"/>
                <w:color w:val="auto"/>
              </w:rPr>
              <w:t>，不涉及水环境三级保护区内禁止、限制类行为</w:t>
            </w:r>
          </w:p>
        </w:tc>
        <w:tc>
          <w:tcPr>
            <w:tcW w:w="0" w:type="auto"/>
            <w:vAlign w:val="center"/>
          </w:tcPr>
          <w:p w14:paraId="3C29DC8F">
            <w:pPr>
              <w:bidi w:val="0"/>
              <w:spacing w:line="240" w:lineRule="auto"/>
              <w:jc w:val="center"/>
              <w:rPr>
                <w:sz w:val="21"/>
                <w:szCs w:val="21"/>
              </w:rPr>
            </w:pPr>
            <w:r>
              <w:rPr>
                <w:sz w:val="21"/>
                <w:szCs w:val="21"/>
              </w:rPr>
              <w:t>符合</w:t>
            </w:r>
          </w:p>
        </w:tc>
      </w:tr>
      <w:tr w14:paraId="771F2D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73" w:type="pct"/>
            <w:vMerge w:val="continue"/>
            <w:vAlign w:val="center"/>
          </w:tcPr>
          <w:p w14:paraId="28B727E2">
            <w:pPr>
              <w:bidi w:val="0"/>
              <w:spacing w:line="240" w:lineRule="auto"/>
              <w:jc w:val="center"/>
              <w:rPr>
                <w:sz w:val="21"/>
                <w:szCs w:val="21"/>
              </w:rPr>
            </w:pPr>
          </w:p>
        </w:tc>
        <w:tc>
          <w:tcPr>
            <w:tcW w:w="0" w:type="auto"/>
            <w:gridSpan w:val="3"/>
            <w:shd w:val="clear" w:color="auto" w:fill="auto"/>
            <w:vAlign w:val="center"/>
          </w:tcPr>
          <w:p w14:paraId="31BCAA01">
            <w:pPr>
              <w:pStyle w:val="30"/>
              <w:bidi w:val="0"/>
              <w:ind w:firstLine="0" w:firstLineChars="0"/>
              <w:jc w:val="center"/>
              <w:rPr>
                <w:rFonts w:ascii="Times New Roman" w:hAnsi="Times New Roman" w:eastAsia="宋体" w:cs="宋体"/>
                <w:b w:val="0"/>
                <w:color w:val="auto"/>
                <w:kern w:val="0"/>
                <w:sz w:val="21"/>
                <w:szCs w:val="21"/>
                <w:lang w:val="en-US" w:eastAsia="zh-CN" w:bidi="ar-SA"/>
              </w:rPr>
            </w:pPr>
            <w:r>
              <w:rPr>
                <w:color w:val="auto"/>
              </w:rPr>
              <w:t>向城镇污水集中处理设施排放污水，应当达到国家和地方规定的水污染物排放标准以及污水排入城市下水道水质标准</w:t>
            </w:r>
          </w:p>
        </w:tc>
        <w:tc>
          <w:tcPr>
            <w:tcW w:w="0" w:type="auto"/>
            <w:shd w:val="clear" w:color="auto" w:fill="auto"/>
            <w:vAlign w:val="center"/>
          </w:tcPr>
          <w:p w14:paraId="561AF7B7">
            <w:pPr>
              <w:pStyle w:val="30"/>
              <w:tabs>
                <w:tab w:val="center" w:pos="2342"/>
                <w:tab w:val="right" w:pos="4565"/>
              </w:tabs>
              <w:bidi w:val="0"/>
              <w:ind w:firstLine="0" w:firstLineChars="0"/>
              <w:jc w:val="center"/>
              <w:rPr>
                <w:rFonts w:ascii="Times New Roman" w:hAnsi="Times New Roman" w:eastAsia="宋体" w:cs="宋体"/>
                <w:b w:val="0"/>
                <w:color w:val="auto"/>
                <w:kern w:val="0"/>
                <w:sz w:val="21"/>
                <w:szCs w:val="21"/>
                <w:lang w:val="en-US" w:eastAsia="zh-CN" w:bidi="ar-SA"/>
              </w:rPr>
            </w:pPr>
            <w:r>
              <w:rPr>
                <w:rFonts w:hint="eastAsia"/>
                <w:color w:val="auto"/>
              </w:rPr>
              <w:t>本项目废水预处理后满足《电池工业污染物排放标准》（GB30484-2013）表2间接排放限值和合肥循环经济示范园第二污水处理厂接管限值要求后经园区污水管网进入合肥循环经济示范园第二污水处理厂深度处理</w:t>
            </w:r>
          </w:p>
        </w:tc>
        <w:tc>
          <w:tcPr>
            <w:tcW w:w="0" w:type="auto"/>
            <w:vAlign w:val="center"/>
          </w:tcPr>
          <w:p w14:paraId="08751C8F">
            <w:pPr>
              <w:bidi w:val="0"/>
              <w:spacing w:line="240" w:lineRule="auto"/>
              <w:jc w:val="center"/>
              <w:rPr>
                <w:sz w:val="21"/>
                <w:szCs w:val="21"/>
              </w:rPr>
            </w:pPr>
            <w:r>
              <w:rPr>
                <w:sz w:val="21"/>
                <w:szCs w:val="21"/>
              </w:rPr>
              <w:t>符合</w:t>
            </w:r>
          </w:p>
        </w:tc>
      </w:tr>
      <w:tr w14:paraId="7AC7D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restart"/>
            <w:shd w:val="clear" w:color="auto" w:fill="auto"/>
            <w:vAlign w:val="center"/>
          </w:tcPr>
          <w:p w14:paraId="001E2A16">
            <w:pPr>
              <w:pStyle w:val="30"/>
              <w:bidi w:val="0"/>
              <w:ind w:firstLine="0" w:firstLineChars="0"/>
              <w:jc w:val="center"/>
              <w:rPr>
                <w:rFonts w:ascii="Times New Roman" w:hAnsi="Times New Roman" w:eastAsia="宋体" w:cs="宋体"/>
                <w:b w:val="0"/>
                <w:color w:val="auto"/>
                <w:kern w:val="0"/>
                <w:sz w:val="21"/>
                <w:szCs w:val="21"/>
                <w:lang w:val="en-US" w:eastAsia="zh-CN" w:bidi="ar-SA"/>
              </w:rPr>
            </w:pPr>
            <w:r>
              <w:rPr>
                <w:rFonts w:hint="eastAsia"/>
                <w:color w:val="auto"/>
              </w:rPr>
              <w:t>《关于印发巢湖流域禁止和限制的产业产品目录的通知》（皖发改环资〔2021〕6号）</w:t>
            </w:r>
          </w:p>
        </w:tc>
        <w:tc>
          <w:tcPr>
            <w:tcW w:w="0" w:type="auto"/>
            <w:gridSpan w:val="3"/>
            <w:shd w:val="clear" w:color="auto" w:fill="auto"/>
            <w:vAlign w:val="center"/>
          </w:tcPr>
          <w:p w14:paraId="0CF6215A">
            <w:pPr>
              <w:pStyle w:val="30"/>
              <w:bidi w:val="0"/>
              <w:jc w:val="center"/>
              <w:rPr>
                <w:color w:val="auto"/>
              </w:rPr>
            </w:pPr>
            <w:r>
              <w:rPr>
                <w:color w:val="auto"/>
              </w:rPr>
              <w:t>（一）禁止类</w:t>
            </w:r>
          </w:p>
          <w:p w14:paraId="0921F8EB">
            <w:pPr>
              <w:pStyle w:val="30"/>
              <w:bidi w:val="0"/>
              <w:ind w:firstLine="0" w:firstLineChars="0"/>
              <w:jc w:val="center"/>
              <w:rPr>
                <w:rFonts w:ascii="Times New Roman" w:hAnsi="Times New Roman" w:eastAsia="宋体" w:cs="宋体"/>
                <w:b w:val="0"/>
                <w:color w:val="auto"/>
                <w:kern w:val="0"/>
                <w:sz w:val="21"/>
                <w:szCs w:val="21"/>
                <w:lang w:val="en-US" w:eastAsia="zh-CN" w:bidi="ar-SA"/>
              </w:rPr>
            </w:pPr>
            <w:r>
              <w:rPr>
                <w:color w:val="auto"/>
              </w:rPr>
              <w:t>1.化学制浆造纸（新建企业）；2.制革（新建小型项目）；3.化工（新建小型项目）；4.印染（新建小型项目）；5.电镀（新建小型项目）；6.酿造（新建小型项目）；7.水泥（新建小型项目）；9.玻璃（新建小型项目）；10.</w:t>
            </w:r>
            <w:r>
              <w:rPr>
                <w:rFonts w:hint="eastAsia"/>
                <w:color w:val="auto"/>
                <w:lang w:eastAsia="zh-CN"/>
              </w:rPr>
              <w:t>其他</w:t>
            </w:r>
            <w:r>
              <w:rPr>
                <w:color w:val="auto"/>
              </w:rPr>
              <w:t>（1）销售、使用含磷洗涤用品（2）围湖造地（3）</w:t>
            </w:r>
            <w:r>
              <w:rPr>
                <w:rFonts w:hint="eastAsia"/>
                <w:color w:val="auto"/>
                <w:lang w:eastAsia="zh-CN"/>
              </w:rPr>
              <w:t>法律法规</w:t>
            </w:r>
            <w:r>
              <w:rPr>
                <w:color w:val="auto"/>
              </w:rPr>
              <w:t>禁止的其他行为。</w:t>
            </w:r>
          </w:p>
        </w:tc>
        <w:tc>
          <w:tcPr>
            <w:tcW w:w="1817" w:type="pct"/>
            <w:vMerge w:val="restart"/>
            <w:shd w:val="clear" w:color="auto" w:fill="auto"/>
            <w:vAlign w:val="center"/>
          </w:tcPr>
          <w:p w14:paraId="00DD75C0">
            <w:pPr>
              <w:pStyle w:val="30"/>
              <w:tabs>
                <w:tab w:val="center" w:pos="2342"/>
                <w:tab w:val="right" w:pos="4565"/>
              </w:tabs>
              <w:bidi w:val="0"/>
              <w:ind w:firstLine="0" w:firstLineChars="0"/>
              <w:jc w:val="center"/>
              <w:rPr>
                <w:rFonts w:hint="eastAsia" w:ascii="Times New Roman" w:hAnsi="Times New Roman" w:eastAsia="宋体" w:cs="宋体"/>
                <w:b w:val="0"/>
                <w:color w:val="auto"/>
                <w:kern w:val="0"/>
                <w:sz w:val="21"/>
                <w:szCs w:val="21"/>
                <w:lang w:val="en-US" w:eastAsia="zh-CN" w:bidi="ar-SA"/>
              </w:rPr>
            </w:pPr>
            <w:r>
              <w:rPr>
                <w:rFonts w:hint="eastAsia"/>
                <w:color w:val="auto"/>
                <w:lang w:eastAsia="zh-CN"/>
              </w:rPr>
              <w:t>本项目为</w:t>
            </w:r>
            <w:r>
              <w:rPr>
                <w:sz w:val="21"/>
                <w:szCs w:val="21"/>
              </w:rPr>
              <w:t>光伏设备及元器件制造行业</w:t>
            </w:r>
            <w:r>
              <w:rPr>
                <w:rFonts w:hint="eastAsia"/>
                <w:color w:val="auto"/>
                <w:lang w:eastAsia="zh-CN"/>
              </w:rPr>
              <w:t>，不在禁止类项目范围</w:t>
            </w:r>
          </w:p>
        </w:tc>
        <w:tc>
          <w:tcPr>
            <w:tcW w:w="0" w:type="auto"/>
            <w:vAlign w:val="center"/>
          </w:tcPr>
          <w:p w14:paraId="35CF60E9">
            <w:pPr>
              <w:bidi w:val="0"/>
              <w:spacing w:line="240" w:lineRule="auto"/>
              <w:jc w:val="center"/>
              <w:rPr>
                <w:sz w:val="21"/>
                <w:szCs w:val="21"/>
              </w:rPr>
            </w:pPr>
            <w:r>
              <w:rPr>
                <w:sz w:val="21"/>
                <w:szCs w:val="21"/>
              </w:rPr>
              <w:t>符合</w:t>
            </w:r>
          </w:p>
        </w:tc>
      </w:tr>
      <w:tr w14:paraId="00599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73" w:type="pct"/>
            <w:vMerge w:val="continue"/>
            <w:vAlign w:val="center"/>
          </w:tcPr>
          <w:p w14:paraId="1235C3EE">
            <w:pPr>
              <w:bidi w:val="0"/>
              <w:spacing w:line="240" w:lineRule="auto"/>
              <w:jc w:val="center"/>
              <w:rPr>
                <w:sz w:val="21"/>
                <w:szCs w:val="21"/>
              </w:rPr>
            </w:pPr>
          </w:p>
        </w:tc>
        <w:tc>
          <w:tcPr>
            <w:tcW w:w="0" w:type="auto"/>
            <w:gridSpan w:val="3"/>
            <w:shd w:val="clear" w:color="auto" w:fill="auto"/>
            <w:vAlign w:val="center"/>
          </w:tcPr>
          <w:p w14:paraId="605FE248">
            <w:pPr>
              <w:pStyle w:val="30"/>
              <w:bidi w:val="0"/>
              <w:jc w:val="center"/>
              <w:rPr>
                <w:rFonts w:hint="eastAsia"/>
                <w:color w:val="auto"/>
              </w:rPr>
            </w:pPr>
            <w:r>
              <w:rPr>
                <w:rFonts w:hint="eastAsia"/>
                <w:color w:val="auto"/>
              </w:rPr>
              <w:t>（一）限制类</w:t>
            </w:r>
          </w:p>
          <w:p w14:paraId="03521ACA">
            <w:pPr>
              <w:pStyle w:val="30"/>
              <w:bidi w:val="0"/>
              <w:ind w:firstLine="0" w:firstLineChars="0"/>
              <w:jc w:val="center"/>
              <w:rPr>
                <w:rFonts w:ascii="Times New Roman" w:hAnsi="Times New Roman" w:eastAsia="宋体" w:cs="宋体"/>
                <w:b w:val="0"/>
                <w:color w:val="auto"/>
                <w:kern w:val="0"/>
                <w:sz w:val="21"/>
                <w:szCs w:val="21"/>
                <w:lang w:val="en-US" w:eastAsia="zh-CN" w:bidi="ar-SA"/>
              </w:rPr>
            </w:pPr>
            <w:r>
              <w:rPr>
                <w:rFonts w:hint="eastAsia"/>
                <w:color w:val="auto"/>
              </w:rPr>
              <w:t>1.制革（新建大中型项目）；2.化工大中型项目（新建大中型项目）；3.印染（新建大中型项目）；4.电镀（新建大中型项目）；5.酿造（新建大中型项目）；6.水泥（新建大中型项目）；7.石棉（新建大中型项目）；8.玻璃（新建大中型项目）。</w:t>
            </w:r>
          </w:p>
        </w:tc>
        <w:tc>
          <w:tcPr>
            <w:tcW w:w="1817" w:type="pct"/>
            <w:vMerge w:val="continue"/>
            <w:vAlign w:val="center"/>
          </w:tcPr>
          <w:p w14:paraId="20CB740F">
            <w:pPr>
              <w:bidi w:val="0"/>
              <w:spacing w:line="240" w:lineRule="auto"/>
              <w:jc w:val="center"/>
              <w:rPr>
                <w:sz w:val="21"/>
                <w:szCs w:val="21"/>
              </w:rPr>
            </w:pPr>
          </w:p>
        </w:tc>
        <w:tc>
          <w:tcPr>
            <w:tcW w:w="0" w:type="auto"/>
            <w:vAlign w:val="center"/>
          </w:tcPr>
          <w:p w14:paraId="3E0D93F1">
            <w:pPr>
              <w:bidi w:val="0"/>
              <w:spacing w:line="240" w:lineRule="auto"/>
              <w:jc w:val="center"/>
              <w:rPr>
                <w:sz w:val="21"/>
                <w:szCs w:val="21"/>
              </w:rPr>
            </w:pPr>
            <w:r>
              <w:rPr>
                <w:sz w:val="21"/>
                <w:szCs w:val="21"/>
              </w:rPr>
              <w:t>符合</w:t>
            </w:r>
          </w:p>
        </w:tc>
      </w:tr>
    </w:tbl>
    <w:p w14:paraId="2DC3EED8">
      <w:pPr>
        <w:bidi w:val="0"/>
        <w:rPr>
          <w:rFonts w:hint="eastAsia"/>
          <w:lang w:val="en-US" w:eastAsia="zh-CN"/>
        </w:rPr>
        <w:sectPr>
          <w:pgSz w:w="16838" w:h="11906" w:orient="landscape"/>
          <w:pgMar w:top="1417" w:right="1417" w:bottom="1134" w:left="1134" w:header="851" w:footer="992" w:gutter="0"/>
          <w:pgNumType w:fmt="decimal"/>
          <w:cols w:space="0" w:num="1"/>
          <w:rtlGutter w:val="0"/>
          <w:docGrid w:type="lines" w:linePitch="312" w:charSpace="0"/>
        </w:sectPr>
      </w:pPr>
    </w:p>
    <w:p w14:paraId="72E98226">
      <w:pPr>
        <w:bidi w:val="0"/>
        <w:rPr>
          <w:rFonts w:hint="eastAsia"/>
          <w:b/>
          <w:bCs/>
          <w:lang w:val="en-US" w:eastAsia="zh-CN"/>
        </w:rPr>
      </w:pPr>
      <w:r>
        <w:rPr>
          <w:rFonts w:hint="eastAsia"/>
          <w:b/>
          <w:bCs/>
          <w:lang w:val="en-US" w:eastAsia="zh-CN"/>
        </w:rPr>
        <w:t>2.5.6 生态环境分区管控符合性分析</w:t>
      </w:r>
    </w:p>
    <w:p w14:paraId="5AF602CF">
      <w:pPr>
        <w:bidi w:val="0"/>
        <w:rPr>
          <w:rFonts w:hint="eastAsia"/>
          <w:b/>
          <w:bCs/>
          <w:lang w:val="en-US" w:eastAsia="zh-CN"/>
        </w:rPr>
      </w:pPr>
      <w:r>
        <w:rPr>
          <w:rFonts w:hint="eastAsia"/>
          <w:b/>
          <w:bCs/>
          <w:lang w:val="en-US" w:eastAsia="zh-CN"/>
        </w:rPr>
        <w:t>2.5.6.1 生态环境分区管控分析</w:t>
      </w:r>
    </w:p>
    <w:p w14:paraId="720EED97">
      <w:pPr>
        <w:bidi w:val="0"/>
        <w:ind w:firstLine="480" w:firstLineChars="200"/>
        <w:rPr>
          <w:rFonts w:hint="eastAsia"/>
          <w:lang w:val="en-US" w:eastAsia="zh-CN"/>
        </w:rPr>
      </w:pPr>
      <w:r>
        <w:rPr>
          <w:rFonts w:hint="eastAsia"/>
          <w:lang w:val="en-US" w:eastAsia="zh-CN"/>
        </w:rPr>
        <w:t>本次技改项目位于</w:t>
      </w:r>
      <w:r>
        <w:rPr>
          <w:rFonts w:hint="default"/>
          <w:lang w:val="en-US" w:eastAsia="zh-CN"/>
        </w:rPr>
        <w:t>合肥循环经济示范园龙兴大道与乳泉路交口东北角安徽晶科能源有限公司</w:t>
      </w:r>
      <w:r>
        <w:rPr>
          <w:rFonts w:hint="eastAsia"/>
          <w:lang w:val="en-US" w:eastAsia="zh-CN"/>
        </w:rPr>
        <w:t>现有厂区内，结合现场踏勘，项目不涉及自然保护区、风景名胜区等特殊生态敏感区和重要生态敏感区，项目选址不占用生态保护红线。</w:t>
      </w:r>
    </w:p>
    <w:p w14:paraId="1C304126">
      <w:pPr>
        <w:bidi w:val="0"/>
        <w:ind w:firstLine="480" w:firstLineChars="200"/>
        <w:rPr>
          <w:rFonts w:hint="default"/>
          <w:lang w:val="en-US" w:eastAsia="zh-CN"/>
        </w:rPr>
      </w:pPr>
      <w:r>
        <w:rPr>
          <w:rFonts w:hint="eastAsia"/>
          <w:lang w:val="en-US" w:eastAsia="zh-CN"/>
        </w:rPr>
        <w:t>经查询安徽省“三线一单”公众服务平台，本项目所在区域涉及1个重点管控单元（沿江绿色生态廊道区-重点管控单元6），单元编码ZH34012220048。</w:t>
      </w:r>
    </w:p>
    <w:p w14:paraId="1743B02B">
      <w:pPr>
        <w:bidi w:val="0"/>
        <w:rPr>
          <w:rFonts w:hint="eastAsia"/>
          <w:lang w:val="en-US" w:eastAsia="zh-CN"/>
        </w:rPr>
        <w:sectPr>
          <w:pgSz w:w="11906" w:h="16838"/>
          <w:pgMar w:top="1417" w:right="1134" w:bottom="1134" w:left="1417" w:header="851" w:footer="992" w:gutter="0"/>
          <w:pgNumType w:fmt="decimal"/>
          <w:cols w:space="0" w:num="1"/>
          <w:rtlGutter w:val="0"/>
          <w:docGrid w:type="lines" w:linePitch="312" w:charSpace="0"/>
        </w:sectPr>
      </w:pPr>
    </w:p>
    <w:p w14:paraId="4F82F373">
      <w:pPr>
        <w:bidi w:val="0"/>
      </w:pPr>
      <w:r>
        <w:drawing>
          <wp:inline distT="0" distB="0" distL="114300" distR="114300">
            <wp:extent cx="9069705" cy="4714875"/>
            <wp:effectExtent l="0" t="0" r="10795" b="952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8"/>
                    <a:stretch>
                      <a:fillRect/>
                    </a:stretch>
                  </pic:blipFill>
                  <pic:spPr>
                    <a:xfrm>
                      <a:off x="0" y="0"/>
                      <a:ext cx="9069705" cy="4714875"/>
                    </a:xfrm>
                    <a:prstGeom prst="rect">
                      <a:avLst/>
                    </a:prstGeom>
                    <a:noFill/>
                    <a:ln>
                      <a:noFill/>
                    </a:ln>
                  </pic:spPr>
                </pic:pic>
              </a:graphicData>
            </a:graphic>
          </wp:inline>
        </w:drawing>
      </w:r>
    </w:p>
    <w:p w14:paraId="0F5EBCA2">
      <w:pPr>
        <w:bidi w:val="0"/>
        <w:jc w:val="center"/>
        <w:rPr>
          <w:rFonts w:hint="eastAsia"/>
          <w:b/>
          <w:bCs/>
          <w:lang w:val="en-US" w:eastAsia="zh-CN"/>
        </w:rPr>
        <w:sectPr>
          <w:pgSz w:w="16838" w:h="11906" w:orient="landscape"/>
          <w:pgMar w:top="1417" w:right="1417" w:bottom="1134" w:left="1134" w:header="851" w:footer="992" w:gutter="0"/>
          <w:pgNumType w:fmt="decimal"/>
          <w:cols w:space="0" w:num="1"/>
          <w:rtlGutter w:val="0"/>
          <w:docGrid w:type="lines" w:linePitch="312" w:charSpace="0"/>
        </w:sectPr>
      </w:pPr>
      <w:r>
        <w:rPr>
          <w:rFonts w:hint="eastAsia"/>
          <w:b/>
          <w:bCs/>
          <w:lang w:val="en-US" w:eastAsia="zh-CN"/>
        </w:rPr>
        <w:t>图2.5.6-1 项目与分区管控位置关系图</w:t>
      </w:r>
    </w:p>
    <w:p w14:paraId="315BAC57">
      <w:pPr>
        <w:bidi w:val="0"/>
        <w:jc w:val="center"/>
        <w:rPr>
          <w:rFonts w:hint="default"/>
          <w:b/>
          <w:bCs/>
          <w:lang w:val="en-US" w:eastAsia="zh-CN"/>
        </w:rPr>
      </w:pPr>
      <w:r>
        <w:rPr>
          <w:rFonts w:hint="default"/>
          <w:b/>
          <w:bCs/>
          <w:lang w:val="en-US" w:eastAsia="zh-CN"/>
        </w:rPr>
        <w:t>表2.</w:t>
      </w:r>
      <w:r>
        <w:rPr>
          <w:rFonts w:hint="eastAsia"/>
          <w:b/>
          <w:bCs/>
          <w:lang w:val="en-US" w:eastAsia="zh-CN"/>
        </w:rPr>
        <w:t>5</w:t>
      </w:r>
      <w:r>
        <w:rPr>
          <w:rFonts w:hint="default"/>
          <w:b/>
          <w:bCs/>
          <w:lang w:val="en-US" w:eastAsia="zh-CN"/>
        </w:rPr>
        <w:t>.</w:t>
      </w:r>
      <w:r>
        <w:rPr>
          <w:rFonts w:hint="eastAsia"/>
          <w:b/>
          <w:bCs/>
          <w:lang w:val="en-US" w:eastAsia="zh-CN"/>
        </w:rPr>
        <w:t>6</w:t>
      </w:r>
      <w:r>
        <w:rPr>
          <w:rFonts w:hint="default"/>
          <w:b/>
          <w:bCs/>
          <w:lang w:val="en-US" w:eastAsia="zh-CN"/>
        </w:rPr>
        <w:t>-1 项目与生态分区管控要求相符性一览表</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0"/>
        <w:gridCol w:w="8617"/>
        <w:gridCol w:w="4236"/>
      </w:tblGrid>
      <w:tr w14:paraId="5F49B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370AA480">
            <w:pPr>
              <w:bidi w:val="0"/>
              <w:spacing w:line="240" w:lineRule="auto"/>
              <w:jc w:val="center"/>
              <w:rPr>
                <w:rFonts w:hint="default"/>
                <w:b/>
                <w:bCs/>
                <w:sz w:val="21"/>
                <w:szCs w:val="21"/>
                <w:lang w:val="en-US" w:eastAsia="zh-CN"/>
              </w:rPr>
            </w:pPr>
            <w:r>
              <w:rPr>
                <w:rFonts w:hint="default"/>
                <w:b/>
                <w:bCs/>
                <w:sz w:val="21"/>
                <w:szCs w:val="21"/>
                <w:lang w:val="en-US" w:eastAsia="zh-CN"/>
              </w:rPr>
              <w:t>管控单元分类</w:t>
            </w:r>
          </w:p>
        </w:tc>
        <w:tc>
          <w:tcPr>
            <w:tcW w:w="2970" w:type="pct"/>
            <w:vAlign w:val="center"/>
          </w:tcPr>
          <w:p w14:paraId="4F536227">
            <w:pPr>
              <w:bidi w:val="0"/>
              <w:spacing w:line="240" w:lineRule="auto"/>
              <w:jc w:val="center"/>
              <w:rPr>
                <w:rFonts w:hint="default"/>
                <w:b/>
                <w:bCs/>
                <w:sz w:val="21"/>
                <w:szCs w:val="21"/>
                <w:lang w:val="en-US" w:eastAsia="zh-CN"/>
              </w:rPr>
            </w:pPr>
            <w:r>
              <w:rPr>
                <w:rFonts w:hint="default"/>
                <w:b/>
                <w:bCs/>
                <w:sz w:val="21"/>
                <w:szCs w:val="21"/>
                <w:lang w:val="en-US" w:eastAsia="zh-CN"/>
              </w:rPr>
              <w:t>分区管控要求</w:t>
            </w:r>
          </w:p>
        </w:tc>
        <w:tc>
          <w:tcPr>
            <w:tcW w:w="1460" w:type="pct"/>
            <w:vAlign w:val="center"/>
          </w:tcPr>
          <w:p w14:paraId="4DCF2DBC">
            <w:pPr>
              <w:bidi w:val="0"/>
              <w:spacing w:line="240" w:lineRule="auto"/>
              <w:jc w:val="center"/>
              <w:rPr>
                <w:rFonts w:hint="default"/>
                <w:b/>
                <w:bCs/>
                <w:sz w:val="21"/>
                <w:szCs w:val="21"/>
                <w:lang w:val="en-US" w:eastAsia="zh-CN"/>
              </w:rPr>
            </w:pPr>
            <w:r>
              <w:rPr>
                <w:rFonts w:hint="default"/>
                <w:b/>
                <w:bCs/>
                <w:sz w:val="21"/>
                <w:szCs w:val="21"/>
                <w:lang w:val="en-US" w:eastAsia="zh-CN"/>
              </w:rPr>
              <w:t>协调性分析</w:t>
            </w:r>
          </w:p>
        </w:tc>
      </w:tr>
      <w:tr w14:paraId="3C828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28DCB9D2">
            <w:pPr>
              <w:bidi w:val="0"/>
              <w:spacing w:line="240" w:lineRule="auto"/>
              <w:jc w:val="center"/>
              <w:rPr>
                <w:rFonts w:hint="default"/>
                <w:sz w:val="21"/>
                <w:szCs w:val="21"/>
                <w:lang w:val="en-US" w:eastAsia="zh-CN"/>
              </w:rPr>
            </w:pPr>
            <w:r>
              <w:rPr>
                <w:rFonts w:hint="default"/>
                <w:sz w:val="21"/>
                <w:szCs w:val="21"/>
                <w:lang w:val="en-US" w:eastAsia="zh-CN"/>
              </w:rPr>
              <w:t>基本信息</w:t>
            </w:r>
          </w:p>
        </w:tc>
        <w:tc>
          <w:tcPr>
            <w:tcW w:w="2970" w:type="pct"/>
            <w:vAlign w:val="center"/>
          </w:tcPr>
          <w:p w14:paraId="21CB22AA">
            <w:pPr>
              <w:bidi w:val="0"/>
              <w:spacing w:line="240" w:lineRule="auto"/>
              <w:jc w:val="center"/>
              <w:rPr>
                <w:rFonts w:hint="default"/>
                <w:sz w:val="21"/>
                <w:szCs w:val="21"/>
                <w:lang w:val="en-US" w:eastAsia="zh-CN"/>
              </w:rPr>
            </w:pPr>
            <w:r>
              <w:rPr>
                <w:rFonts w:hint="default"/>
                <w:sz w:val="21"/>
                <w:szCs w:val="21"/>
                <w:lang w:val="en-US" w:eastAsia="zh-CN"/>
              </w:rPr>
              <w:t>该单元面积165.541km</w:t>
            </w:r>
            <w:r>
              <w:rPr>
                <w:rFonts w:hint="default"/>
                <w:sz w:val="21"/>
                <w:szCs w:val="21"/>
                <w:vertAlign w:val="superscript"/>
                <w:lang w:val="en-US" w:eastAsia="zh-CN"/>
              </w:rPr>
              <w:t>2</w:t>
            </w:r>
            <w:r>
              <w:rPr>
                <w:rFonts w:hint="default"/>
                <w:sz w:val="21"/>
                <w:szCs w:val="21"/>
                <w:lang w:val="en-US" w:eastAsia="zh-CN"/>
              </w:rPr>
              <w:t>，水污染物主导来源为工业污染（合肥新城开发区、合肥循环经济示范园）和城镇生活；同时还涉及大气重点管控单元：高排重点管控区/布局敏感重点管控区/受体敏感重点管控区。存在问题：该区域污水处理厂尾水、城镇生活污水直排和初期雨水径流污染影响显著，沿线部分区域存在雨污合流排口以及污水直排现象，小流域综合治理工程待进一步完善。按照《关于推进大气污染联防联控工作改善区域空气质量的指导意见》（国办发〔2010〕33号），《工业炉窑大气污染综合治理方案》（大气〔2019〕56号），《打赢蓝天保卫战三年行动计划》（国发〔2018〕22号），《安徽省打赢蓝天保卫战三年行动计划实施方案》（皖政〔2018〕83号），《安徽省“十四五”节能减排实施方案》，《中华人民共和国节约能源法》，《中华人民共和国大气污染防治法》，《安徽省大气污染防治条例》修正2018年9月29日 ，《中共中央国务院 关于全面加强生态环境保护坚决打好污染防治攻坚战的意见》（2018年6月16日），《安徽省人民政府办公厅关于促进全省开发区规范管理的通知》（皖政办秘〔2019〕30号） ，安徽省环境保护条例，《皖江城市带承接产业转移示范区规划（修订）》（皖政办〔2016〕100号），《中共安徽省委安徽省人民政府关于完整准确全面贯彻新发展理念做好碳达峰碳中和工作的实施意见》、安徽省人民政府关于印发安徽省碳达峰实施方案的通知（皖政〔2022〕83号），《安徽省2022年度落后产能退出工作方案》《安徽省水污染防治工作方案》（皖政〔2015〕131号），《关于做好“三磷”建设项目环境影响评价与排污许可管理工作的通知》（环办环评﹝2019﹞65号），《安徽省“十四五”重点流域水生态环境保护规划》，《安徽省水污染防治工作方案》（皖政〔2015〕131号），《中华人民共和国水污染防治法》（2018年1月1日）（2017年6月第二次修订）《打好城市黑臭水体治理标志性战役实施方案》（皖政办秘〔2018〕270号），《安徽省水污染防治工作方案》（皖政〔2015〕131号），《打好城市黑臭水体治理标志性战役实施方案》（皖政办秘〔2018〕270号）《巢湖流域水污染防治条例》，2019年修订，《中共安徽省委、安徽省人民政府关于全面打造水清岸绿产业优美丽长江（安徽）经济带的实施意见（升级版）》（皖发〔2021〕19号），《巢湖流域水污染防治条例》，2019年修订，《中共安徽省委、安徽省人民政府关于全面打造水清岸绿产业优美丽长江（安徽）经济带的实施意见（升级版）》（皖发〔2021〕19号），《巢湖流域水污染防治条例》，2019年修订，《巢湖流域水污染防治条例》，2019年修订，《巢湖综合治理攻坚战实施方案》（皖政办〔2018〕53号），《关于建设绿色发展美丽巢湖的意见》（合发〔2017〕35号）《中共安徽省委、安徽省人民政府关于全面打造水清岸绿产业优美丽长江（安徽）经济带的实施意见（升级版）》（皖发〔2021〕19号），《关于印发安徽省长江经济带发展负面清单实施细则（试行，2022版）的通知》（皖长江办〔2022〕10号），《长江经济带发展负面清单指南》（试行，2022版）（推动长江经济带发展领导小组办公室，长江办〔2022〕7号），《长江经济带生态环境保护规划》（环规财〔2017〕88号），《关于做好“三磷”建设项目环境影响评价与排污许可管理工作的通知》（环办环评﹝2019﹞65号），《中共安徽省委、安徽省人民政府关于全面打造水清岸绿产业优美丽长江（安徽）经济带的实施意见》（皖发〔2018〕21号），[关于进一步加快推进《长江经济带发展负面清单指南（试行）》实施细则编制的通知]（推动长江经济带发展领导小组办公室函〔2019〕7号），省生态环境厅《安徽省“十四五”重点流域水生态环境保护规划》（皖环发〔2022〕17 号），《合肥市大气环境质量限期达标规划（2018-2030）》，《合肥市水污染防治工作方案》（合政〔2015〕218号），《合肥市水环境保护条例》（2018年修正），《合肥市“十四五”生态环境保护规划》（合政〔2022〕21号），《合肥市土壤污染防治工作实施方案》(合政〔2017〕45号) 《安徽省“十四五”生态环境保护规划》，《安徽省“十四五”节能减排实施方案》，《安徽省大气污染防治条例》修正2018年9月29日，《关于推进实施钢铁行业超低排放的意见》（环大气〔2019〕35号）（环大气〔2019〕35号） ，《工业炉窑大气污染综合治理方案》（大气〔2019〕56号），《重点行业挥发性有机物综合治理方案》（环大气〔2019〕53号），《打赢蓝天保卫战三年行动计划》（国发〔2018〕22号），《中共中央国务院 关于全面加强生态环境保护坚决打好污染防治攻坚战的意见》（2018年6月16日），《挥发性有机物无组织排放控制标准》（GB 37822-2019），《安徽省打赢蓝天保卫战三年行动计划实施方案》皖政〔2018〕83号），《中共安徽省委安徽省人民政府关于完整准确全面贯彻新发展理念做好碳达峰碳中和工作的实施意见》，《中共中央国务院 关于全面加强生态环境保护坚决打好污染防治攻坚战的意见》（2018年6月16日），《安徽省非煤矿山管理条例》（安徽省人民代表大会常务委员会 公告（第二十五号）），《安徽省建筑工程施工和预拌混凝土生产扬尘污染防治标准》（试行）（建管函〔2019〕50号） 《安徽省“十四五”生态环境保护规划》《安徽省“十四五”重点流域水生态环境保护规划》，《关于做好“三磷”建设项目环境影响评价与排污许可管理工作的通知》（环办环评﹝2019﹞65号）《安徽省“十四五”生态环境保护规划》《巢湖综合治理攻坚战实施方案》（皖政办〔2018〕53号）参照：《中共安徽省委、安徽省人民政府关于全面打造水清岸绿产业优美丽长江（安徽）经济带的实施意见（升级版）》（皖发〔2021〕19号），原文件已过期。参照：省生态环境厅《安徽省“十四五”重点流域水生态环境保护规划》（皖环发〔2022〕17 号），《关于加强长江经济带工业绿色发展的指导意见》(工信部联节〔2017〕178号)，《中共安徽省委、安徽省人民政府关于全面打造水清岸绿产业优美丽长江（安徽）经济带的实施意见（升级版）》（皖发〔2021〕19号）《合肥市“十四五”生态环境保护规划》（合政〔2022〕21号） 《安徽省“十四五”生态环境保护规划》，《安徽省打赢蓝天保卫战三年行动计划实施方案》皖政〔2018〕83号），安徽省人民政府关于印发安徽省碳达峰实施方案的通知（皖政〔2022〕83号）《安徽省水利发展“十四五”规划》《安徽省“十四五”节水型社会建设规划》要求执行 《国家节水行动方案》（发改环资规〔2019〕695号），《安徽省人民政府办公厅关于进一步加强地下水管理和保护工作的通知》（皖政办秘〔2016〕30号），《安徽省人民政府关于印发安徽省水污染防治工作方案的通知》（皖政〔2015〕131号），《安徽省人民政府关于实行最严格水资源管理制度的意见》（皖政〔2013〕15号），《安徽省节约用水条例》安徽省人民代表大会常务委员会公告（第二十九号）《安徽省国土空间规划（2021—2035年）》（报批稿），《安徽省实施《中华人民共和国固体废物污染环境防治法》办法》，《中华人民共和国土地管理法》（2019年修正），《中华人民共和国土地管理法实施条例》（2014年修订），《土地复垦条例实施办法》（2013年3月1日起施行），《退耕还林条例》(2016修订)国务院令第666号，《自然保护区土地管理办法》国土法字〔1995〕第117号，《安徽省主体功能区规划》（皖政〔2013〕82号），《安徽省土地利用总体规划（2006-2020年）》《安徽省打赢蓝天保卫战三年行动计划实施方案》皖政〔2018〕83号），《安徽省大气污染防治条例》（修正2018年9月29日），《安徽省“十四五”节能减排实施方案》《产业结构调整指导目录（2019年本）》，《绿色产业指导目录（2019年版）》0000000《合肥市“十四五”生态环境保护规划》（合政〔2022〕21号）《合肥市大气环境质量限期达标规划（2018-2030）》，《合肥市2021年应对气候变化和大气污染防治重点工作内容》（合达办〔2021〕4号）《合肥市城区禁止燃放烟花爆竹管理工作实施方案》（合政办秘〔2017〕190号），《关于划定高污染燃料禁燃区的通告》（合政〔2014〕58号），《合肥市生态环境局关于印发2023年秸秆禁烧执法工作实施方案的通知》（合环执法〔2023〕23号）《巢湖流域农业面源污染治理实施方案（2022—2025年）》（合农工组〔2022〕5号），《合肥市“十四五”生态环境保护规划》（合政〔2022〕21号）《合肥市国土空间总体规划》（2021-2035年）</w:t>
            </w:r>
            <w:r>
              <w:rPr>
                <w:rFonts w:hint="eastAsia"/>
                <w:sz w:val="21"/>
                <w:szCs w:val="21"/>
                <w:lang w:val="en-US" w:eastAsia="zh-CN"/>
              </w:rPr>
              <w:t>。</w:t>
            </w:r>
          </w:p>
        </w:tc>
        <w:tc>
          <w:tcPr>
            <w:tcW w:w="1460" w:type="pct"/>
            <w:shd w:val="clear" w:color="auto" w:fill="auto"/>
            <w:vAlign w:val="center"/>
          </w:tcPr>
          <w:p w14:paraId="73409BF1">
            <w:pPr>
              <w:bidi w:val="0"/>
              <w:spacing w:line="240" w:lineRule="auto"/>
              <w:jc w:val="center"/>
              <w:rPr>
                <w:rFonts w:hint="default"/>
                <w:sz w:val="21"/>
                <w:szCs w:val="21"/>
                <w:lang w:val="en-US" w:eastAsia="zh-CN"/>
              </w:rPr>
            </w:pPr>
            <w:r>
              <w:rPr>
                <w:rFonts w:hint="eastAsia"/>
                <w:sz w:val="21"/>
                <w:szCs w:val="21"/>
                <w:lang w:val="en-US" w:eastAsia="zh-CN"/>
              </w:rPr>
              <w:t>本次技改项目位于</w:t>
            </w:r>
            <w:r>
              <w:rPr>
                <w:rFonts w:hint="default"/>
                <w:sz w:val="21"/>
                <w:szCs w:val="21"/>
                <w:lang w:val="en-US" w:eastAsia="zh-CN"/>
              </w:rPr>
              <w:t>合肥循环经济示范园龙兴大道与乳泉路交口东北角安徽晶科能源有限公司</w:t>
            </w:r>
            <w:r>
              <w:rPr>
                <w:rFonts w:hint="eastAsia"/>
                <w:sz w:val="21"/>
                <w:szCs w:val="21"/>
                <w:lang w:val="en-US" w:eastAsia="zh-CN"/>
              </w:rPr>
              <w:t>现有厂区内</w:t>
            </w:r>
            <w:r>
              <w:rPr>
                <w:sz w:val="21"/>
                <w:szCs w:val="21"/>
              </w:rPr>
              <w:t>，</w:t>
            </w:r>
            <w:r>
              <w:rPr>
                <w:rFonts w:hint="eastAsia"/>
                <w:sz w:val="21"/>
                <w:szCs w:val="21"/>
              </w:rPr>
              <w:t>严格落实</w:t>
            </w:r>
            <w:r>
              <w:rPr>
                <w:sz w:val="21"/>
                <w:szCs w:val="21"/>
              </w:rPr>
              <w:t>工业水污染重点管控区</w:t>
            </w:r>
            <w:r>
              <w:rPr>
                <w:rFonts w:hint="eastAsia"/>
                <w:sz w:val="21"/>
                <w:szCs w:val="21"/>
              </w:rPr>
              <w:t>、大气高排放重点管控区要求；</w:t>
            </w:r>
            <w:r>
              <w:rPr>
                <w:rFonts w:hint="eastAsia"/>
                <w:sz w:val="21"/>
                <w:szCs w:val="21"/>
                <w:lang w:val="en-US" w:eastAsia="zh-CN"/>
              </w:rPr>
              <w:t>本次技改项目新增废水依托厂区现有污水处理设施处理</w:t>
            </w:r>
            <w:r>
              <w:rPr>
                <w:rFonts w:hint="eastAsia"/>
                <w:sz w:val="21"/>
                <w:szCs w:val="21"/>
              </w:rPr>
              <w:t>达标后，接管至合肥循环经济示范园第二污水处理厂进一步深度处理后达标后排入店埠河，不会降低现有地表水环境质量。项目所在地</w:t>
            </w:r>
            <w:r>
              <w:rPr>
                <w:rFonts w:hint="eastAsia"/>
                <w:sz w:val="21"/>
                <w:szCs w:val="21"/>
                <w:lang w:val="en-US" w:eastAsia="zh-CN"/>
              </w:rPr>
              <w:t>合肥</w:t>
            </w:r>
            <w:r>
              <w:rPr>
                <w:rFonts w:hint="eastAsia"/>
                <w:sz w:val="21"/>
                <w:szCs w:val="21"/>
              </w:rPr>
              <w:t>市大气环境质量为达标区，项目采取废气污染物防治措施均满足《排污许可证申请与核发技术规范</w:t>
            </w:r>
            <w:r>
              <w:rPr>
                <w:rFonts w:hint="eastAsia"/>
                <w:sz w:val="21"/>
                <w:szCs w:val="21"/>
                <w:lang w:val="en-US" w:eastAsia="zh-CN"/>
              </w:rPr>
              <w:t xml:space="preserve"> </w:t>
            </w:r>
            <w:r>
              <w:rPr>
                <w:rFonts w:hint="eastAsia"/>
                <w:sz w:val="21"/>
                <w:szCs w:val="21"/>
              </w:rPr>
              <w:t>电池工业》（HJ967-2018）要求，能够实现达标排放，经预测考虑削减源影响后，项目建设不会降低现有大气环境质量。项目固废严格按照要求进行规范</w:t>
            </w:r>
            <w:r>
              <w:rPr>
                <w:rFonts w:hint="eastAsia"/>
                <w:sz w:val="21"/>
                <w:szCs w:val="21"/>
                <w:lang w:val="en-US" w:eastAsia="zh-CN"/>
              </w:rPr>
              <w:t>暂存和</w:t>
            </w:r>
            <w:r>
              <w:rPr>
                <w:rFonts w:hint="eastAsia"/>
                <w:sz w:val="21"/>
                <w:szCs w:val="21"/>
              </w:rPr>
              <w:t>处置，重点区域采取分区防渗措施，切断对地下水、土壤的污染途径。因此项目能够满足</w:t>
            </w:r>
            <w:r>
              <w:rPr>
                <w:sz w:val="21"/>
                <w:szCs w:val="21"/>
              </w:rPr>
              <w:t>分区管控要求</w:t>
            </w:r>
            <w:r>
              <w:rPr>
                <w:rFonts w:hint="eastAsia"/>
                <w:sz w:val="21"/>
                <w:szCs w:val="21"/>
              </w:rPr>
              <w:t>。</w:t>
            </w:r>
          </w:p>
        </w:tc>
      </w:tr>
      <w:tr w14:paraId="1B538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25F36DA9">
            <w:pPr>
              <w:bidi w:val="0"/>
              <w:spacing w:line="240" w:lineRule="auto"/>
              <w:jc w:val="center"/>
              <w:rPr>
                <w:rFonts w:hint="default"/>
                <w:sz w:val="21"/>
                <w:szCs w:val="21"/>
                <w:lang w:val="en-US" w:eastAsia="zh-CN"/>
              </w:rPr>
            </w:pPr>
            <w:r>
              <w:rPr>
                <w:rFonts w:hint="default"/>
                <w:sz w:val="21"/>
                <w:szCs w:val="21"/>
                <w:lang w:val="en-US" w:eastAsia="zh-CN"/>
              </w:rPr>
              <w:t>空间布局约束</w:t>
            </w:r>
          </w:p>
        </w:tc>
        <w:tc>
          <w:tcPr>
            <w:tcW w:w="2970" w:type="pct"/>
            <w:vAlign w:val="center"/>
          </w:tcPr>
          <w:p w14:paraId="35A3622F">
            <w:pPr>
              <w:bidi w:val="0"/>
              <w:spacing w:line="240" w:lineRule="auto"/>
              <w:jc w:val="center"/>
              <w:rPr>
                <w:rFonts w:hint="default"/>
                <w:sz w:val="21"/>
                <w:szCs w:val="21"/>
                <w:lang w:val="en-US" w:eastAsia="zh-CN"/>
              </w:rPr>
            </w:pPr>
            <w:r>
              <w:rPr>
                <w:rFonts w:hint="default"/>
                <w:sz w:val="21"/>
                <w:szCs w:val="21"/>
                <w:lang w:val="en-US" w:eastAsia="zh-CN"/>
              </w:rPr>
              <w:t>禁止开发建设活动的要求:1在城市城区及其近郊禁止新建、扩建钢铁、有色、石化、水泥、化工等重污染企业。 2禁止新建燃料类煤气发生炉（园区现有企业统一建设的清洁煤制气中心除外）。 3严禁新增钢铁、焦化、电解铝、铸造、水泥和平板玻璃等产能；严格执行钢铁、水泥、平板玻璃等行业产能置换实施办法。 4严格执行国家关于“两高”产业准入目录和产能总量控制政策措施。严禁新增钢铁、焦化、电解铝、铸造、水泥和平板玻璃等产能；新、改、扩建涉及大宗物料运输的建设项目，原则上不得采用公路运输。 7非电行业新建项目，禁止配套建设自备纯凝、抽凝燃煤电站。 8在城市建成区及居民区、医院、学校等环境敏感区域，严禁现场露天灰土拌合。 9严格控制新增“两高”项目审批，认真分析评估拟建项目必要性、可行性和对产业高质量发展、能耗双控、碳排放和环境质量的影响，严格审查项目是否符合产业政策、产业规划、“三线一单”、规划环评要求，是否依法依规落实产能置换、能耗置换、煤炭消费减量替代、污染物排放区域削减等要求。对已建成投产的存量“两高”项目，有节能减排潜力的加快改造升级，属于落后产能的加快淘汰。 10禁止建设生产和使用高挥发性有机物含量涂料、油墨、胶粘剂、清洗剂等项目。 11禁止新建不符合国家规定的燃煤发电机组、燃油发电机组和燃煤热电机组。 12禁止新建、扩建分散燃煤供热锅炉。 13在城市规划区内禁止新建、扩建大气污染严重的建设项目。 14禁止高灰分、高硫分煤炭进入市场。新建煤矿应当同步建设煤炭洗选设施，已建成的煤矿所采煤炭属于高灰分、高硫分的，应当在国家和省规定的期限内建成配套的煤炭洗选设施，使煤炭中的灰分、硫分达到规定的标准。 15禁止在人口集中地区、机场周围、交通干线附近以及当地人民政府划定的区域露天焚烧秸秆、落叶、垃圾等产生烟尘污染的物质。 16在燃气管网和集中供热管网覆盖的区域，不得新建、扩建、改建燃烧煤炭、重油、渣油的供热设施；原有分散的中小型燃煤供热锅炉应当限期拆除。 17禁止在居民住宅楼、未配套设立专用烟道的商住综合楼、商住综合楼内与居住层相邻的商业楼层内新建、改建、扩建产生油烟、异味、废气的饮食服务项目。 18任何单位和个人不得在政府划定的禁止露天烧烤区域内露天烧烤食品或者为露天烧烤食品提供场地。 19在机关、学校、医院、居民住宅区等人口集中地区和其他依法需要特殊保护的区域内，禁止从事下列生产活动： （1）橡胶制品生产、经营性喷漆、制骨胶、制骨粉、屠宰、畜禽养殖、生物发酵等产生恶臭、有毒有害气体的生产经营活动； （2）露天焚烧油毡、沥青、橡胶、塑料、皮革、垃圾或者其他可能产生恶臭、有毒有害气体的活动。 20严禁钢铁、水泥、电解铝、平板玻璃等行业新增产能，对确有必要新建的必须实施等量或减量置换。 21禁止淘汰落后类的产业进入开发区。 22从事餐饮服务业的经营活动，不得有下列行为： （一）未经处理直接排放、倾倒废弃油脂和含油废物；（二）在居民住宅楼、未配套设立专用烟道的商住综合楼以及商住综合楼内与居住层相邻的商业楼层内新建、改建、扩建产生油烟、异味、废气的餐饮服务项目；（三）在当地人民政府禁止的区域内露天烧烤食品或者为露天烧烤食品提供场所。 限制开发建设活动的要求:23加大钢铁、铸造、炼焦、建材、电解铝等产能压减力度。 24严格资源节约和环保准入门槛，转入项目必须符合国家产业政策、资源节约和污染物排放强度要求，避免产业转移中的资源浪费和污染扩散。 25对污染治理不规范的露天矿山，依法责令停产整治，整治完成并经相关部门组织验收合格后方可恢复生产。 26加大落后产能淘汰和过剩产能压减力度。严防“地条钢”死灰复燃。 27 28重点区域钢铁、水泥、焦化、石化、化工、有色等行业，二氧化硫、氮氧化物、颗粒物、挥发性有机物（VOCs）排放全面执行大气污染物特别排放限值。 29加大工业涂装、包装印刷等行业低挥发性有机物含量原辅材料替代力度，严格执行涂料、油墨、胶粘剂、清洗剂挥发性有机物含量限值标准，确保生产、销售、进口、使用符合标准的产品。 30严格合理控制煤炭消费增长，大气污染防治重点区域内新建、改扩建用煤项目严格实施煤炭消费等量或减量替代。 31推动钢铁行业碳达峰。严格执行产能置换，严禁新增产能，依法依规淘汰落后产能。 32优化产能规模和布局，引导化工企业向产业园区转移，提高集聚发展水平。 不符合空间布局要求活动的退出要求:33加快城市建成区、重点流域的重污染企业和危险化学品企业搬迁改造，加快推进危险化学品生产企业搬迁改造工程。 34对城区内已建重污染企业要结合产业结构调整实施搬迁改造。 35城市规划区内已建的大气污染严重的建设项目应当搬迁、改造，城市建成区应当在规定的时间内完成重污染企业搬迁、改造或者关闭退出。 36严格执行环境保护法律法规，对超过大气和水等污染物排放标准排污，以及超过重点污染物总量控制指标排污的企业，责令限制生产、停产整治等；情节严重的，报经有批准权的地方政府批准，责令停业、关闭。依法打击违反固体废物管理法律法规行为。 37加快区域产业调整。加快城市建成区重污染企业搬迁改造或关闭退出；城市钢铁企业要切实采取彻底关停、转型发展、就地改造、域外搬迁等方式，推动转型升级。加大现有化工园区整治力度。退城企业，逾期不退城的予以停产。 38对不服从整改的餐饮企业，责令停业整治。依法关闭市、县（区）人民政府禁止区域内的露天餐饮、烧烤摊点，推广无炭烧烤。 39对违反资源环境法律法规、规划，污染环境、破坏生态、乱采滥挖的露天矿山，依法予以关闭；对污染治理不规范的露天矿山，依法责令停产整治，对拒不停产或擅自恢复生产的依法强制关闭。 40对热效率低下、敞开未封闭，装备简易落后、自动化程度低，无组织排放突出，以及无治理设施或治理设施工艺落后等严重污染环境的工业炉窑，依法责令停业关闭。 41对以煤、石油焦、渣油、重油等为燃料的工业炉窑，加快使用清洁低碳能源以及利用工厂余热、电厂热力等进行替代。重点区域禁止掺烧高硫石油焦（硫含量大于3%）。玻璃行业全面禁止掺烧高硫石油焦。 42重点区域取缔燃煤热风炉，基本淘汰热电联产供热管网覆盖范围内的燃煤加热、烘干炉（窑）。加快推动铸造（10吨/小时及以下）、岩棉等行业冲天炉改为电炉。 43严格执行水泥熟料、平板玻璃产能置换要求，实施水泥常态化错峰生产，有序退出低效产能。推进燃煤窑炉清洁能源替代，逐步淘汰钢铁企业煤气发生炉。 其他空间布局约束要求:44强化“散乱污”企业综合整治。全面开展“散乱污”企业及集群综合整治行动。根据产业政策、产业布局规划，以及土地、环保、质量、安全、能耗等要求，制定“散乱污”企业及集群整治标准。按照“先停后治”的原则，实施分类处置。 45企业应当全面推进清洁生产，优先采用能源和原材料利用效率高、污染物排放量少的清洁生产技术、工艺和设备，淘汰严重污染大气环境质量的产品、落后工艺和落后设备，减少大气污染物的产生和排放。1严格城市规划蓝线管理，城市规划区范围内应保留一定比例的水域面积，现有水域面积不得减少。新建项目一律不得违规占用水域。 2落实磷石膏综合利用途径，综合利用不畅的可利用现有磷石膏库堆存，不得新建、扩建磷石膏库(暂存场除外)。 3坚持以水定城、以水定地、以水定人、以水定产，严格控制缺水地区、水污染严重地区和敏感区域高耗水、高污染行业发展，鼓励推动高耗水企业向水资源条件允许的工业园区集中。 4引导石化、化工、钢铁、建材、有色金属等重点行业合理布局，提高化工、有色金属、农副食品加工、印染、制革、原料药制造、电镀等行业集聚水平。 5严格控制缺水地区、水污染严重地区和敏感区域高耗水、高污染行业发展，鼓励推动高耗水企业向水资源条件允许的工业园区集中。 6新建、扩建磷化工项目应布设在依法合规设立的化工园区或具有化工定位的产业园区内，所在化工园区或产业园区应依法开展规划环境影响评价工作，磷化工建设项目应符合园区规划及规划环评要求。 7持续开展涉水“散乱污”企业 清理整治，严把能耗、环保等标准，促使一批达不到标准或淘汰类产能的企业，依法依规关停退出。 8推动污染企业退出。城市建成区内现有钢铁、有色金属、造纸、印染、原料药制造、化工等污染较重的企业应有序搬迁改造或依法关闭。 9严格水域岸线用途管制，土地开发利用应按照有关法律法规和技术标准要求，留足河道、湖泊的管理和保护范围，非法挤占的应限期退出。 10国家禁止新建不符合国家产业政策的小型造纸、制革、印染、染料、炼焦、炼硫、炼砷、炼汞、炼油、电镀、农药、石棉、水泥、玻璃、钢铁、火电以及其他严重污染水环境的生产项目。1查明河道两岸和水体周边所有排污口，对污水直排的排污口实施截污纳管，实现旱季污水不入河。严格实施排污许可和排水许可制度，加强入河排污口监督监测。加强对小餐饮、理发店、洗车店等排污的执法管理，加大对乱排、偷排行为的整治和处罚力度。 2城市建成区排放污水的工业企业应依法持有排污许可证，并严格按证排污。排入城镇水体的工业污水应符合相关行业标准及地方标准要求，严禁任何企业、单位超标和超总量排污，对超标或超总量的排污单位一律限制生产或停产整顿。 3科学确定城市河道疏浚范围和清淤深度，妥善处理底泥，严禁清淤底泥沿岸随意堆放或作为水体治理工程回填土，防止二次污染。 4严肃执法监督，严格执行排污许可、排水许可制度，严禁生活污水和工业废水直排水体。严防道路冲洗污水、洗车冲洗污水、餐饮泔水、施工排水等污水进入雨水口。 5积极推行低影响开发建设模式，建设滞、渗、蓄、用、排相结合的雨水收集利用设施，加快海绵城市建设。新建城区可渗透地面占总硬化地面面积比例要达到40%以上。 6加快对河道两岸违法建设的清理。对河道湖泊绿线范围内的岸线进行排查、清理，重点治理河湖水域岸线乱建、乱占行为。对硬质驳岸的非行洪河道、渠道，有计</w:t>
            </w:r>
            <w:r>
              <w:rPr>
                <w:rFonts w:hint="default"/>
                <w:sz w:val="21"/>
                <w:szCs w:val="21"/>
                <w:lang w:val="en-US" w:eastAsia="zh-CN"/>
              </w:rPr>
              <w:t>划实施生态修复与改造。禁止开发建设活动的要求：巢湖流域水环境一、二、三级保护区内禁止下列行为：（1）新建化学制浆造纸企业；（2）禁止新建制革、化工、印染、电镀、酿造、水泥、石棉、玻璃等水污染严重的小型项目；（3）禁止销售、使用含磷洗涤用品；（4）围湖造田；（5）法律、法规禁止的其他行为。巢湖流域水环境一、二级保护区内除需执行三级保护区相关规定外，还需禁止下列行为：（1）新建、扩建制革、化工、印染、电镀、酿造、水泥、石棉、玻璃等水污染严重的项目；（2）新建、扩建除污水集中处理设施排污口以外的排污口。巢湖流域水环境一级保护区除需执行二级、三级保护区相关规定外，还需禁止下列行为：（1）新建、扩建排放水污染物的建设项目；（2）运输国家规定禁止通过内河运输的剧毒化学品以及其他危险化学品；（3）设置剧毒物质、危险化学品的贮存、输送设施；（4）从事网围、网箱养殖；（5）利用机械吸螺、底拖网等进行捕捞作业；（6）设立畜禽养殖场；（7）从事水上餐饮经营；（8）开垦、围垦、填埋等改变湿地用途或者占用湿地；（9）法律、法规禁止的其他可能污染水质的活动。 巢湖岸线1公里范围内，严禁新（改、扩）建尾矿库。 限制开发建设活动的要求：严格限制在水环境三级保护区内新建制革、化工、印染、电镀、酿造、水泥、石棉、玻璃等水污染严重的大中型项目；确需新建的，应当事先报经省人民政府生态环境主管部门同意。其中，排放含氮、磷等污染物的项目，按照不低于该项目氮、磷等重点水污染物年排放总量指标，实行减量替代。加强水产养殖全过程管理，严格控制抗生素过度使用，养殖尾水禁止直排入河（湖），环巢湖规模水产养殖尾水实现有效处理或循环利用。 不符合空间布局要求活动的退出要求：合肥市人民政府应当采取措施，明确期限，拆除水环境一级保护区内现有排放水污染物的生产项目。 其他空间布局约束要求：在巢湖湖体开展水上旅游、水上运动、水上经营等开发利用活动，不得污染水质。有关部门在批准前，应当征求省巢湖管理局的意见。水环境一级保护区内的建设项目不得缩小水域或者滩涂面积。因建设水生态环境治理与保护、防洪、抗旱、供水、道路、航道整治工程和项目以及由省人民政府报经国家批准的重大工程和项目确需占用的，应当科学论证，经省人民政府水行政主管部门同意后，报省人民政府批准，并同时兴建等效替代工程或者采取其他功能补救措施。在水环境一级保护区内因保护需要建设环湖湿地、环湖景观林带、污染治理项目等，应当经省巢湖管理局审查后，依法办理相关手续。对巢湖流域产业和项目布局实行最严格的规划管控，出台巢湖流域氮磷总量控制方案，严守生态功能保障基线、环境质量安全底线、自然资源利用上线。在有条件的一、二级保护区依法依规实施退耕还湿、还林、还湖工程。三级保护区积极争取国家政策支持，依法依规有序推进耕地轮作休耕。 限制开发建设活动的要求：严格限制在水环境三级保护区内新建制革、化工、印染、电镀、酿造、水泥、石棉、玻璃等水污染严重的大中型项目；确需新建的，应当事先报经省人民政府生态环境主管部门同意。其中，排放含氮、磷等污染物的项目，按照不低于该项目氮、磷等重点水污染物年排放总量指标，实行减量替代。加强水产养殖全过程管理，严格控制抗生素过度使用，养殖尾水禁止直排入河（湖），环巢湖规模水产养殖尾水实现有效处理或循环利用。 不符合空间布局要求活动的退出要求：合肥市人民政府应当采取措施，明确期限，拆除水环境一级保护区内现有排放水污染物的生产项目。 其他空间布局约束要求：在巢湖湖体开展水上旅游、水上运动、水上经营等开发利用活动，不得污染水质。有关部门在批准前，应当征求省巢湖管理局的意见。水环境一级保护区内的建设项目不得缩小水域或者滩涂面积。因建设水生态环境治理与保护、防洪、抗旱、供水、道路、航道整治工程和项目以及由省人民政府报经国家批准的重大工程和项目确需占用的，应当科学论证，经省人民政府水行政主管部门同意后，报省人民政府批准，并同时兴建等效替代工程或者采取其他功能补救措施。在水环境一级保护区内因保护需要建设环湖湿地、环湖景观林带、污染治理项目等，应当经省巢湖管理局审查后，依法办理相关手续。对巢湖流域产业和项目布局实行最严格的规划管控，出台巢湖流域氮磷总量控制方案，严守生态功能保障基线、环境质量安全底线、自然资源利用上线。在有条件的一、二级保护区依法依规实施退耕还湿、还林、还湖工程。三级保护区积极争取国家政策支持，依法依规有序推进耕地轮作休耕。 禁止开发建设活动的要求：禁止在长江（安徽段）干支流一公里范围内新建、扩建化工园区和化工项目。已批未开工的项目，依法停止建设，支持重新选址。已经开工建设的项目，严格进行检查评估，不符合岸线规划和环保、安全要求的，全部依法依规停建搬迁。 禁止在长江干流岸线三公里范围内和主要支流岸线一公里范围内新建、改建、扩建尾矿库、冶炼渣库和磷石膏库，以提升安全、生态环境保护水平为目的的改建除外。 长江干流岸线5公里范围内严禁新建布局重化工园区。合规化工园区内，严禁新批环境基础设施不完善或长期不能稳定运行的企业新建和扩建化工项目。 长江干流岸线15公里范围内，严把各类项目准入门槛，严格执行环境保护标准，把主要污染物和重点重金属排放总量控制目标作为新（改、扩）建项目环评审批的前置条件，禁止建设没有环境容量和减排总量项目。 （1）禁止建设不符合全国和省级港口布局规划以及港口总体规划的码头项目，禁止建设不符合《长江干线过江通道布局规划》的过长江通道项目。 （2）禁止在自然保护区核心区、缓冲区的岸线和河段范围内投资建设旅游和生产经营项目。禁止在风景名胜区核心景区的岸线和河段范围内投资建设与风景名胜资源保护无关的项目。 （3）禁止在饮用水水源一级保护区的岸线和河段范围内新建、改建、扩建与供水设施和保护水源无关的项目，以及网箱养殖、畜禽养殖、旅游等可能污染饮用水水体的投资建设项目。禁止在饮用水水源二级保护区的岸线和河段范围内新建、改建、扩建排放污染物的投资建设项目。且禁止或者限制使用含磷洗涤剂、化肥、农药以及限制种植养殖等措施。 （4）禁止在水产种质资源保护区的岸线和河段范围内新建围湖造田、围海造地或围填海等投资建设项目。禁止在国家湿地公园的岸线和河段范围内挖沙、采矿，以及任何不符合主体功能定位的投资建设项目。 （5）禁止违法利用、占用长江流域河湖岸线。禁止在《长江岸线保护和开发利用总体规划》划定的岸线保护区和保留区内投资建设除事关公共安全及公众利益的防洪护岸、河道治理、供水、生态环境保护、航道整治、国家重要基础设施以外的项目。禁止在《全国重要江河湖泊水功能区划》划定的河段及湖泊保护区、保留区内投资建设不利于水资源及自然生态保护的项目。 （6）禁止在长江干支流、重要湖泊岸线一公里范围内新建、扩建化工园区和化工项目。禁止在长江干流岸线三公里范围内和重要支流岸线一公里范围内新建、改建、扩建尾矿库、冶炼渣库和磷石膏库，以提升安全、生态环境保护水平为目的的改建除外。 （7）禁止在合规园区外新建、扩建钢铁、石化、化工、焦化、建材、有色、制浆造纸等高污染项目。 （8）禁止新建、扩建不符合国家石化、现代煤化工等产业布局规划的项目。 （9）禁止新建、扩建法律法规和相关政策明令禁止的落后产能项目。禁止新建、扩建不符合国家产能置换要求的严重过剩产能行业的项目。禁止新建、扩建不符合要求的高耗能高排放项目。 （10）法律法规及相关政策文件有更加严格规定的从其规定。 严禁毒鱼、电鱼等严重威胁珍稀鱼类资源的活动。严厉打击河道和湖泊非法采砂，加强对航道疏浚、城镇建设、岸线利用等涉水活动的规范管理。 禁止在长江干流安徽段及华阳河、水阳江、皖河、青弋江、漳河、滁河干流以及菜子湖（包括白兔湖、嬉子湖、长河）、巢湖（包括巢湖主体、裕溪河）等 8 个主要支流和 44个全面禁捕水生生物保护区开展生产性捕捞。 禁止建设不符合全国和省港口布局规划以及港口总体规划的码头项目。码头建设项目需要使用港口岸线的，项目单位应当按照国家和省港口岸线使用管理相关规定，办理港口岸线使用手续。未取得港口岸线使用许可的，不得开工建设。禁止建设不符合国家《长江干线过江通道布局规划》的过江通道项目。 禁止在自然保护区核心区、缓冲区的岸线和河段范围内投资建设旅游和生产经营项目；禁止违反风景名胜区规划，在风景名胜区的岸线和河段范围内设立各类开发区，在核心景区的岸线和河段范围内建设与风景名胜资源保护无关的项目。 禁止在饮用水水源一级保护区的岸线和河段范围内新建、改建、扩建与供水设施和保护水源无关的建设项目，禁止从事网箱养殖、畜禽养殖、施用化肥农药的种植以及旅游等可能污染饮用水水体的投资建设项目，禁止设立工业废渣、生活垃圾及其他废弃物堆场，禁止设置排污口。禁止在饮用水水源二级保护区的岸线和河段范围内新建、改建、扩建排放污染物的项目，禁止设置排污口。 禁止在水产种质资源保护区的岸线和河段范围内新建围湖（河）造田（地）等项目。 除国家另有规定外，禁止在国家湿地公园的岸线和河段范围内挖沙、采矿，以及任何不符合主体功能定位的投资建设项目。 禁止止违法利用、占用长江流域河湖岸线。 禁止在《长江岸线保护和开发利用总体规划》划定的岸线保护区和保留区内投资建设除事关公共安全及公共利益的防洪护岸、河道治理、供水、生态环境保护、航道整治、国家重要基础设施以外的项目。禁止在《全国重要江河湖泊水功能区划》划定的河段及湖泊保护区、保留区内投资建设不利于水资源及自然生态保护的项目。禁止未经许可在长江（安徽段）干支流、湖泊新设、改设或扩大排污口。禁止在合规园区外新建、扩建钢铁、石化、化工、焦化、建材、有色、制浆造纸等高污染项目。禁止新建、扩建不符合国家石化、现代煤化工等产业布局规划的项目。禁止新建、扩建法律法规和相关政策明令禁止的落后产能项目。严格执行国家《产业结构调</w:t>
            </w:r>
            <w:r>
              <w:rPr>
                <w:rFonts w:hint="default"/>
                <w:sz w:val="21"/>
                <w:szCs w:val="21"/>
                <w:lang w:val="en-US" w:eastAsia="zh-CN"/>
              </w:rPr>
              <w:t>整指导目录》淘汰类和限制类有关规定，禁止投资建设属于淘汰类的项目，禁止投资新建属于限制类的项目。对属于限制类的现有生产能力，允许企业在一定期限内采取措施改造升级。禁止新建、扩建不符合国家产能置换要求的严重过剩产能行业的项目。禁止新建、扩建不符合要求的高耗能高排放项目。长江干流及主要支流岸线1公里范围内禁止新建、扩建磷矿、磷化工项目。 限制开发建设活动的要求：严控5公里范围内的新建项目。实施严格的化工项目市场准入制度，除提升安全环保节能水平以及质量升级的改扩建项目外，严格控制新建石油化工和煤化工等重化工、重污染项目。长江干流岸线15公里范围内新建工业项目原则上全部进园区，其中化工项目进化工园区或主导产业为化工的开发区。严把各类项目准入门槛，严格执行环境保护标准，把主要污染物和重点重金属排放总量控制目标作为新(改、扩)建项目环评审批的前置条件。实行化肥施用定额制，加快推广生物农药，严格农药销售使用管理，依法禁限用高毒农药。对需要实施管控的重大基础设施项目，要明确有关规划依据和管控要求，如过长江干线通道项目应列入《长江干线过江通道布局规划》。长江干支流基础设施项目应按照《长江岸线保护和开发利用总体规划》和生态环境保护、岸线保护等要求，按指定开展项目前期论证并办理相关手续。推进重点领域减煤，严控新增耗煤项目，大气污染防治重点区域内新（改、扩）建项目实施煤炭消费减量替代。加强水产养殖全过程管理，严格控制抗生素过度使用，养殖尾水禁止直排入河（湖），沿江、环巢湖等地规模水产养殖尾水实现有效处理或循环利用。 不符合空间布局要求活动的退出要求：长江（安徽段）干支流一公里范围内已批未开工的项目，依法停止建设，支持重新选址。已经开工建设的项目，严格进行检查评估，不符合岸线规划和环保、安全要求的，全部依法依规停建搬迁。长江干流岸线5公里范围内的重化工企业，经评估认定，难以就地改造提标的，依法依规搬入合规园区；在建重化工项目，难以整改达标必须搬迁的，全部依法依规搬入合规园区。持续开展“散乱污”企业清理整治，对不符合产业政策和规划布局、未办理相关审批手续、不能稳定达标排放以及存在其他违法违规行为的企业，分类实施关停取缔、整合搬迁、整改提升等措施。对关停取缔类企业，按照“两断三清”标准整治到位。对整改提升类企业，按照“一企一案”要求实现污染防治设施稳定运行、达标排放。以钢铁、煤炭、水泥、平板玻璃等行业为重点，严把能耗、环保、质量、安全、技术等标准，严格常态化执法，促使一批达不到标准和生产不合格产品或淘汰类产能的企业，依法依规关停退出。沿江5公里范围内，25度以上坡耕地一律依法依规退耕还林还草，实现植被全覆盖。 其他空间布局约束要求：强化对水源周边可能影响水源安全的制药、化工、造纸、采选、制革、印染、电镀、农药等重点行业企业的执法监管。防范化解沿江水环境风险，优化沿江企业和码头布局，加快重污染企业搬迁改造和关闭退出，严格储存、装卸危险化学品港口建设项目审批管理。长江流域地方生态环境部门对长江“三磷”专项排查整治行动中要求关停取缔的“三磷”企业不予核发排污许可证，已经核发的应依法注销排污许可证;对纳入规范整治且已核发排污许可证的企业，督促其完成整改并执行排污许可证相关要求。禁止：市区及各县（市）建成区严禁使用农用车运输土石方和货料。 在巢湖湖区、引江济淮沿线、饮用水源及输水通道、水质良好湖泊、国家重点考核河流等区域禁止围网投饵养殖。禁止没有加装生活污水处理装置的船舶在合裕线航行；到2020年，全面禁止没有加装生活污水处理装置的船舶在合肥市所有通航水域航行。 限制：严格控制燃煤机组新增装机规模，新增用电量主要依靠区域内非化石能源发电和外送电满足。 对超过重点水污染物排放总量控制指标或者未完成水环境质量改善目标的区域，市、县(市)区人民政府环境保护行政主管部门应当依法暂停审批责任区域内新增重点水污染物排放总量建设项目的环境影响评价文件。开展水上旅游、水上运动、水上经营等开发利用活动，不得影响防洪安全、污染水质、损害河道及其配套设施。有关行政部门在批准前，应当征求环境保护、水行政主管部门的意见。开发区和各类工业园区污水不能接入城镇污水集中处理设施的，应当配套建设园区污水集中处理设施。未配套建设园区污水集中处理设施的，应当限期完成建设。逾期未完成建设的，市、县（市）区环境保护行政主管部门不得审批园区内的建设项目环境影响评价文件。 退出：巩固饮用水水源保护与治理成果，推进县级水源地规范化管理，加强乡镇水源地规范化建设，完善水源保护区标志、隔离防护等风险防控设施。定期开展水源地环境巡查，严格落实网格化监管和问题排查整治三联签制度，严厉打击水源地污染行为。 其他：加强畜禽粪污综合利用，开展种养业有机结合、循环发展。对污染地块开发利用，以及在优先保护类耕地集中地区新建涉重金属重点行业企业、伴生放射性矿产利用企业等，开展风险评估。工业资源综合利用基地和示范工程，拓宽粉煤灰、炉渣、副产石膏等大宗工业固体废物综合利用渠道。推动一般工业固废处置能力建设，因地制宜采取水泥窑协同处置、制造建筑材料等方式处置固体废物</w:t>
            </w:r>
          </w:p>
        </w:tc>
        <w:tc>
          <w:tcPr>
            <w:tcW w:w="1460" w:type="pct"/>
            <w:shd w:val="clear" w:color="auto" w:fill="auto"/>
            <w:vAlign w:val="center"/>
          </w:tcPr>
          <w:p w14:paraId="3D159470">
            <w:pPr>
              <w:bidi w:val="0"/>
              <w:spacing w:line="240" w:lineRule="auto"/>
              <w:jc w:val="center"/>
              <w:rPr>
                <w:rFonts w:hint="eastAsia"/>
                <w:sz w:val="21"/>
                <w:szCs w:val="21"/>
                <w:lang w:val="en-US" w:eastAsia="zh-CN"/>
              </w:rPr>
            </w:pPr>
            <w:r>
              <w:rPr>
                <w:rFonts w:hint="eastAsia"/>
                <w:sz w:val="21"/>
                <w:szCs w:val="21"/>
                <w:lang w:val="en-US" w:eastAsia="zh-CN"/>
              </w:rPr>
              <w:t>本次技改项目位于</w:t>
            </w:r>
            <w:r>
              <w:rPr>
                <w:rFonts w:hint="default"/>
                <w:sz w:val="21"/>
                <w:szCs w:val="21"/>
                <w:lang w:val="en-US" w:eastAsia="zh-CN"/>
              </w:rPr>
              <w:t>合肥循环经济示范园龙兴大道与乳泉路交口东北角安徽晶科能源有限公司</w:t>
            </w:r>
            <w:r>
              <w:rPr>
                <w:rFonts w:hint="eastAsia"/>
                <w:sz w:val="21"/>
                <w:szCs w:val="21"/>
                <w:lang w:val="en-US" w:eastAsia="zh-CN"/>
              </w:rPr>
              <w:t>现有厂区内</w:t>
            </w:r>
            <w:r>
              <w:rPr>
                <w:sz w:val="21"/>
                <w:szCs w:val="21"/>
              </w:rPr>
              <w:t>，</w:t>
            </w:r>
            <w:r>
              <w:rPr>
                <w:rFonts w:hint="eastAsia"/>
                <w:sz w:val="21"/>
                <w:szCs w:val="21"/>
                <w:lang w:val="en-US" w:eastAsia="zh-CN"/>
              </w:rPr>
              <w:t>国民经济行业类别</w:t>
            </w:r>
            <w:r>
              <w:rPr>
                <w:sz w:val="21"/>
                <w:szCs w:val="21"/>
              </w:rPr>
              <w:t>为</w:t>
            </w:r>
            <w:r>
              <w:rPr>
                <w:rFonts w:hint="eastAsia"/>
                <w:sz w:val="21"/>
                <w:szCs w:val="21"/>
                <w:lang w:eastAsia="zh-CN"/>
              </w:rPr>
              <w:t>“</w:t>
            </w:r>
            <w:r>
              <w:rPr>
                <w:sz w:val="21"/>
                <w:szCs w:val="21"/>
              </w:rPr>
              <w:t>光伏设备及元器件制造 C3825</w:t>
            </w:r>
            <w:r>
              <w:rPr>
                <w:rFonts w:hint="eastAsia"/>
                <w:sz w:val="21"/>
                <w:szCs w:val="21"/>
                <w:lang w:eastAsia="zh-CN"/>
              </w:rPr>
              <w:t>”</w:t>
            </w:r>
            <w:r>
              <w:rPr>
                <w:sz w:val="21"/>
                <w:szCs w:val="21"/>
              </w:rPr>
              <w:t>；项目不涉及</w:t>
            </w:r>
            <w:r>
              <w:rPr>
                <w:rFonts w:hint="default"/>
                <w:sz w:val="21"/>
                <w:szCs w:val="21"/>
                <w:lang w:val="en-US" w:eastAsia="zh-CN"/>
              </w:rPr>
              <w:t>钢铁、有色、石化、水泥、化工等重污染企业</w:t>
            </w:r>
            <w:r>
              <w:rPr>
                <w:rFonts w:hint="eastAsia"/>
                <w:sz w:val="21"/>
                <w:szCs w:val="21"/>
                <w:lang w:eastAsia="zh-CN"/>
              </w:rPr>
              <w:t>；</w:t>
            </w:r>
            <w:r>
              <w:rPr>
                <w:rFonts w:hint="eastAsia"/>
                <w:sz w:val="21"/>
                <w:szCs w:val="21"/>
                <w:lang w:val="en-US" w:eastAsia="zh-CN"/>
              </w:rPr>
              <w:t>不属于“两高”以及</w:t>
            </w:r>
            <w:r>
              <w:rPr>
                <w:rFonts w:hint="eastAsia"/>
                <w:sz w:val="21"/>
                <w:szCs w:val="21"/>
              </w:rPr>
              <w:t>高耗水、高污染</w:t>
            </w:r>
            <w:r>
              <w:rPr>
                <w:rFonts w:hint="eastAsia"/>
                <w:sz w:val="21"/>
                <w:szCs w:val="21"/>
                <w:lang w:val="en-US" w:eastAsia="zh-CN"/>
              </w:rPr>
              <w:t>行业；也不属于</w:t>
            </w:r>
            <w:r>
              <w:rPr>
                <w:rFonts w:hint="eastAsia"/>
                <w:sz w:val="21"/>
                <w:szCs w:val="21"/>
              </w:rPr>
              <w:t>建设生产和使用高挥发性有机物含量涂料、油墨、胶粘剂、清洗剂等项目</w:t>
            </w:r>
            <w:r>
              <w:rPr>
                <w:rFonts w:hint="eastAsia"/>
                <w:sz w:val="21"/>
                <w:szCs w:val="21"/>
                <w:lang w:eastAsia="zh-CN"/>
              </w:rPr>
              <w:t>。</w:t>
            </w:r>
            <w:r>
              <w:rPr>
                <w:rFonts w:hint="eastAsia"/>
                <w:sz w:val="21"/>
                <w:szCs w:val="21"/>
                <w:lang w:val="en-US" w:eastAsia="zh-CN"/>
              </w:rPr>
              <w:t>项目不涉及燃煤锅炉，项目区供热依托园区供热管网。</w:t>
            </w:r>
          </w:p>
          <w:p w14:paraId="4A3A554E">
            <w:pPr>
              <w:bidi w:val="0"/>
              <w:spacing w:line="240" w:lineRule="auto"/>
              <w:jc w:val="center"/>
              <w:rPr>
                <w:rFonts w:hint="eastAsia"/>
                <w:sz w:val="21"/>
                <w:szCs w:val="21"/>
                <w:lang w:eastAsia="zh-CN"/>
              </w:rPr>
            </w:pPr>
            <w:r>
              <w:rPr>
                <w:rFonts w:hint="eastAsia"/>
                <w:sz w:val="21"/>
                <w:szCs w:val="21"/>
                <w:lang w:val="en-US" w:eastAsia="zh-CN"/>
              </w:rPr>
              <w:t>项目废气污染物执行《电池工业污染物排放标准》（GB30484-2013）表5标准中太阳能电池大气污染物的排放标准、表6企业边界大气污染物浓度限值</w:t>
            </w:r>
            <w:r>
              <w:rPr>
                <w:rFonts w:hint="eastAsia"/>
                <w:sz w:val="21"/>
                <w:szCs w:val="21"/>
                <w:lang w:eastAsia="zh-CN"/>
              </w:rPr>
              <w:t>。</w:t>
            </w:r>
          </w:p>
          <w:p w14:paraId="3D3A4425">
            <w:pPr>
              <w:bidi w:val="0"/>
              <w:spacing w:line="240" w:lineRule="auto"/>
              <w:jc w:val="center"/>
              <w:rPr>
                <w:rFonts w:hint="default"/>
                <w:sz w:val="21"/>
                <w:szCs w:val="21"/>
                <w:lang w:val="en-US" w:eastAsia="zh-CN"/>
              </w:rPr>
            </w:pPr>
            <w:r>
              <w:rPr>
                <w:rFonts w:hint="eastAsia"/>
                <w:sz w:val="21"/>
                <w:szCs w:val="21"/>
                <w:lang w:val="en-US" w:eastAsia="zh-CN"/>
              </w:rPr>
              <w:t>项目区涉及</w:t>
            </w:r>
            <w:r>
              <w:rPr>
                <w:rFonts w:hint="eastAsia"/>
                <w:sz w:val="21"/>
                <w:szCs w:val="21"/>
              </w:rPr>
              <w:t>有毒有害物质的生产装置、储罐和管道</w:t>
            </w:r>
            <w:r>
              <w:rPr>
                <w:rFonts w:hint="eastAsia"/>
                <w:sz w:val="21"/>
                <w:szCs w:val="21"/>
                <w:lang w:val="en-US" w:eastAsia="zh-CN"/>
              </w:rPr>
              <w:t>等均采取了分区防渗措施并设置了地下水和土壤污染跟踪监控措施。</w:t>
            </w:r>
          </w:p>
        </w:tc>
      </w:tr>
      <w:tr w14:paraId="6D54B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7B942513">
            <w:pPr>
              <w:bidi w:val="0"/>
              <w:spacing w:line="240" w:lineRule="auto"/>
              <w:jc w:val="center"/>
              <w:rPr>
                <w:rFonts w:hint="default"/>
                <w:sz w:val="21"/>
                <w:szCs w:val="21"/>
                <w:lang w:val="en-US" w:eastAsia="zh-CN"/>
              </w:rPr>
            </w:pPr>
            <w:r>
              <w:rPr>
                <w:rFonts w:hint="default"/>
                <w:sz w:val="21"/>
                <w:szCs w:val="21"/>
                <w:lang w:val="en-US" w:eastAsia="zh-CN"/>
              </w:rPr>
              <w:t>污染物排放管控</w:t>
            </w:r>
          </w:p>
        </w:tc>
        <w:tc>
          <w:tcPr>
            <w:tcW w:w="2970" w:type="pct"/>
            <w:vAlign w:val="center"/>
          </w:tcPr>
          <w:p w14:paraId="306D577F">
            <w:pPr>
              <w:bidi w:val="0"/>
              <w:spacing w:line="240" w:lineRule="auto"/>
              <w:jc w:val="center"/>
              <w:rPr>
                <w:rFonts w:hint="default"/>
                <w:sz w:val="21"/>
                <w:szCs w:val="21"/>
                <w:lang w:val="en-US" w:eastAsia="zh-CN"/>
              </w:rPr>
            </w:pPr>
            <w:r>
              <w:rPr>
                <w:rFonts w:hint="default"/>
                <w:sz w:val="21"/>
                <w:szCs w:val="21"/>
                <w:lang w:val="en-US" w:eastAsia="zh-CN"/>
              </w:rPr>
              <w:t>允许排放量要求:1环境空气质量持续改善， 全省细颗粒物（ PM2.5 ）浓度总体达标，基本消除重污染天气，优良天数比率进一步提升。 2化学需氧量、氨氮、氮氧化物、挥发性有机物等4项主要污染物重点工程减排量分别累计达到13.67 万吨、0.69万吨、8.3万吨、3.07万吨。 3严格合理控制煤炭消费增长，大气污染防治重点区域内新、改、扩建用煤项目实施煤炭消费等量或减量替代。重点削减非电力用煤，各市将减煤目标按年度分解落实到重点耗煤企业，实施“一企一策”减煤诊断。 4新建、改建、扩建排放重点大气污染物的项目不符合总量控制要求的，不得通过环境影响评价。 区域大气污染物削减/替代要求:5进出钢铁企业的铁精矿、煤炭、焦炭等大宗物料和产品采用铁路、水路、管道或管状带式输送机等清洁方式运输比例不低于80%；达不到的，汽车运输部分应全部采用新能源汽车或达到国六排放标准的汽车（2021年底前可采用国五排放标准的汽车）。 6对以煤、石油焦、渣油、重油等为燃料的工业炉窑，加快使用清洁低碳能源以及利用工厂余热、电厂热力等进行替代。 7推动具备条件的省级以上园区全部实施循环化改造。（责任单位：省发展改革委，配合单位：省经济和信息化厅等）推动工业园区能源系统整体优化，鼓励工业企业、园区优先使用可再生能源。推进园区电、热、冷、气等多种能源协同的综合能源项目建设。 8进一步强化区域协作机制，完善重污染天气应对和重点行业绩效分级管理体系，突出PM2.5和臭氧协同控制，加大钢铁、水泥、焦化、玻璃等行业以及工业锅炉、炉窑、移动源氮氧化物减排力度。 9全面推动挥发性有机物纳入排污许可管理。禁止建设生产和使用高挥发性有机物含量涂料、油墨、胶粘剂、清洗剂等项目。加快推进石化、化工、涂装、医药、包装印刷和油品储运销等重点行业挥发性有机物深度治理，全面提升废气收集率、治理设施同步运行率和去除率，提高水性、高固体分、无溶剂、粉末、辐射固化等低挥发性有机物含量产品的比重。加大工业涂装、包装印刷等行业低挥发性有机物含量原辅材料替代力度，严格执行涂料、油墨、胶粘剂、清洗剂挥发性有机物含量限值标准，确保生产、销售、进口、使用符合标准的产品。到2025年，溶剂型工业涂料、油墨使用比例分别降低20个、10个百分点。溶剂型胶粘剂使用量降低20%。 10实行重点排放源排放浓度与去除效率双重控制。车间或生产设施收集排放的废气，VOCs初始排放速率大于等于2千克/小时的，应加大控制力度，除确保排放浓度稳定达标外，还应实行去除效率控制，去除效率不低于80%；采用的原辅材料符合国家有关低VOCs含量产品规定的除外，有行业排放标准的按其相关规定执行。 11使用粉末、水性、高固体分、辐射固化等低VOCs含量的涂料替代溶剂型涂料。汽车制造底漆大力推广使用水性涂料，乘用车中涂、色漆大力推广使用高固体分或水性涂料，加快客车、货车等中涂、色漆改造。钢制集装箱制造在箱内、箱外、木地板涂装等工序大力推广使用水性涂料，在确保防腐蚀功能的前提下，加快推进特种集装箱采用水性涂料。木质家具制造大力推广使用水性、辐射固化、粉末等涂料和水性胶粘剂；金属家具制造大力推广使用粉末涂料；软体家具制造大力推广使用水性胶粘剂。工程机械制造大力推广使用水性、粉末和高固体分涂料。电子产品制造推广使用粉末、水性、辐射固化等涂料。 现有源提标升级改造:12污染物排放标准中有特别排放限值的标准的行业，二氧化硫、氮氧化物、颗粒物、挥发性有机物（VOCs）全面执行大气污染物特别排放限值。已核发排污许可证的，应严格执行许可要求。 13对国家级新区、工业园区、高新区等进行集中整治，限期进行达标改造。 14按《挥发性有机物无组织排放控制标准》（GB 37822-2019）要求，做好VOCs物料储存、物料转移和输送、工艺过程、设备与管线组件、敞开液面VOCs排放，以及VOCs无组织排放废气收集处理系统要求。 15新改扩建（含搬迁）钢铁项目要严格执行产能置换实施办法，按照钢铁企业超低排放指标要求，同步配套建设高效脱硫、脱硝、除尘设施，落实物料储存、输送及生产工艺过程无组织排放管控措施。 16烧结机机头、球团焙烧烟气颗粒物、二氧化硫、氮氧化物排放浓度小时均值分别不高于10、35、50毫克/立方米；其他主要污染源颗粒物、二氧化硫、氮氧化物排放浓度小时均值原则上分别不高于10、50、200毫克/立方米，达到超低排放的钢铁企业每月至少95%以上时段小时均值排放浓度满足上述要求。 17已有行业排放标准的工业炉窑，严格执行行业排放标准相关规定，配套建设高效脱硫脱硝除尘设施，确保稳定达标排放。已制定更严格地方排放标准的，按地方标准执行。 18铸造行业烧结、高炉工序污染排放控制按照钢铁行业相关标准要求执行；原则上按照颗粒物、二氧化硫、氮氧化物排放限值分别不高于30、200、300毫克/立方米实施改造，其中，日用玻璃、玻璃棉氮氧化物排放限值不高于400毫克/立方米。 19城市建成区生物质锅炉实施超低排放改造。 20实施煤电节能降碳改造、灵活性改造、供热改造“三改联动”，推动煤电由主体电源向支撑性、调节性电源转变。 其他污染物排放管控要求:21强化工业企业无组织排放管理，推进挥发性有机物排放综合整治，开展大气氨排放控制试点。 22依法严禁秸秆露天焚烧，全面推进综合利用。 23深化工业污染治理，工业污染源全面达标排放，未达标排放的企业一律依法停产整治。 24露天开采、加工矿产资源，应当采取喷淋、集中开采、运输道路硬化绿化等防止扬尘污染的措施。 25合理控制燃油机动车保有量，严格控制重型柴油车进入城市建成区，限制摩托车的行驶范围，并向社会公告。机动车和船舶向大气排放污染物不得超过规定的排放标准。 26农业生产经营者应当改进施肥方式，科学合理施用化肥并按照国家有关规定使用农药，减少氨、挥发性有机物等大气污染物的排放。禁止在人口集中地区对树木、花草喷洒剧毒、高毒农药。 27工业生产中产生的可燃性气体应当回收利用。不具备回收利用条件而向大气排放的，应当进行污染防治处理. 28强化餐饮油烟和露天烧烤治理。加强餐饮油烟污染治理，对未安装油烟净化设施、不正常使用油烟净化设施或者未采取其他油烟净化措施，超过排放标准排放油烟的，依法责令改正，并处以罚款。 29县级以上城市建成区禁止销售、燃放烟花爆竹。 30非煤矿山企业对产生扬尘的作业场所，应当按《安徽省非煤矿山管理条例》采取相应污染防治措施。 31建筑工程施工现场扬尘污染防治应做到工地周边围挡、物料堆放覆盖、路面硬化、土方开挖湿法作业、出入车辆清洗、渣土车辆密闭运输“六个百分之百”。具体要求执行《建筑工程施工和预拌混凝土生产扬尘污染防治标准》（试行）。 32裸露地面扬尘、道路扬尘、装卸扬尘控制具体要求从严执行《安徽省大气污染防治条例》和《安徽省打赢蓝天保卫战三年行动计划实施方案》等要求。</w:t>
            </w:r>
          </w:p>
        </w:tc>
        <w:tc>
          <w:tcPr>
            <w:tcW w:w="1460" w:type="pct"/>
            <w:shd w:val="clear" w:color="auto" w:fill="auto"/>
            <w:vAlign w:val="center"/>
          </w:tcPr>
          <w:p w14:paraId="49020AA9">
            <w:pPr>
              <w:bidi w:val="0"/>
              <w:spacing w:line="240" w:lineRule="auto"/>
              <w:jc w:val="center"/>
              <w:rPr>
                <w:sz w:val="21"/>
                <w:szCs w:val="21"/>
              </w:rPr>
            </w:pPr>
            <w:r>
              <w:rPr>
                <w:rFonts w:hint="eastAsia"/>
                <w:sz w:val="21"/>
                <w:szCs w:val="21"/>
              </w:rPr>
              <w:t>项目</w:t>
            </w:r>
            <w:r>
              <w:rPr>
                <w:sz w:val="21"/>
                <w:szCs w:val="21"/>
              </w:rPr>
              <w:t>含VOCs物料转移和输送，采用密闭管道；按照“应收尽收、分质收集”的原则，将</w:t>
            </w:r>
            <w:r>
              <w:rPr>
                <w:rFonts w:hint="eastAsia"/>
                <w:sz w:val="21"/>
                <w:szCs w:val="21"/>
              </w:rPr>
              <w:t>生产车间、</w:t>
            </w:r>
            <w:r>
              <w:rPr>
                <w:sz w:val="21"/>
                <w:szCs w:val="21"/>
              </w:rPr>
              <w:t>污水处理站等废气进行有效收集处理后有组织排放；企业采用多种</w:t>
            </w:r>
            <w:r>
              <w:rPr>
                <w:rFonts w:hint="eastAsia"/>
                <w:sz w:val="21"/>
                <w:szCs w:val="21"/>
                <w:lang w:val="en-US" w:eastAsia="zh-CN"/>
              </w:rPr>
              <w:t>多级</w:t>
            </w:r>
            <w:r>
              <w:rPr>
                <w:sz w:val="21"/>
                <w:szCs w:val="21"/>
              </w:rPr>
              <w:t>技术处理VOCs处理工艺，有机废气收集处理后能够做到稳定达标排放；拟建项目在设计过程中，充分考虑了涉VOCs物料的储存、转运、投料、生产等各环节的无组织废气收集要求。建设单位对泵、压缩机、阀门、法兰等易发生泄漏的设备与管线组件，制定泄漏检测与修复（LDAR）)计划，定期检测、及时修复，防止或减少跑、冒、滴、漏现象。项目废气污染物排放执行</w:t>
            </w:r>
            <w:r>
              <w:rPr>
                <w:rFonts w:hint="default"/>
                <w:sz w:val="21"/>
                <w:szCs w:val="21"/>
              </w:rPr>
              <w:t>《电池工业污染物排放标准》（GB30484-2013）表5标准中太阳能电池大气污染物的排放标准</w:t>
            </w:r>
            <w:r>
              <w:rPr>
                <w:rFonts w:hint="eastAsia"/>
                <w:sz w:val="21"/>
                <w:szCs w:val="21"/>
                <w:lang w:eastAsia="zh-CN"/>
              </w:rPr>
              <w:t>、</w:t>
            </w:r>
            <w:r>
              <w:rPr>
                <w:rFonts w:hint="default"/>
                <w:sz w:val="21"/>
                <w:szCs w:val="21"/>
              </w:rPr>
              <w:t>表6企业边界大气污染物浓度限值</w:t>
            </w:r>
            <w:r>
              <w:rPr>
                <w:sz w:val="21"/>
                <w:szCs w:val="21"/>
              </w:rPr>
              <w:t>；</w:t>
            </w:r>
            <w:r>
              <w:rPr>
                <w:rFonts w:hint="eastAsia"/>
                <w:sz w:val="21"/>
                <w:szCs w:val="21"/>
              </w:rPr>
              <w:t>废水污染物排放执行《电池工业污染物排放标准》（GB30484-2013）表2间接排放限值及合肥循环经济示范园第二污水处理厂接管标准要求。项目废水经处理达标后经市政污水管网排入合肥循环经济示范园第二污水处理厂集中处理，处理达标后排入店埠河</w:t>
            </w:r>
            <w:r>
              <w:rPr>
                <w:sz w:val="21"/>
                <w:szCs w:val="21"/>
              </w:rPr>
              <w:t>。</w:t>
            </w:r>
          </w:p>
          <w:p w14:paraId="3637758B">
            <w:pPr>
              <w:bidi w:val="0"/>
              <w:spacing w:line="240" w:lineRule="auto"/>
              <w:jc w:val="center"/>
              <w:rPr>
                <w:rFonts w:hint="default"/>
                <w:sz w:val="21"/>
                <w:szCs w:val="21"/>
                <w:lang w:val="en-US" w:eastAsia="zh-CN"/>
              </w:rPr>
            </w:pPr>
            <w:r>
              <w:rPr>
                <w:rFonts w:hint="eastAsia"/>
                <w:sz w:val="21"/>
                <w:szCs w:val="21"/>
                <w:lang w:val="en-US" w:eastAsia="zh-CN"/>
              </w:rPr>
              <w:t>项目施工期主要是设备的拆除和安装，裸露地面扬尘、道路扬尘、装卸扬尘控制具体要求从严执行《安徽省大气污染防治条例》等要求。</w:t>
            </w:r>
          </w:p>
        </w:tc>
      </w:tr>
      <w:tr w14:paraId="4FD606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0E2AB934">
            <w:pPr>
              <w:bidi w:val="0"/>
              <w:spacing w:line="240" w:lineRule="auto"/>
              <w:jc w:val="center"/>
              <w:rPr>
                <w:rFonts w:hint="default"/>
                <w:sz w:val="21"/>
                <w:szCs w:val="21"/>
                <w:lang w:val="en-US" w:eastAsia="zh-CN"/>
              </w:rPr>
            </w:pPr>
            <w:r>
              <w:rPr>
                <w:rFonts w:hint="default"/>
                <w:sz w:val="21"/>
                <w:szCs w:val="21"/>
                <w:lang w:val="en-US" w:eastAsia="zh-CN"/>
              </w:rPr>
              <w:t>环境风险防控</w:t>
            </w:r>
          </w:p>
        </w:tc>
        <w:tc>
          <w:tcPr>
            <w:tcW w:w="2970" w:type="pct"/>
            <w:vAlign w:val="center"/>
          </w:tcPr>
          <w:p w14:paraId="42129A77">
            <w:pPr>
              <w:bidi w:val="0"/>
              <w:spacing w:line="240" w:lineRule="auto"/>
              <w:jc w:val="center"/>
              <w:rPr>
                <w:rFonts w:hint="default"/>
                <w:sz w:val="21"/>
                <w:szCs w:val="21"/>
                <w:lang w:val="en-US" w:eastAsia="zh-CN"/>
              </w:rPr>
            </w:pPr>
            <w:r>
              <w:rPr>
                <w:rFonts w:hint="default"/>
                <w:sz w:val="21"/>
                <w:szCs w:val="21"/>
                <w:lang w:val="en-US" w:eastAsia="zh-CN"/>
              </w:rPr>
              <w:t>1以化工园区、尾矿库、冶炼企业等为重点，严格落实企业生态环境风险防范主体责任。 2对使用有毒有害化学物质或在生产过程中排放有毒有害物质的企业，全面实施强制性清洁生产审核，严格执行产品质量标准中有毒有害化学物质的含量限值，加强农药、石化、涂料、印染、医药等行业新污染物环境风险管控。</w:t>
            </w:r>
          </w:p>
        </w:tc>
        <w:tc>
          <w:tcPr>
            <w:tcW w:w="1460" w:type="pct"/>
            <w:shd w:val="clear" w:color="auto" w:fill="auto"/>
            <w:vAlign w:val="center"/>
          </w:tcPr>
          <w:p w14:paraId="710A6CF1">
            <w:pPr>
              <w:bidi w:val="0"/>
              <w:spacing w:line="240" w:lineRule="auto"/>
              <w:jc w:val="center"/>
              <w:rPr>
                <w:rFonts w:hint="default"/>
                <w:sz w:val="21"/>
                <w:szCs w:val="21"/>
                <w:lang w:val="en-US" w:eastAsia="zh-CN"/>
              </w:rPr>
            </w:pPr>
            <w:r>
              <w:rPr>
                <w:sz w:val="21"/>
                <w:szCs w:val="21"/>
              </w:rPr>
              <w:t>项目现有厂区</w:t>
            </w:r>
            <w:r>
              <w:rPr>
                <w:rFonts w:hint="default" w:ascii="Times New Roman" w:hAnsi="Times New Roman" w:cs="Times New Roman"/>
                <w:sz w:val="21"/>
                <w:szCs w:val="21"/>
                <w:lang w:val="en-US" w:eastAsia="zh-CN"/>
              </w:rPr>
              <w:t>雨水管网排口前端建设有效容积624m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的初期雨水池并设置雨水切断阀和提升泵等装置；污水处理站处建设2座容积分别为3060m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、1306.62m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的事故应急池1~2，满足项目事故状况的废水临时储存需要；化学品库1内分区进行物料存储，各存储单元周围均设置地沟、集液槽，浓度检测仪等风险防范措施；化学品库2内分区进行物料存储，各功能罐区内设置围堰等；氨气笑气站、硅烷站、特气房等区域设置气体浓度检测仪、喷淋设施等风险防范措施;车间内安装液氨、硅烷、氧气、臭氧、硅烷探测仪等及急停系统等。电池车间2内设置氨气、笑气气体浓度监测仪</w:t>
            </w:r>
          </w:p>
        </w:tc>
      </w:tr>
      <w:tr w14:paraId="5B310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569" w:type="pct"/>
            <w:vAlign w:val="center"/>
          </w:tcPr>
          <w:p w14:paraId="2247FF2D">
            <w:pPr>
              <w:bidi w:val="0"/>
              <w:spacing w:line="240" w:lineRule="auto"/>
              <w:jc w:val="center"/>
              <w:rPr>
                <w:rFonts w:hint="default"/>
                <w:sz w:val="21"/>
                <w:szCs w:val="21"/>
                <w:lang w:val="en-US" w:eastAsia="zh-CN"/>
              </w:rPr>
            </w:pPr>
            <w:r>
              <w:rPr>
                <w:rFonts w:hint="default"/>
                <w:sz w:val="21"/>
                <w:szCs w:val="21"/>
                <w:lang w:val="en-US" w:eastAsia="zh-CN"/>
              </w:rPr>
              <w:t>资源开发效率要求</w:t>
            </w:r>
          </w:p>
        </w:tc>
        <w:tc>
          <w:tcPr>
            <w:tcW w:w="2970" w:type="pct"/>
            <w:vAlign w:val="center"/>
          </w:tcPr>
          <w:p w14:paraId="4C849F1B">
            <w:pPr>
              <w:bidi w:val="0"/>
              <w:spacing w:line="240" w:lineRule="auto"/>
              <w:jc w:val="center"/>
              <w:rPr>
                <w:rFonts w:hint="default"/>
                <w:sz w:val="21"/>
                <w:szCs w:val="21"/>
                <w:lang w:val="en-US" w:eastAsia="zh-CN"/>
              </w:rPr>
            </w:pPr>
            <w:r>
              <w:rPr>
                <w:rFonts w:hint="default"/>
                <w:sz w:val="21"/>
                <w:szCs w:val="21"/>
                <w:lang w:val="en-US" w:eastAsia="zh-CN"/>
              </w:rPr>
              <w:t>1坚持集中式与分布式建设并举，因地制宜建设集中式光伏发电项目，推动整县（市、区）屋顶分布式光伏发电试点工作。坚持集中式和分散式相结合，有序推进皖北平原连片风电项目建设，稳妥推进皖西南地区集中式风电项目建设，鼓励分散式风电商业模式创新。大力推进风光储一体化建设。加快建设一批抽水蓄能电站，打造千万千瓦级绿色储能基地。多元高效利用生物质能，推进农林生物质热电联产项目新建和供热改造，合理规划城镇生活垃圾焚烧发电项目，统筹布局生物燃料乙醇项目，适度发展先进生物质液体燃料。到2025年，非化石能源占能源消费总量比重达到15.5%以上。 2推动煤电行业实施节能降耗改造、供热改造和灵活性改造“三改联动”。加快供热管网建设，淘汰管网覆盖范围内的燃煤锅炉和散煤。到2025年，火电平均供电煤耗降至295克标煤/千瓦时，散煤基本清零。 3实施“煤改气”和“以电代煤”。在陶瓷、玻璃、铸造等行业积极推进天然气替代煤气化工程，有序实施燃煤设施煤改气。结合区域和行业用能特点，积极推进工业生产、建筑供暖供冷、交通运输、农业生产、居民生活五大领域实施“以电代煤”，着力提高电能占终端能源消费比重。 4推动光伏发电规模化发展，充分利用荒山荒坡、采煤沉陷区等未利用空间，建设集中式光伏电站。加快工业园区、公共建筑、居民住宅等屋顶光伏建设，有序推动国家整县（市、区）屋顶分布式光伏开发试点，因地制宜推进“光伏+”项目。 5积极开发风电资源，在皖北平原、皖西南地区建设集中连片风电，持续推进就近接入、就地消纳的分散式风电建设。 6大力推广新能源汽车，推动城市公共服务车辆、政府公务用车新能源或清洁能源替代1 到2025年，全省用水总量控制在306亿立方米以内，万元GDP用水量、万元工业增加值用水量较2020年均下降18%，农田灌溉水有效利用系数达到0.58。1严格落实主体功能区规划，在生态脆弱、严重缺水和地下水超采地区，严格控制高耗水新建、改建、扩建项目，推进高耗水企业向水资源条件允许的工业园区集中。对采用列入淘汰目录工艺、技术和装备的项目，不予批准取水许可；未按期淘汰的，有关部门和地方政府要依法严格查处。 2在地面沉降、地裂缝、岩溶塌陷等地质灾害易发区开发利用地下水，应进行地质灾害危险性评估。地下水限采区内不得新增地下水开采量。严控工农业等生产性用水新增地下水开采量；城乡居民生活和特殊水质要求确需增加开采量的，必须通过压减生产性用水，确保不增加现状开采量。 3严格控制开采深层承压水，地热水、矿泉水开发应严格实行取水许可和采矿许可。依法规范机井建设管理，排查登记已建机井，未经批准的和公共供水管网覆盖范围内自备水井，一律予以关闭。 4在地下水超采区，禁止农业、工业建设项目和服务业新增取用中深层地下水，并削减开采量，逐步实现地下水采补平衡。 5城市公共供水管网能够满足用水需要却通过自备取水设施取用地下水的，取水许可不予审批；地下水严重超采地区取用地下水的，取水许可不予审批。 6在城市公共供水管网覆盖的区域内，禁止新建地下水取水井用于餐饮、洗浴、洗车等服务业和小区、单位集中供水等。 7皖北平原地区应当限制高耗水、重污染产业发展，提高城镇污水处理标准，加强污水、采矿排水再生利用；支持规模农业使用高效节水灌溉技术；对地下水超采地区，应当制定综合治理措施，控制开采量，逐步实现采补平衡。1 到2025年，全省用水总量控制在306亿立方米以内，万元GDP用水量、万元工业增加值用水量较2020年均下降18%，农田灌溉水有效利用系数达到0.58。1到2035年，安徽省耕地保有量不低于8115.00万亩，其中永久基本农田保护面积不低于7143.56万亩；生态保护红线面积不低于1.96万平方千米；城镇开发边界扩展倍数控制在基于2020年城镇建设用地规模的1.3倍以内；单位国内生产总值建设用地使用面积下降不少于40%。 2产生、收集、贮存、运输、利用、处置固体废物的单位和个人，应当采取措施，防止或者减少固体废物对环境的污染，对所造成的环境污染依法承担责任。 3城市建设用地规模应当符合国家规定的标准，充分利用现有建设用地，不占或者尽量少占农用地。 4国家保护耕地，严格控制耕地转为非耕地。 5禁止占用耕地建窑、建坟或者擅自在耕地上建房、挖砂、采石、采矿、取土等。 6禁止占用永久基本农田发展林果业和挖塘养鱼。 7禁止任何单位和个人闲置、荒芜耕地。 8禁止毁坏森林、草原开垦耕地，禁止围湖造田和侵占江河滩地。 9农村村民一户只能拥有一处宅基地，其宅基地的面积不得超过省、自治区、直辖市规定的标准。 10禁止单位和个人在土地利用总体规划确定的禁止开垦区内从事土地开发活动。 11土地复垦义务人在生产建设活动中应当遵循“保护、预防和控制为主，生产建设与复垦相结合”的原则，禁止不按照规定排放废气、废水、废渣、粉灰、废油等。 12任何单位和个人不得为退耕还林者指定种苗供应商。 13退耕还林者应当按照作业设计和合同的要求植树种草。禁止林粮间作和破坏原有林草植被的行为。 14禁止任何单位和个人危害、破坏自然保护区的土地。 15在自然保护区内依法使用土地的单位和个人，不得擅自扩大土地使用面积。 16禁止在自然保护区及其外围保护地带建立污染、破坏或者危害自然保护区自然环境和自然资源的设施。 17禁止在自然保护区内进行开垦、开矿、采石、挖砂等活动。 18禁止任何单位和个人破坏、侵占、买卖或者以其他形式非法转让自然保护区内的土地。 19确保耕地、林地数量和质量，保障设施农业用地，严格控制工业用地增加，适度增加城市居住用地，逐步减少农村居住用地，合理控制交通用地增长。 20严格控制非农建设占用基本农田，禁止擅自改变基本农田的用途和位置。 21严格限制各类非农建设占用耕地，实施占用耕地补偿制度，结合农用地分等定级成果，确保补充耕地与被占用耕地的数量质量相当。1禁燃区内禁止使用散煤等高污染燃料，逐步实现无煤化。 2在禁燃区内的企业事业单位和其他生产经营者，应当在规定的期限内停止使用高污染燃料，改用天然气、液化石油气、电能或者其他清洁能源。 3到2025年,完成国家下达我省的减煤目标任务。其中,电力行业煤炭消费控制目标按照国家有关规定执行;非电力行业煤炭消费降低5%以上。到2025年，全省单位生产总值能耗比2020年下降14%，力争下降14.5%。1新建、改建扩建项目必须符合《产业结构调整指导目录（2019年本）》、《绿色产业指导目录（2019年版）》等产业政策要求。水资源利用总量要求按省政府下达区域各市的指标执行；按照省级清单中地下水开采要求执行。按照省政府下达给区域各市能源利用总量及效率要求执行。 禁燃区要求：按照省级清单中禁燃区要求执行。其他资源利用效率要求：按照省政府下达给区域各市其他资源利用效率要求执行。水资源利用总量及效率要求：按照省政府下达给区域各市的水资源利用总量及效率要求执行；地下水开采要求：按照省级清单中地下水开采要求执行。 能源利用总量及效率要求：按照省政府下达给区域各市能源利用总量及效率要求执行。禁燃区要求：按照省政府下达给区域各市能源利用总量及效率要求执行。按照省级清单中禁燃区要求执行。其他资源利用效率要求：土地资源利用效率按照省政府下达给区域各市的要求执行。到2025年，万元GDP用水量消耗比2020年降低12.5%，万元GDP能源消耗降低达到省定要求。对化学原料和化学制品制造业、非金属矿物制品业、黑色金属冶炼及压延加工业、有色金属冶炼和压延加工业、电力热力的生产和供应业等行业新增耗煤（电力行业除外），实施煤炭消费量1.5倍减量替代。新建高耗能项目单位产品（产值）能耗要达到国际先进水平。 提高能源利用效率。继续实施能源消耗总量和强度“双控””行动。确保重点用能行业、设备节能标准全覆盖，大力开发、推广节能高效技术和产品。新建高耗能项目单位产品(产值)能耗达到国际先进水平。因地制宜提高建筑节能标准，推进既有居住建筑节能改造，新建建筑中绿色建筑比例高于全省平均。明确禁放区域。瑶海区、庐阳区、蜀山区、包河区、高新技术产业开发区、经济技术开发区、新站高新技术产业开发区、安徽巢湖经济开发区禁止燃放烟花爆竹。强化整治清理。三十头社区、小庙镇、三十岗乡、高刘镇现存烟花爆竹零售点自行清理完毕；逾期未完成的，安监部门依法组织清理。城区内不得设置烟花爆竹销售网点。禁止向禁放区域内运输烟花爆竹。坚决查处非法运输、储存、经营烟花爆竹行为。燃放烟花爆竹相关管理办法参照《合肥市城区禁止燃放烟花爆竹管理工作实施方案》合政办秘〔2017〕190号执行。 合肥市市下列区域为禁燃区：合肥市市区（瑶海区、庐阳区、蜀山区、包河区全部行政区域，含经济技术开发区、高新技术产业开发区、新站综合开发试验区），各县县城、巢湖市市区，安徽巢湖经济开发区及其他省级以上（含省级）开发区。按合肥市人民政府《关于划定高污染燃料禁燃区的通告》中的相关规定执行。 执行《合肥市生态环境局关于印发2023年秸秆禁烧执法工作实施方案的通知》（合环执法〔2023〕23号）相关要求到2025年，全市秸秆综合利用率达到95%。强化畜禽粪污资源化利用，2022年底畜禽粪污资源化利用率达到90%，2025年底达到96%。到2022年底，全市化肥与化学农药使用量比2020年分别减少8%和4%。到2023年6月，全市化肥与化学农药使用量比2020年分别减少10%和5%。到2025年，全市化肥与化学农药使用量比2020年分别减少20%和10%。到2023年6月，测土配方施肥面积占比达到70%。到2025年底，测土配方施肥面积占比达到70%以上。到2025年底，全市当季农膜回收利用和综合利用率达到85%。 到 2025 年，受污染耕地安全利用率达到94%，重点建设用地安全利用得到有效保障，至2025年合肥市耕地保有量不低于</w:t>
            </w:r>
            <w:r>
              <w:rPr>
                <w:rFonts w:hint="default"/>
                <w:sz w:val="21"/>
                <w:szCs w:val="21"/>
                <w:lang w:val="en-US" w:eastAsia="zh-CN"/>
              </w:rPr>
              <w:t>4701.2km</w:t>
            </w:r>
            <w:r>
              <w:rPr>
                <w:rFonts w:hint="default"/>
                <w:sz w:val="21"/>
                <w:szCs w:val="21"/>
                <w:vertAlign w:val="superscript"/>
                <w:lang w:val="en-US" w:eastAsia="zh-CN"/>
              </w:rPr>
              <w:t>2</w:t>
            </w:r>
            <w:r>
              <w:rPr>
                <w:rFonts w:hint="default"/>
                <w:sz w:val="21"/>
                <w:szCs w:val="21"/>
                <w:lang w:val="en-US" w:eastAsia="zh-CN"/>
              </w:rPr>
              <w:t>， 人均城镇建设用地100平方米/人，2035年城镇化率为93%，全域远景城镇建设用地规模上限不超过1600平方公里。 规划基准年城镇建设用地733.1平方公里，至规划远期城镇建设用地规划1223.1平方公里，未突破用地规模上限1600平方公里。市域耕地保有量（平方公里）：≥4701.2（规划近期目标年（2025年）），规划目标（2035年）：≥4701.2（规划目标年（2035年））；市域永久基本农田保护面积（平方公里）：≥4123.5（规划近期目标年（2025年）），≥4123.5（规划目标年（2035年））；市域人均城镇建设用地面积（平方米）≤100规划近期目标年（2025年），≤100（规划目标年（2035年））；中心城区人均城镇建设用地面积（平方米）≤95规划近期目标年（2025年），≤95（规划目标年（2035年））；单位国内生产总值建设用地使用面积下降（%）≥10（规划近期目标年（2025年）），≥30（规划目标年（2035年））</w:t>
            </w:r>
          </w:p>
        </w:tc>
        <w:tc>
          <w:tcPr>
            <w:tcW w:w="1460" w:type="pct"/>
            <w:shd w:val="clear" w:color="auto" w:fill="auto"/>
            <w:vAlign w:val="center"/>
          </w:tcPr>
          <w:p w14:paraId="61B04303">
            <w:pPr>
              <w:bidi w:val="0"/>
              <w:spacing w:line="240" w:lineRule="auto"/>
              <w:jc w:val="center"/>
              <w:rPr>
                <w:rFonts w:hint="default"/>
                <w:sz w:val="21"/>
                <w:szCs w:val="21"/>
                <w:lang w:val="en-US" w:eastAsia="zh-CN"/>
              </w:rPr>
            </w:pPr>
            <w:r>
              <w:rPr>
                <w:rFonts w:hint="eastAsia"/>
                <w:sz w:val="21"/>
                <w:szCs w:val="21"/>
                <w:lang w:val="en-US" w:eastAsia="zh-CN"/>
              </w:rPr>
              <w:t>本次技改项目不新增用地，供水、供热等均依托园区已建配套设施</w:t>
            </w:r>
          </w:p>
        </w:tc>
      </w:tr>
    </w:tbl>
    <w:p w14:paraId="16EAFE55">
      <w:pPr>
        <w:bidi w:val="0"/>
        <w:jc w:val="center"/>
        <w:rPr>
          <w:rFonts w:hint="default"/>
          <w:b/>
          <w:bCs/>
          <w:lang w:val="en-US" w:eastAsia="zh-CN"/>
        </w:rPr>
        <w:sectPr>
          <w:pgSz w:w="16838" w:h="11906" w:orient="landscape"/>
          <w:pgMar w:top="1417" w:right="1417" w:bottom="1134" w:left="1134" w:header="851" w:footer="992" w:gutter="0"/>
          <w:pgNumType w:fmt="decimal"/>
          <w:cols w:space="0" w:num="1"/>
          <w:rtlGutter w:val="0"/>
          <w:docGrid w:type="lines" w:linePitch="312" w:charSpace="0"/>
        </w:sectPr>
      </w:pPr>
    </w:p>
    <w:p w14:paraId="1E8096EF">
      <w:pPr>
        <w:bidi w:val="0"/>
        <w:rPr>
          <w:rFonts w:hint="eastAsia"/>
          <w:lang w:eastAsia="zh-CN"/>
        </w:rPr>
      </w:pPr>
      <w:r>
        <w:rPr>
          <w:rFonts w:hint="eastAsia"/>
          <w:lang w:eastAsia="zh-CN"/>
        </w:rPr>
        <w:drawing>
          <wp:inline distT="0" distB="0" distL="114300" distR="114300">
            <wp:extent cx="6053455" cy="8548370"/>
            <wp:effectExtent l="0" t="0" r="4445" b="11430"/>
            <wp:docPr id="43" name="图片 43" descr="三线一单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三线一单图"/>
                    <pic:cNvPicPr>
                      <a:picLocks noChangeAspect="1"/>
                    </pic:cNvPicPr>
                  </pic:nvPicPr>
                  <pic:blipFill>
                    <a:blip r:embed="rId19"/>
                    <a:stretch>
                      <a:fillRect/>
                    </a:stretch>
                  </pic:blipFill>
                  <pic:spPr>
                    <a:xfrm>
                      <a:off x="0" y="0"/>
                      <a:ext cx="6053455" cy="8548370"/>
                    </a:xfrm>
                    <a:prstGeom prst="rect">
                      <a:avLst/>
                    </a:prstGeom>
                  </pic:spPr>
                </pic:pic>
              </a:graphicData>
            </a:graphic>
          </wp:inline>
        </w:drawing>
      </w:r>
    </w:p>
    <w:p w14:paraId="021C9F2A">
      <w:pPr>
        <w:bidi w:val="0"/>
        <w:jc w:val="center"/>
        <w:rPr>
          <w:rFonts w:hint="default"/>
          <w:b/>
          <w:bCs/>
          <w:lang w:val="en-US" w:eastAsia="zh-CN"/>
        </w:rPr>
        <w:sectPr>
          <w:pgSz w:w="11906" w:h="16838"/>
          <w:pgMar w:top="1417" w:right="1134" w:bottom="1134" w:left="1417" w:header="851" w:footer="992" w:gutter="0"/>
          <w:pgNumType w:fmt="decimal"/>
          <w:cols w:space="0" w:num="1"/>
          <w:rtlGutter w:val="0"/>
          <w:docGrid w:type="lines" w:linePitch="312" w:charSpace="0"/>
        </w:sectPr>
      </w:pPr>
      <w:r>
        <w:rPr>
          <w:rFonts w:hint="default"/>
          <w:b/>
          <w:bCs/>
          <w:lang w:val="en-US" w:eastAsia="zh-CN"/>
        </w:rPr>
        <w:t>图2.</w:t>
      </w:r>
      <w:r>
        <w:rPr>
          <w:rFonts w:hint="eastAsia"/>
          <w:b/>
          <w:bCs/>
          <w:lang w:val="en-US" w:eastAsia="zh-CN"/>
        </w:rPr>
        <w:t>5</w:t>
      </w:r>
      <w:r>
        <w:rPr>
          <w:rFonts w:hint="default"/>
          <w:b/>
          <w:bCs/>
          <w:lang w:val="en-US" w:eastAsia="zh-CN"/>
        </w:rPr>
        <w:t>.</w:t>
      </w:r>
      <w:r>
        <w:rPr>
          <w:rFonts w:hint="eastAsia"/>
          <w:b/>
          <w:bCs/>
          <w:lang w:val="en-US" w:eastAsia="zh-CN"/>
        </w:rPr>
        <w:t>6</w:t>
      </w:r>
      <w:r>
        <w:rPr>
          <w:rFonts w:hint="default"/>
          <w:b/>
          <w:bCs/>
          <w:lang w:val="en-US" w:eastAsia="zh-CN"/>
        </w:rPr>
        <w:t xml:space="preserve">-1 </w:t>
      </w:r>
      <w:r>
        <w:rPr>
          <w:rFonts w:hint="eastAsia"/>
          <w:b/>
          <w:bCs/>
          <w:lang w:val="en-US" w:eastAsia="zh-CN"/>
        </w:rPr>
        <w:t>项目与合肥</w:t>
      </w:r>
      <w:r>
        <w:rPr>
          <w:rFonts w:hint="default"/>
          <w:b/>
          <w:bCs/>
          <w:lang w:val="en-US" w:eastAsia="zh-CN"/>
        </w:rPr>
        <w:t>市生态保护红线</w:t>
      </w:r>
      <w:r>
        <w:rPr>
          <w:rFonts w:hint="eastAsia"/>
          <w:b/>
          <w:bCs/>
          <w:lang w:val="en-US" w:eastAsia="zh-CN"/>
        </w:rPr>
        <w:t>位置关系</w:t>
      </w:r>
      <w:r>
        <w:rPr>
          <w:rFonts w:hint="default"/>
          <w:b/>
          <w:bCs/>
          <w:lang w:val="en-US" w:eastAsia="zh-CN"/>
        </w:rPr>
        <w:t>图</w:t>
      </w:r>
    </w:p>
    <w:p w14:paraId="6888E5D0">
      <w:pPr>
        <w:bidi w:val="0"/>
        <w:rPr>
          <w:rFonts w:hint="eastAsia"/>
          <w:b/>
          <w:bCs/>
          <w:lang w:val="en-US" w:eastAsia="zh-CN"/>
        </w:rPr>
      </w:pPr>
      <w:r>
        <w:rPr>
          <w:rFonts w:hint="eastAsia"/>
          <w:b/>
          <w:bCs/>
          <w:lang w:val="en-US" w:eastAsia="zh-CN"/>
        </w:rPr>
        <w:t>2.4.6.</w:t>
      </w:r>
      <w:bookmarkStart w:id="80" w:name="_Toc17707"/>
      <w:r>
        <w:rPr>
          <w:rFonts w:hint="eastAsia"/>
          <w:b/>
          <w:bCs/>
          <w:lang w:val="en-US" w:eastAsia="zh-CN"/>
        </w:rPr>
        <w:t>2 生态环境准入清单</w:t>
      </w:r>
      <w:bookmarkEnd w:id="80"/>
    </w:p>
    <w:p w14:paraId="2E6CCB2D">
      <w:pPr>
        <w:bidi w:val="0"/>
        <w:ind w:firstLine="480" w:firstLineChars="200"/>
        <w:rPr>
          <w:rFonts w:hint="eastAsia"/>
          <w:lang w:val="en-US" w:eastAsia="zh-CN"/>
        </w:rPr>
      </w:pPr>
      <w:r>
        <w:rPr>
          <w:rFonts w:hint="eastAsia"/>
          <w:lang w:val="en-US" w:eastAsia="zh-CN"/>
        </w:rPr>
        <w:t>本次技改项目位于</w:t>
      </w:r>
      <w:r>
        <w:rPr>
          <w:rFonts w:hint="default"/>
          <w:lang w:val="en-US" w:eastAsia="zh-CN"/>
        </w:rPr>
        <w:t>合肥循环经济示范园龙兴大道与乳泉路交口东北角安徽晶科能源有限公司</w:t>
      </w:r>
      <w:r>
        <w:rPr>
          <w:rFonts w:hint="eastAsia"/>
          <w:lang w:val="en-US" w:eastAsia="zh-CN"/>
        </w:rPr>
        <w:t>现有厂区内，根据《合肥循环经济示范园总体发展规划（2022-2035年）》，合肥循环经济示范园主导产业为：以新材料产业、智能产业、高端装备制造业、现代物流业为主导的循环经济示范园，包括原规划确定的6.94平方公里的化工集中区。禁止引进制革、印染、电镀、炼焦、食品制造、农副食品加工、畜牧业、炸药、火工及焰火产品制造等行业及违反国家产业政策的建设项目。在园区保留的化工集中区内可发展与园区主导产业及现有化工企业相关的化工行业。根据</w:t>
      </w:r>
      <w:r>
        <w:rPr>
          <w:rFonts w:hint="eastAsia"/>
          <w:lang w:eastAsia="zh-CN"/>
        </w:rPr>
        <w:t>《合肥循环经济示范园总体发展规划（2022-2035年）环境影响报告书》及其审查意见</w:t>
      </w:r>
      <w:r>
        <w:rPr>
          <w:rFonts w:hint="eastAsia"/>
          <w:lang w:val="en-US" w:eastAsia="zh-CN"/>
        </w:rPr>
        <w:t>，园区产业准入清单如下：</w:t>
      </w:r>
    </w:p>
    <w:p w14:paraId="6889D897">
      <w:pPr>
        <w:bidi w:val="0"/>
        <w:jc w:val="center"/>
        <w:rPr>
          <w:rFonts w:hint="eastAsia"/>
          <w:b/>
          <w:bCs/>
          <w:lang w:val="en-US" w:eastAsia="zh-CN"/>
        </w:rPr>
      </w:pPr>
      <w:r>
        <w:rPr>
          <w:rFonts w:hint="eastAsia"/>
          <w:b/>
          <w:bCs/>
          <w:lang w:val="en-US" w:eastAsia="zh-CN"/>
        </w:rPr>
        <w:t>表2.5.6-2 园区产业准入清单</w:t>
      </w:r>
    </w:p>
    <w:tbl>
      <w:tblPr>
        <w:tblStyle w:val="25"/>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895"/>
        <w:gridCol w:w="1768"/>
        <w:gridCol w:w="4465"/>
        <w:gridCol w:w="1233"/>
      </w:tblGrid>
      <w:tr w14:paraId="343190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846" w:type="dxa"/>
            <w:tcBorders>
              <w:bottom w:val="single" w:color="auto" w:sz="4" w:space="0"/>
            </w:tcBorders>
            <w:vAlign w:val="center"/>
          </w:tcPr>
          <w:p w14:paraId="6277AC8C">
            <w:pPr>
              <w:pStyle w:val="30"/>
              <w:widowControl w:val="0"/>
              <w:bidi w:val="0"/>
              <w:rPr>
                <w:b/>
                <w:bCs/>
                <w:color w:val="auto"/>
              </w:rPr>
            </w:pPr>
            <w:r>
              <w:rPr>
                <w:b/>
                <w:bCs/>
                <w:color w:val="auto"/>
              </w:rPr>
              <w:t>门类</w:t>
            </w:r>
          </w:p>
        </w:tc>
        <w:tc>
          <w:tcPr>
            <w:tcW w:w="1722" w:type="dxa"/>
            <w:vAlign w:val="center"/>
          </w:tcPr>
          <w:p w14:paraId="4BB8323F">
            <w:pPr>
              <w:pStyle w:val="30"/>
              <w:widowControl w:val="0"/>
              <w:bidi w:val="0"/>
              <w:rPr>
                <w:b/>
                <w:bCs/>
                <w:color w:val="auto"/>
              </w:rPr>
            </w:pPr>
            <w:r>
              <w:rPr>
                <w:b/>
                <w:bCs/>
                <w:color w:val="auto"/>
              </w:rPr>
              <w:t>行业代码</w:t>
            </w:r>
          </w:p>
        </w:tc>
        <w:tc>
          <w:tcPr>
            <w:tcW w:w="4349" w:type="dxa"/>
            <w:vAlign w:val="center"/>
          </w:tcPr>
          <w:p w14:paraId="7A7DF8ED">
            <w:pPr>
              <w:pStyle w:val="30"/>
              <w:widowControl w:val="0"/>
              <w:bidi w:val="0"/>
              <w:rPr>
                <w:b/>
                <w:bCs/>
                <w:color w:val="auto"/>
              </w:rPr>
            </w:pPr>
            <w:r>
              <w:rPr>
                <w:b/>
                <w:bCs/>
                <w:color w:val="auto"/>
              </w:rPr>
              <w:t>行业名称</w:t>
            </w:r>
          </w:p>
        </w:tc>
        <w:tc>
          <w:tcPr>
            <w:tcW w:w="1200" w:type="dxa"/>
            <w:vAlign w:val="center"/>
          </w:tcPr>
          <w:p w14:paraId="5A8E7683">
            <w:pPr>
              <w:pStyle w:val="30"/>
              <w:widowControl w:val="0"/>
              <w:bidi w:val="0"/>
              <w:rPr>
                <w:b/>
                <w:bCs/>
                <w:color w:val="auto"/>
              </w:rPr>
            </w:pPr>
            <w:r>
              <w:rPr>
                <w:b/>
                <w:bCs/>
                <w:color w:val="auto"/>
              </w:rPr>
              <w:t>控制建议</w:t>
            </w:r>
          </w:p>
        </w:tc>
      </w:tr>
      <w:tr w14:paraId="0D85C9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846" w:type="dxa"/>
            <w:vMerge w:val="restart"/>
            <w:tcBorders>
              <w:top w:val="single" w:color="auto" w:sz="4" w:space="0"/>
              <w:left w:val="single" w:color="auto" w:sz="4" w:space="0"/>
              <w:bottom w:val="single" w:color="auto" w:sz="4" w:space="0"/>
              <w:right w:val="single" w:color="auto" w:sz="4" w:space="0"/>
            </w:tcBorders>
            <w:vAlign w:val="center"/>
          </w:tcPr>
          <w:p w14:paraId="048B15CB">
            <w:pPr>
              <w:pStyle w:val="30"/>
              <w:widowControl w:val="0"/>
              <w:bidi w:val="0"/>
              <w:rPr>
                <w:color w:val="auto"/>
              </w:rPr>
            </w:pPr>
            <w:r>
              <w:rPr>
                <w:color w:val="auto"/>
              </w:rPr>
              <w:t>C  制造业</w:t>
            </w:r>
          </w:p>
        </w:tc>
        <w:tc>
          <w:tcPr>
            <w:tcW w:w="1722" w:type="dxa"/>
            <w:tcBorders>
              <w:left w:val="single" w:color="auto" w:sz="4" w:space="0"/>
            </w:tcBorders>
            <w:vAlign w:val="center"/>
          </w:tcPr>
          <w:p w14:paraId="0E9BA5D9">
            <w:pPr>
              <w:pStyle w:val="30"/>
              <w:widowControl w:val="0"/>
              <w:bidi w:val="0"/>
              <w:rPr>
                <w:color w:val="auto"/>
              </w:rPr>
            </w:pPr>
            <w:r>
              <w:rPr>
                <w:color w:val="auto"/>
              </w:rPr>
              <w:t>17</w:t>
            </w:r>
          </w:p>
        </w:tc>
        <w:tc>
          <w:tcPr>
            <w:tcW w:w="4349" w:type="dxa"/>
            <w:vAlign w:val="center"/>
          </w:tcPr>
          <w:p w14:paraId="2CB43D5E">
            <w:pPr>
              <w:pStyle w:val="30"/>
              <w:widowControl w:val="0"/>
              <w:bidi w:val="0"/>
              <w:rPr>
                <w:color w:val="auto"/>
              </w:rPr>
            </w:pPr>
            <w:r>
              <w:rPr>
                <w:color w:val="auto"/>
              </w:rPr>
              <w:t>纺织业</w:t>
            </w:r>
          </w:p>
        </w:tc>
        <w:tc>
          <w:tcPr>
            <w:tcW w:w="1200" w:type="dxa"/>
            <w:vAlign w:val="center"/>
          </w:tcPr>
          <w:p w14:paraId="777A5CF3">
            <w:pPr>
              <w:pStyle w:val="30"/>
              <w:widowControl w:val="0"/>
              <w:bidi w:val="0"/>
              <w:rPr>
                <w:color w:val="auto"/>
              </w:rPr>
            </w:pPr>
            <w:r>
              <w:rPr>
                <w:color w:val="auto"/>
              </w:rPr>
              <w:t>限制</w:t>
            </w:r>
          </w:p>
        </w:tc>
      </w:tr>
      <w:tr w14:paraId="3EB621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47141E2">
            <w:pPr>
              <w:pStyle w:val="30"/>
              <w:widowControl w:val="0"/>
              <w:bidi w:val="0"/>
              <w:rPr>
                <w:color w:val="auto"/>
              </w:rPr>
            </w:pPr>
          </w:p>
        </w:tc>
        <w:tc>
          <w:tcPr>
            <w:tcW w:w="1722" w:type="dxa"/>
            <w:tcBorders>
              <w:left w:val="single" w:color="auto" w:sz="4" w:space="0"/>
            </w:tcBorders>
            <w:vAlign w:val="center"/>
          </w:tcPr>
          <w:p w14:paraId="0F6E54C8">
            <w:pPr>
              <w:pStyle w:val="30"/>
              <w:widowControl w:val="0"/>
              <w:bidi w:val="0"/>
              <w:rPr>
                <w:color w:val="auto"/>
              </w:rPr>
            </w:pPr>
            <w:r>
              <w:rPr>
                <w:color w:val="auto"/>
              </w:rPr>
              <w:t>18</w:t>
            </w:r>
          </w:p>
        </w:tc>
        <w:tc>
          <w:tcPr>
            <w:tcW w:w="4349" w:type="dxa"/>
            <w:vAlign w:val="center"/>
          </w:tcPr>
          <w:p w14:paraId="33433D5B">
            <w:pPr>
              <w:pStyle w:val="30"/>
              <w:widowControl w:val="0"/>
              <w:bidi w:val="0"/>
              <w:rPr>
                <w:color w:val="auto"/>
              </w:rPr>
            </w:pPr>
            <w:r>
              <w:rPr>
                <w:color w:val="auto"/>
              </w:rPr>
              <w:t>纺织服装、服饰业</w:t>
            </w:r>
          </w:p>
        </w:tc>
        <w:tc>
          <w:tcPr>
            <w:tcW w:w="1200" w:type="dxa"/>
            <w:vAlign w:val="center"/>
          </w:tcPr>
          <w:p w14:paraId="0D4E628F">
            <w:pPr>
              <w:pStyle w:val="30"/>
              <w:widowControl w:val="0"/>
              <w:bidi w:val="0"/>
              <w:rPr>
                <w:color w:val="auto"/>
              </w:rPr>
            </w:pPr>
            <w:r>
              <w:rPr>
                <w:color w:val="auto"/>
              </w:rPr>
              <w:t>限制</w:t>
            </w:r>
          </w:p>
        </w:tc>
      </w:tr>
      <w:tr w14:paraId="716921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4B890DF6">
            <w:pPr>
              <w:pStyle w:val="30"/>
              <w:widowControl w:val="0"/>
              <w:bidi w:val="0"/>
              <w:rPr>
                <w:color w:val="auto"/>
              </w:rPr>
            </w:pPr>
          </w:p>
        </w:tc>
        <w:tc>
          <w:tcPr>
            <w:tcW w:w="1722" w:type="dxa"/>
            <w:tcBorders>
              <w:left w:val="single" w:color="auto" w:sz="4" w:space="0"/>
            </w:tcBorders>
            <w:vAlign w:val="center"/>
          </w:tcPr>
          <w:p w14:paraId="77642CF3">
            <w:pPr>
              <w:pStyle w:val="30"/>
              <w:widowControl w:val="0"/>
              <w:bidi w:val="0"/>
              <w:rPr>
                <w:color w:val="auto"/>
              </w:rPr>
            </w:pPr>
            <w:r>
              <w:rPr>
                <w:color w:val="auto"/>
              </w:rPr>
              <w:t>19</w:t>
            </w:r>
          </w:p>
        </w:tc>
        <w:tc>
          <w:tcPr>
            <w:tcW w:w="4349" w:type="dxa"/>
            <w:vAlign w:val="center"/>
          </w:tcPr>
          <w:p w14:paraId="08C644A9">
            <w:pPr>
              <w:pStyle w:val="30"/>
              <w:widowControl w:val="0"/>
              <w:bidi w:val="0"/>
              <w:rPr>
                <w:color w:val="auto"/>
              </w:rPr>
            </w:pPr>
            <w:r>
              <w:rPr>
                <w:color w:val="auto"/>
              </w:rPr>
              <w:t>皮革、毛皮、羽毛及其制品和制鞋业</w:t>
            </w:r>
          </w:p>
        </w:tc>
        <w:tc>
          <w:tcPr>
            <w:tcW w:w="1200" w:type="dxa"/>
            <w:vAlign w:val="center"/>
          </w:tcPr>
          <w:p w14:paraId="55E3575A">
            <w:pPr>
              <w:pStyle w:val="30"/>
              <w:widowControl w:val="0"/>
              <w:bidi w:val="0"/>
              <w:rPr>
                <w:color w:val="auto"/>
              </w:rPr>
            </w:pPr>
            <w:r>
              <w:rPr>
                <w:color w:val="auto"/>
              </w:rPr>
              <w:t>禁止</w:t>
            </w:r>
          </w:p>
        </w:tc>
      </w:tr>
      <w:tr w14:paraId="1208A6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42CCC796">
            <w:pPr>
              <w:pStyle w:val="30"/>
              <w:widowControl w:val="0"/>
              <w:bidi w:val="0"/>
              <w:rPr>
                <w:color w:val="auto"/>
              </w:rPr>
            </w:pPr>
          </w:p>
        </w:tc>
        <w:tc>
          <w:tcPr>
            <w:tcW w:w="1722" w:type="dxa"/>
            <w:tcBorders>
              <w:left w:val="single" w:color="auto" w:sz="4" w:space="0"/>
            </w:tcBorders>
            <w:vAlign w:val="center"/>
          </w:tcPr>
          <w:p w14:paraId="0156A42C">
            <w:pPr>
              <w:pStyle w:val="30"/>
              <w:widowControl w:val="0"/>
              <w:bidi w:val="0"/>
              <w:rPr>
                <w:color w:val="auto"/>
              </w:rPr>
            </w:pPr>
            <w:r>
              <w:rPr>
                <w:color w:val="auto"/>
              </w:rPr>
              <w:t>20</w:t>
            </w:r>
          </w:p>
        </w:tc>
        <w:tc>
          <w:tcPr>
            <w:tcW w:w="4349" w:type="dxa"/>
            <w:vAlign w:val="center"/>
          </w:tcPr>
          <w:p w14:paraId="50CADBBE">
            <w:pPr>
              <w:pStyle w:val="30"/>
              <w:widowControl w:val="0"/>
              <w:bidi w:val="0"/>
              <w:rPr>
                <w:color w:val="auto"/>
              </w:rPr>
            </w:pPr>
            <w:r>
              <w:rPr>
                <w:color w:val="auto"/>
              </w:rPr>
              <w:t>木材加工和木、竹、藤、棕、草制品业</w:t>
            </w:r>
          </w:p>
        </w:tc>
        <w:tc>
          <w:tcPr>
            <w:tcW w:w="1200" w:type="dxa"/>
            <w:vAlign w:val="center"/>
          </w:tcPr>
          <w:p w14:paraId="143EA7AE">
            <w:pPr>
              <w:pStyle w:val="30"/>
              <w:widowControl w:val="0"/>
              <w:bidi w:val="0"/>
              <w:rPr>
                <w:color w:val="auto"/>
              </w:rPr>
            </w:pPr>
            <w:r>
              <w:rPr>
                <w:color w:val="auto"/>
              </w:rPr>
              <w:t>限制</w:t>
            </w:r>
          </w:p>
        </w:tc>
      </w:tr>
      <w:tr w14:paraId="5CCEA9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336BB4FC">
            <w:pPr>
              <w:pStyle w:val="30"/>
              <w:widowControl w:val="0"/>
              <w:bidi w:val="0"/>
              <w:rPr>
                <w:color w:val="auto"/>
              </w:rPr>
            </w:pPr>
          </w:p>
        </w:tc>
        <w:tc>
          <w:tcPr>
            <w:tcW w:w="1722" w:type="dxa"/>
            <w:tcBorders>
              <w:left w:val="single" w:color="auto" w:sz="4" w:space="0"/>
            </w:tcBorders>
            <w:vAlign w:val="center"/>
          </w:tcPr>
          <w:p w14:paraId="56D0BFB8">
            <w:pPr>
              <w:pStyle w:val="30"/>
              <w:widowControl w:val="0"/>
              <w:bidi w:val="0"/>
              <w:rPr>
                <w:color w:val="auto"/>
              </w:rPr>
            </w:pPr>
            <w:r>
              <w:rPr>
                <w:color w:val="auto"/>
              </w:rPr>
              <w:t>21</w:t>
            </w:r>
          </w:p>
        </w:tc>
        <w:tc>
          <w:tcPr>
            <w:tcW w:w="4349" w:type="dxa"/>
            <w:vAlign w:val="center"/>
          </w:tcPr>
          <w:p w14:paraId="2BEE824E">
            <w:pPr>
              <w:pStyle w:val="30"/>
              <w:widowControl w:val="0"/>
              <w:bidi w:val="0"/>
              <w:rPr>
                <w:color w:val="auto"/>
              </w:rPr>
            </w:pPr>
            <w:r>
              <w:rPr>
                <w:color w:val="auto"/>
              </w:rPr>
              <w:t>家具制造业</w:t>
            </w:r>
          </w:p>
        </w:tc>
        <w:tc>
          <w:tcPr>
            <w:tcW w:w="1200" w:type="dxa"/>
            <w:vAlign w:val="center"/>
          </w:tcPr>
          <w:p w14:paraId="310F94D3">
            <w:pPr>
              <w:pStyle w:val="30"/>
              <w:widowControl w:val="0"/>
              <w:bidi w:val="0"/>
              <w:rPr>
                <w:color w:val="auto"/>
              </w:rPr>
            </w:pPr>
            <w:r>
              <w:rPr>
                <w:color w:val="auto"/>
              </w:rPr>
              <w:t>限制</w:t>
            </w:r>
          </w:p>
        </w:tc>
      </w:tr>
      <w:tr w14:paraId="638AA5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3D0EFBB0">
            <w:pPr>
              <w:pStyle w:val="30"/>
              <w:widowControl w:val="0"/>
              <w:bidi w:val="0"/>
              <w:rPr>
                <w:color w:val="auto"/>
              </w:rPr>
            </w:pPr>
          </w:p>
        </w:tc>
        <w:tc>
          <w:tcPr>
            <w:tcW w:w="1722" w:type="dxa"/>
            <w:tcBorders>
              <w:left w:val="single" w:color="auto" w:sz="4" w:space="0"/>
            </w:tcBorders>
            <w:vAlign w:val="center"/>
          </w:tcPr>
          <w:p w14:paraId="1A6457B7">
            <w:pPr>
              <w:pStyle w:val="30"/>
              <w:widowControl w:val="0"/>
              <w:bidi w:val="0"/>
              <w:rPr>
                <w:color w:val="auto"/>
              </w:rPr>
            </w:pPr>
            <w:r>
              <w:rPr>
                <w:color w:val="auto"/>
              </w:rPr>
              <w:t>22</w:t>
            </w:r>
          </w:p>
        </w:tc>
        <w:tc>
          <w:tcPr>
            <w:tcW w:w="4349" w:type="dxa"/>
            <w:vAlign w:val="center"/>
          </w:tcPr>
          <w:p w14:paraId="5AE6235E">
            <w:pPr>
              <w:pStyle w:val="30"/>
              <w:widowControl w:val="0"/>
              <w:bidi w:val="0"/>
              <w:rPr>
                <w:color w:val="auto"/>
              </w:rPr>
            </w:pPr>
            <w:r>
              <w:rPr>
                <w:color w:val="auto"/>
              </w:rPr>
              <w:t>造纸和纸制品业</w:t>
            </w:r>
          </w:p>
        </w:tc>
        <w:tc>
          <w:tcPr>
            <w:tcW w:w="1200" w:type="dxa"/>
            <w:vAlign w:val="center"/>
          </w:tcPr>
          <w:p w14:paraId="61608918">
            <w:pPr>
              <w:pStyle w:val="30"/>
              <w:widowControl w:val="0"/>
              <w:bidi w:val="0"/>
              <w:rPr>
                <w:color w:val="auto"/>
              </w:rPr>
            </w:pPr>
            <w:r>
              <w:rPr>
                <w:color w:val="auto"/>
              </w:rPr>
              <w:t>禁止</w:t>
            </w:r>
          </w:p>
        </w:tc>
      </w:tr>
      <w:tr w14:paraId="2414C7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2D1ED0C0">
            <w:pPr>
              <w:pStyle w:val="30"/>
              <w:widowControl w:val="0"/>
              <w:bidi w:val="0"/>
              <w:rPr>
                <w:color w:val="auto"/>
              </w:rPr>
            </w:pPr>
          </w:p>
        </w:tc>
        <w:tc>
          <w:tcPr>
            <w:tcW w:w="1722" w:type="dxa"/>
            <w:tcBorders>
              <w:left w:val="single" w:color="auto" w:sz="4" w:space="0"/>
            </w:tcBorders>
            <w:vAlign w:val="center"/>
          </w:tcPr>
          <w:p w14:paraId="0F3D3673">
            <w:pPr>
              <w:pStyle w:val="30"/>
              <w:widowControl w:val="0"/>
              <w:bidi w:val="0"/>
              <w:rPr>
                <w:color w:val="auto"/>
              </w:rPr>
            </w:pPr>
            <w:r>
              <w:rPr>
                <w:color w:val="auto"/>
              </w:rPr>
              <w:t>23</w:t>
            </w:r>
          </w:p>
        </w:tc>
        <w:tc>
          <w:tcPr>
            <w:tcW w:w="4349" w:type="dxa"/>
            <w:vAlign w:val="center"/>
          </w:tcPr>
          <w:p w14:paraId="3A8C58BB">
            <w:pPr>
              <w:pStyle w:val="30"/>
              <w:widowControl w:val="0"/>
              <w:bidi w:val="0"/>
              <w:rPr>
                <w:color w:val="auto"/>
              </w:rPr>
            </w:pPr>
            <w:r>
              <w:rPr>
                <w:color w:val="auto"/>
              </w:rPr>
              <w:t>印刷和记录媒介复制业</w:t>
            </w:r>
          </w:p>
        </w:tc>
        <w:tc>
          <w:tcPr>
            <w:tcW w:w="1200" w:type="dxa"/>
            <w:vAlign w:val="center"/>
          </w:tcPr>
          <w:p w14:paraId="72F49406">
            <w:pPr>
              <w:pStyle w:val="30"/>
              <w:widowControl w:val="0"/>
              <w:bidi w:val="0"/>
              <w:rPr>
                <w:color w:val="auto"/>
              </w:rPr>
            </w:pPr>
            <w:r>
              <w:rPr>
                <w:color w:val="auto"/>
              </w:rPr>
              <w:t>禁止</w:t>
            </w:r>
          </w:p>
        </w:tc>
      </w:tr>
      <w:tr w14:paraId="5E1D0C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6504A183">
            <w:pPr>
              <w:pStyle w:val="30"/>
              <w:widowControl w:val="0"/>
              <w:bidi w:val="0"/>
              <w:rPr>
                <w:color w:val="auto"/>
              </w:rPr>
            </w:pPr>
          </w:p>
        </w:tc>
        <w:tc>
          <w:tcPr>
            <w:tcW w:w="1722" w:type="dxa"/>
            <w:tcBorders>
              <w:left w:val="single" w:color="auto" w:sz="4" w:space="0"/>
            </w:tcBorders>
            <w:vAlign w:val="center"/>
          </w:tcPr>
          <w:p w14:paraId="3423CD84">
            <w:pPr>
              <w:pStyle w:val="30"/>
              <w:widowControl w:val="0"/>
              <w:bidi w:val="0"/>
              <w:rPr>
                <w:color w:val="auto"/>
              </w:rPr>
            </w:pPr>
            <w:r>
              <w:rPr>
                <w:color w:val="auto"/>
              </w:rPr>
              <w:t>24</w:t>
            </w:r>
          </w:p>
        </w:tc>
        <w:tc>
          <w:tcPr>
            <w:tcW w:w="4349" w:type="dxa"/>
            <w:vAlign w:val="center"/>
          </w:tcPr>
          <w:p w14:paraId="7058AAE8">
            <w:pPr>
              <w:pStyle w:val="30"/>
              <w:widowControl w:val="0"/>
              <w:bidi w:val="0"/>
              <w:rPr>
                <w:color w:val="auto"/>
              </w:rPr>
            </w:pPr>
            <w:r>
              <w:rPr>
                <w:color w:val="auto"/>
              </w:rPr>
              <w:t>文教、工美、体育和娱乐用品制造业</w:t>
            </w:r>
          </w:p>
        </w:tc>
        <w:tc>
          <w:tcPr>
            <w:tcW w:w="1200" w:type="dxa"/>
            <w:vAlign w:val="center"/>
          </w:tcPr>
          <w:p w14:paraId="247BFFE5">
            <w:pPr>
              <w:pStyle w:val="30"/>
              <w:widowControl w:val="0"/>
              <w:bidi w:val="0"/>
              <w:rPr>
                <w:color w:val="auto"/>
              </w:rPr>
            </w:pPr>
            <w:r>
              <w:rPr>
                <w:color w:val="auto"/>
              </w:rPr>
              <w:t>允许</w:t>
            </w:r>
          </w:p>
        </w:tc>
      </w:tr>
      <w:tr w14:paraId="36160E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7E27464">
            <w:pPr>
              <w:pStyle w:val="30"/>
              <w:widowControl w:val="0"/>
              <w:bidi w:val="0"/>
              <w:rPr>
                <w:color w:val="auto"/>
              </w:rPr>
            </w:pPr>
          </w:p>
        </w:tc>
        <w:tc>
          <w:tcPr>
            <w:tcW w:w="1722" w:type="dxa"/>
            <w:tcBorders>
              <w:left w:val="single" w:color="auto" w:sz="4" w:space="0"/>
            </w:tcBorders>
            <w:vAlign w:val="center"/>
          </w:tcPr>
          <w:p w14:paraId="69F92726">
            <w:pPr>
              <w:pStyle w:val="30"/>
              <w:widowControl w:val="0"/>
              <w:bidi w:val="0"/>
              <w:rPr>
                <w:color w:val="auto"/>
              </w:rPr>
            </w:pPr>
            <w:r>
              <w:rPr>
                <w:color w:val="auto"/>
              </w:rPr>
              <w:t>25</w:t>
            </w:r>
          </w:p>
        </w:tc>
        <w:tc>
          <w:tcPr>
            <w:tcW w:w="4349" w:type="dxa"/>
            <w:vAlign w:val="center"/>
          </w:tcPr>
          <w:p w14:paraId="2B58CF71">
            <w:pPr>
              <w:pStyle w:val="30"/>
              <w:widowControl w:val="0"/>
              <w:bidi w:val="0"/>
              <w:rPr>
                <w:color w:val="auto"/>
              </w:rPr>
            </w:pPr>
            <w:r>
              <w:rPr>
                <w:color w:val="auto"/>
              </w:rPr>
              <w:t>石油加工、炼焦和核燃料加工业</w:t>
            </w:r>
          </w:p>
        </w:tc>
        <w:tc>
          <w:tcPr>
            <w:tcW w:w="1200" w:type="dxa"/>
            <w:vAlign w:val="center"/>
          </w:tcPr>
          <w:p w14:paraId="150ABE23">
            <w:pPr>
              <w:pStyle w:val="30"/>
              <w:widowControl w:val="0"/>
              <w:bidi w:val="0"/>
              <w:rPr>
                <w:color w:val="auto"/>
              </w:rPr>
            </w:pPr>
            <w:r>
              <w:rPr>
                <w:color w:val="auto"/>
              </w:rPr>
              <w:t>禁止</w:t>
            </w:r>
          </w:p>
        </w:tc>
      </w:tr>
      <w:tr w14:paraId="34515D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5B7DFF9B">
            <w:pPr>
              <w:pStyle w:val="30"/>
              <w:widowControl w:val="0"/>
              <w:bidi w:val="0"/>
              <w:rPr>
                <w:color w:val="auto"/>
              </w:rPr>
            </w:pPr>
          </w:p>
        </w:tc>
        <w:tc>
          <w:tcPr>
            <w:tcW w:w="1722" w:type="dxa"/>
            <w:tcBorders>
              <w:left w:val="single" w:color="auto" w:sz="4" w:space="0"/>
            </w:tcBorders>
            <w:vAlign w:val="center"/>
          </w:tcPr>
          <w:p w14:paraId="6503CDE1">
            <w:pPr>
              <w:pStyle w:val="30"/>
              <w:widowControl w:val="0"/>
              <w:bidi w:val="0"/>
              <w:rPr>
                <w:color w:val="auto"/>
              </w:rPr>
            </w:pPr>
            <w:r>
              <w:rPr>
                <w:color w:val="auto"/>
              </w:rPr>
              <w:t>26</w:t>
            </w:r>
          </w:p>
        </w:tc>
        <w:tc>
          <w:tcPr>
            <w:tcW w:w="4349" w:type="dxa"/>
            <w:vAlign w:val="center"/>
          </w:tcPr>
          <w:p w14:paraId="2F1AF9B6">
            <w:pPr>
              <w:pStyle w:val="30"/>
              <w:widowControl w:val="0"/>
              <w:bidi w:val="0"/>
              <w:rPr>
                <w:color w:val="auto"/>
              </w:rPr>
            </w:pPr>
            <w:r>
              <w:rPr>
                <w:color w:val="auto"/>
              </w:rPr>
              <w:t>化学原料和化学制品制造</w:t>
            </w:r>
          </w:p>
        </w:tc>
        <w:tc>
          <w:tcPr>
            <w:tcW w:w="1200" w:type="dxa"/>
            <w:vAlign w:val="center"/>
          </w:tcPr>
          <w:p w14:paraId="2A9F12B6">
            <w:pPr>
              <w:pStyle w:val="30"/>
              <w:widowControl w:val="0"/>
              <w:bidi w:val="0"/>
              <w:rPr>
                <w:color w:val="auto"/>
              </w:rPr>
            </w:pPr>
            <w:r>
              <w:rPr>
                <w:color w:val="auto"/>
              </w:rPr>
              <w:t>/</w:t>
            </w:r>
          </w:p>
        </w:tc>
      </w:tr>
      <w:tr w14:paraId="054EA9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3535F31E">
            <w:pPr>
              <w:pStyle w:val="30"/>
              <w:widowControl w:val="0"/>
              <w:bidi w:val="0"/>
              <w:rPr>
                <w:color w:val="auto"/>
              </w:rPr>
            </w:pPr>
          </w:p>
        </w:tc>
        <w:tc>
          <w:tcPr>
            <w:tcW w:w="1722" w:type="dxa"/>
            <w:vMerge w:val="restart"/>
            <w:tcBorders>
              <w:left w:val="single" w:color="auto" w:sz="4" w:space="0"/>
              <w:bottom w:val="nil"/>
            </w:tcBorders>
            <w:vAlign w:val="center"/>
          </w:tcPr>
          <w:p w14:paraId="548DD8E6">
            <w:pPr>
              <w:pStyle w:val="30"/>
              <w:widowControl w:val="0"/>
              <w:bidi w:val="0"/>
              <w:rPr>
                <w:color w:val="auto"/>
              </w:rPr>
            </w:pPr>
            <w:r>
              <w:rPr>
                <w:color w:val="auto"/>
              </w:rPr>
              <w:t>其中</w:t>
            </w:r>
          </w:p>
        </w:tc>
        <w:tc>
          <w:tcPr>
            <w:tcW w:w="4349" w:type="dxa"/>
            <w:vAlign w:val="center"/>
          </w:tcPr>
          <w:p w14:paraId="05280674">
            <w:pPr>
              <w:pStyle w:val="30"/>
              <w:widowControl w:val="0"/>
              <w:bidi w:val="0"/>
              <w:rPr>
                <w:color w:val="auto"/>
              </w:rPr>
            </w:pPr>
            <w:r>
              <w:rPr>
                <w:color w:val="auto"/>
              </w:rPr>
              <w:t>261  基础化学原料制造</w:t>
            </w:r>
          </w:p>
        </w:tc>
        <w:tc>
          <w:tcPr>
            <w:tcW w:w="1200" w:type="dxa"/>
            <w:vAlign w:val="center"/>
          </w:tcPr>
          <w:p w14:paraId="76422C8C">
            <w:pPr>
              <w:pStyle w:val="30"/>
              <w:widowControl w:val="0"/>
              <w:bidi w:val="0"/>
              <w:rPr>
                <w:color w:val="auto"/>
              </w:rPr>
            </w:pPr>
            <w:r>
              <w:rPr>
                <w:color w:val="auto"/>
              </w:rPr>
              <w:t>限制</w:t>
            </w:r>
          </w:p>
        </w:tc>
      </w:tr>
      <w:tr w14:paraId="0125DF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09F62B64">
            <w:pPr>
              <w:pStyle w:val="30"/>
              <w:widowControl w:val="0"/>
              <w:bidi w:val="0"/>
              <w:rPr>
                <w:color w:val="auto"/>
              </w:rPr>
            </w:pPr>
          </w:p>
        </w:tc>
        <w:tc>
          <w:tcPr>
            <w:tcW w:w="1722" w:type="dxa"/>
            <w:vMerge w:val="continue"/>
            <w:tcBorders>
              <w:top w:val="nil"/>
              <w:left w:val="single" w:color="auto" w:sz="4" w:space="0"/>
              <w:bottom w:val="nil"/>
            </w:tcBorders>
            <w:vAlign w:val="center"/>
          </w:tcPr>
          <w:p w14:paraId="645DD2EA">
            <w:pPr>
              <w:pStyle w:val="30"/>
              <w:widowControl w:val="0"/>
              <w:bidi w:val="0"/>
              <w:rPr>
                <w:color w:val="auto"/>
              </w:rPr>
            </w:pPr>
          </w:p>
        </w:tc>
        <w:tc>
          <w:tcPr>
            <w:tcW w:w="4349" w:type="dxa"/>
            <w:vAlign w:val="center"/>
          </w:tcPr>
          <w:p w14:paraId="525A7952">
            <w:pPr>
              <w:pStyle w:val="30"/>
              <w:widowControl w:val="0"/>
              <w:bidi w:val="0"/>
              <w:rPr>
                <w:color w:val="auto"/>
              </w:rPr>
            </w:pPr>
            <w:r>
              <w:rPr>
                <w:color w:val="auto"/>
              </w:rPr>
              <w:t>262  肥料制造</w:t>
            </w:r>
          </w:p>
        </w:tc>
        <w:tc>
          <w:tcPr>
            <w:tcW w:w="1200" w:type="dxa"/>
            <w:vAlign w:val="center"/>
          </w:tcPr>
          <w:p w14:paraId="4942D659">
            <w:pPr>
              <w:pStyle w:val="30"/>
              <w:widowControl w:val="0"/>
              <w:bidi w:val="0"/>
              <w:rPr>
                <w:color w:val="auto"/>
              </w:rPr>
            </w:pPr>
            <w:r>
              <w:rPr>
                <w:color w:val="auto"/>
              </w:rPr>
              <w:t>限制</w:t>
            </w:r>
          </w:p>
        </w:tc>
      </w:tr>
      <w:tr w14:paraId="404814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2233AB7D">
            <w:pPr>
              <w:pStyle w:val="30"/>
              <w:widowControl w:val="0"/>
              <w:bidi w:val="0"/>
              <w:rPr>
                <w:color w:val="auto"/>
              </w:rPr>
            </w:pPr>
          </w:p>
        </w:tc>
        <w:tc>
          <w:tcPr>
            <w:tcW w:w="1722" w:type="dxa"/>
            <w:vMerge w:val="continue"/>
            <w:tcBorders>
              <w:top w:val="nil"/>
              <w:left w:val="single" w:color="auto" w:sz="4" w:space="0"/>
              <w:bottom w:val="nil"/>
            </w:tcBorders>
            <w:vAlign w:val="center"/>
          </w:tcPr>
          <w:p w14:paraId="5829EADE">
            <w:pPr>
              <w:pStyle w:val="30"/>
              <w:widowControl w:val="0"/>
              <w:bidi w:val="0"/>
              <w:rPr>
                <w:color w:val="auto"/>
              </w:rPr>
            </w:pPr>
          </w:p>
        </w:tc>
        <w:tc>
          <w:tcPr>
            <w:tcW w:w="4349" w:type="dxa"/>
            <w:vAlign w:val="center"/>
          </w:tcPr>
          <w:p w14:paraId="73463551">
            <w:pPr>
              <w:pStyle w:val="30"/>
              <w:widowControl w:val="0"/>
              <w:bidi w:val="0"/>
              <w:rPr>
                <w:color w:val="auto"/>
              </w:rPr>
            </w:pPr>
            <w:r>
              <w:rPr>
                <w:color w:val="auto"/>
              </w:rPr>
              <w:t>263  农药制造</w:t>
            </w:r>
          </w:p>
        </w:tc>
        <w:tc>
          <w:tcPr>
            <w:tcW w:w="1200" w:type="dxa"/>
            <w:vAlign w:val="center"/>
          </w:tcPr>
          <w:p w14:paraId="1AEF46DF">
            <w:pPr>
              <w:pStyle w:val="30"/>
              <w:widowControl w:val="0"/>
              <w:bidi w:val="0"/>
              <w:rPr>
                <w:color w:val="auto"/>
              </w:rPr>
            </w:pPr>
            <w:r>
              <w:rPr>
                <w:color w:val="auto"/>
              </w:rPr>
              <w:t>限制</w:t>
            </w:r>
          </w:p>
        </w:tc>
      </w:tr>
      <w:tr w14:paraId="3E9343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3A917FBE">
            <w:pPr>
              <w:pStyle w:val="30"/>
              <w:widowControl w:val="0"/>
              <w:bidi w:val="0"/>
              <w:rPr>
                <w:color w:val="auto"/>
              </w:rPr>
            </w:pPr>
          </w:p>
        </w:tc>
        <w:tc>
          <w:tcPr>
            <w:tcW w:w="1722" w:type="dxa"/>
            <w:vMerge w:val="continue"/>
            <w:tcBorders>
              <w:top w:val="nil"/>
              <w:left w:val="single" w:color="auto" w:sz="4" w:space="0"/>
              <w:bottom w:val="nil"/>
            </w:tcBorders>
            <w:vAlign w:val="center"/>
          </w:tcPr>
          <w:p w14:paraId="06932287">
            <w:pPr>
              <w:pStyle w:val="30"/>
              <w:widowControl w:val="0"/>
              <w:bidi w:val="0"/>
              <w:rPr>
                <w:color w:val="auto"/>
              </w:rPr>
            </w:pPr>
          </w:p>
        </w:tc>
        <w:tc>
          <w:tcPr>
            <w:tcW w:w="4349" w:type="dxa"/>
            <w:vAlign w:val="center"/>
          </w:tcPr>
          <w:p w14:paraId="00167C4B">
            <w:pPr>
              <w:pStyle w:val="30"/>
              <w:widowControl w:val="0"/>
              <w:bidi w:val="0"/>
              <w:rPr>
                <w:color w:val="auto"/>
              </w:rPr>
            </w:pPr>
            <w:r>
              <w:rPr>
                <w:color w:val="auto"/>
              </w:rPr>
              <w:t>264  涂料、油墨、颜料及类似产品制造</w:t>
            </w:r>
          </w:p>
        </w:tc>
        <w:tc>
          <w:tcPr>
            <w:tcW w:w="1200" w:type="dxa"/>
            <w:vAlign w:val="center"/>
          </w:tcPr>
          <w:p w14:paraId="19DA757F">
            <w:pPr>
              <w:pStyle w:val="30"/>
              <w:widowControl w:val="0"/>
              <w:bidi w:val="0"/>
              <w:rPr>
                <w:color w:val="auto"/>
              </w:rPr>
            </w:pPr>
            <w:r>
              <w:rPr>
                <w:color w:val="auto"/>
              </w:rPr>
              <w:t>允许</w:t>
            </w:r>
          </w:p>
        </w:tc>
      </w:tr>
      <w:tr w14:paraId="0B96EF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3DFF8203">
            <w:pPr>
              <w:pStyle w:val="30"/>
              <w:widowControl w:val="0"/>
              <w:bidi w:val="0"/>
              <w:rPr>
                <w:color w:val="auto"/>
              </w:rPr>
            </w:pPr>
          </w:p>
        </w:tc>
        <w:tc>
          <w:tcPr>
            <w:tcW w:w="1722" w:type="dxa"/>
            <w:vMerge w:val="continue"/>
            <w:tcBorders>
              <w:top w:val="nil"/>
              <w:left w:val="single" w:color="auto" w:sz="4" w:space="0"/>
              <w:bottom w:val="nil"/>
            </w:tcBorders>
            <w:vAlign w:val="center"/>
          </w:tcPr>
          <w:p w14:paraId="32E37418">
            <w:pPr>
              <w:pStyle w:val="30"/>
              <w:widowControl w:val="0"/>
              <w:bidi w:val="0"/>
              <w:rPr>
                <w:color w:val="auto"/>
              </w:rPr>
            </w:pPr>
          </w:p>
        </w:tc>
        <w:tc>
          <w:tcPr>
            <w:tcW w:w="4349" w:type="dxa"/>
            <w:vAlign w:val="center"/>
          </w:tcPr>
          <w:p w14:paraId="6C75FE70">
            <w:pPr>
              <w:pStyle w:val="30"/>
              <w:widowControl w:val="0"/>
              <w:bidi w:val="0"/>
              <w:rPr>
                <w:color w:val="auto"/>
              </w:rPr>
            </w:pPr>
            <w:r>
              <w:rPr>
                <w:color w:val="auto"/>
              </w:rPr>
              <w:t>265  合成材料</w:t>
            </w:r>
          </w:p>
        </w:tc>
        <w:tc>
          <w:tcPr>
            <w:tcW w:w="1200" w:type="dxa"/>
            <w:vAlign w:val="center"/>
          </w:tcPr>
          <w:p w14:paraId="21CE679C">
            <w:pPr>
              <w:pStyle w:val="30"/>
              <w:widowControl w:val="0"/>
              <w:bidi w:val="0"/>
              <w:rPr>
                <w:color w:val="auto"/>
              </w:rPr>
            </w:pPr>
            <w:r>
              <w:rPr>
                <w:color w:val="auto"/>
              </w:rPr>
              <w:t>允许</w:t>
            </w:r>
          </w:p>
        </w:tc>
      </w:tr>
      <w:tr w14:paraId="64C12E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70040F2A">
            <w:pPr>
              <w:pStyle w:val="30"/>
              <w:widowControl w:val="0"/>
              <w:bidi w:val="0"/>
              <w:rPr>
                <w:color w:val="auto"/>
              </w:rPr>
            </w:pPr>
          </w:p>
        </w:tc>
        <w:tc>
          <w:tcPr>
            <w:tcW w:w="1722" w:type="dxa"/>
            <w:vMerge w:val="continue"/>
            <w:tcBorders>
              <w:top w:val="nil"/>
              <w:left w:val="single" w:color="auto" w:sz="4" w:space="0"/>
              <w:bottom w:val="nil"/>
            </w:tcBorders>
            <w:vAlign w:val="center"/>
          </w:tcPr>
          <w:p w14:paraId="18C66EBA">
            <w:pPr>
              <w:pStyle w:val="30"/>
              <w:widowControl w:val="0"/>
              <w:bidi w:val="0"/>
              <w:rPr>
                <w:color w:val="auto"/>
              </w:rPr>
            </w:pPr>
          </w:p>
        </w:tc>
        <w:tc>
          <w:tcPr>
            <w:tcW w:w="4349" w:type="dxa"/>
            <w:vAlign w:val="center"/>
          </w:tcPr>
          <w:p w14:paraId="4E9CB482">
            <w:pPr>
              <w:pStyle w:val="30"/>
              <w:widowControl w:val="0"/>
              <w:bidi w:val="0"/>
              <w:rPr>
                <w:color w:val="auto"/>
              </w:rPr>
            </w:pPr>
            <w:r>
              <w:rPr>
                <w:color w:val="auto"/>
              </w:rPr>
              <w:t>266  专用化学产品制造</w:t>
            </w:r>
          </w:p>
        </w:tc>
        <w:tc>
          <w:tcPr>
            <w:tcW w:w="1200" w:type="dxa"/>
            <w:vAlign w:val="center"/>
          </w:tcPr>
          <w:p w14:paraId="22F585D8">
            <w:pPr>
              <w:pStyle w:val="30"/>
              <w:widowControl w:val="0"/>
              <w:bidi w:val="0"/>
              <w:rPr>
                <w:color w:val="auto"/>
              </w:rPr>
            </w:pPr>
            <w:r>
              <w:rPr>
                <w:color w:val="auto"/>
              </w:rPr>
              <w:t>允许</w:t>
            </w:r>
          </w:p>
        </w:tc>
      </w:tr>
      <w:tr w14:paraId="36542A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071D8E27">
            <w:pPr>
              <w:pStyle w:val="30"/>
              <w:widowControl w:val="0"/>
              <w:bidi w:val="0"/>
              <w:rPr>
                <w:color w:val="auto"/>
              </w:rPr>
            </w:pPr>
          </w:p>
        </w:tc>
        <w:tc>
          <w:tcPr>
            <w:tcW w:w="1722" w:type="dxa"/>
            <w:vMerge w:val="continue"/>
            <w:tcBorders>
              <w:top w:val="nil"/>
              <w:left w:val="single" w:color="auto" w:sz="4" w:space="0"/>
              <w:bottom w:val="nil"/>
            </w:tcBorders>
            <w:vAlign w:val="center"/>
          </w:tcPr>
          <w:p w14:paraId="3F189CFB">
            <w:pPr>
              <w:pStyle w:val="30"/>
              <w:widowControl w:val="0"/>
              <w:bidi w:val="0"/>
              <w:rPr>
                <w:color w:val="auto"/>
              </w:rPr>
            </w:pPr>
          </w:p>
        </w:tc>
        <w:tc>
          <w:tcPr>
            <w:tcW w:w="4349" w:type="dxa"/>
            <w:vAlign w:val="center"/>
          </w:tcPr>
          <w:p w14:paraId="26771662">
            <w:pPr>
              <w:pStyle w:val="30"/>
              <w:widowControl w:val="0"/>
              <w:bidi w:val="0"/>
              <w:rPr>
                <w:color w:val="auto"/>
              </w:rPr>
            </w:pPr>
            <w:r>
              <w:rPr>
                <w:color w:val="auto"/>
              </w:rPr>
              <w:t>267  炸药、火工及焰火产品制造</w:t>
            </w:r>
          </w:p>
        </w:tc>
        <w:tc>
          <w:tcPr>
            <w:tcW w:w="1200" w:type="dxa"/>
            <w:vAlign w:val="center"/>
          </w:tcPr>
          <w:p w14:paraId="61681D3D">
            <w:pPr>
              <w:pStyle w:val="30"/>
              <w:widowControl w:val="0"/>
              <w:bidi w:val="0"/>
              <w:rPr>
                <w:color w:val="auto"/>
              </w:rPr>
            </w:pPr>
            <w:r>
              <w:rPr>
                <w:color w:val="auto"/>
              </w:rPr>
              <w:t>禁止</w:t>
            </w:r>
          </w:p>
        </w:tc>
      </w:tr>
      <w:tr w14:paraId="5728EF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26663572">
            <w:pPr>
              <w:pStyle w:val="30"/>
              <w:widowControl w:val="0"/>
              <w:bidi w:val="0"/>
              <w:rPr>
                <w:color w:val="auto"/>
              </w:rPr>
            </w:pPr>
          </w:p>
        </w:tc>
        <w:tc>
          <w:tcPr>
            <w:tcW w:w="1722" w:type="dxa"/>
            <w:vMerge w:val="continue"/>
            <w:tcBorders>
              <w:top w:val="nil"/>
              <w:left w:val="single" w:color="auto" w:sz="4" w:space="0"/>
            </w:tcBorders>
            <w:vAlign w:val="center"/>
          </w:tcPr>
          <w:p w14:paraId="3FE3301A">
            <w:pPr>
              <w:pStyle w:val="30"/>
              <w:widowControl w:val="0"/>
              <w:bidi w:val="0"/>
              <w:rPr>
                <w:color w:val="auto"/>
              </w:rPr>
            </w:pPr>
          </w:p>
        </w:tc>
        <w:tc>
          <w:tcPr>
            <w:tcW w:w="4349" w:type="dxa"/>
            <w:vAlign w:val="center"/>
          </w:tcPr>
          <w:p w14:paraId="28FB998C">
            <w:pPr>
              <w:pStyle w:val="30"/>
              <w:widowControl w:val="0"/>
              <w:bidi w:val="0"/>
              <w:rPr>
                <w:color w:val="auto"/>
              </w:rPr>
            </w:pPr>
            <w:r>
              <w:rPr>
                <w:color w:val="auto"/>
              </w:rPr>
              <w:t>268  日用化学产品制造</w:t>
            </w:r>
          </w:p>
        </w:tc>
        <w:tc>
          <w:tcPr>
            <w:tcW w:w="1200" w:type="dxa"/>
            <w:vAlign w:val="center"/>
          </w:tcPr>
          <w:p w14:paraId="40365C8A">
            <w:pPr>
              <w:pStyle w:val="30"/>
              <w:widowControl w:val="0"/>
              <w:bidi w:val="0"/>
              <w:rPr>
                <w:color w:val="auto"/>
              </w:rPr>
            </w:pPr>
            <w:r>
              <w:rPr>
                <w:color w:val="auto"/>
              </w:rPr>
              <w:t>允许</w:t>
            </w:r>
          </w:p>
        </w:tc>
      </w:tr>
      <w:tr w14:paraId="3AD2CA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3BBC189">
            <w:pPr>
              <w:pStyle w:val="30"/>
              <w:widowControl w:val="0"/>
              <w:bidi w:val="0"/>
              <w:rPr>
                <w:color w:val="auto"/>
              </w:rPr>
            </w:pPr>
          </w:p>
        </w:tc>
        <w:tc>
          <w:tcPr>
            <w:tcW w:w="1722" w:type="dxa"/>
            <w:tcBorders>
              <w:left w:val="single" w:color="auto" w:sz="4" w:space="0"/>
            </w:tcBorders>
            <w:vAlign w:val="center"/>
          </w:tcPr>
          <w:p w14:paraId="6A986C71">
            <w:pPr>
              <w:pStyle w:val="30"/>
              <w:widowControl w:val="0"/>
              <w:bidi w:val="0"/>
              <w:rPr>
                <w:color w:val="auto"/>
              </w:rPr>
            </w:pPr>
            <w:r>
              <w:rPr>
                <w:color w:val="auto"/>
              </w:rPr>
              <w:t>27</w:t>
            </w:r>
          </w:p>
        </w:tc>
        <w:tc>
          <w:tcPr>
            <w:tcW w:w="4349" w:type="dxa"/>
            <w:vAlign w:val="center"/>
          </w:tcPr>
          <w:p w14:paraId="4CD735FC">
            <w:pPr>
              <w:pStyle w:val="30"/>
              <w:widowControl w:val="0"/>
              <w:bidi w:val="0"/>
              <w:rPr>
                <w:color w:val="auto"/>
              </w:rPr>
            </w:pPr>
            <w:r>
              <w:rPr>
                <w:color w:val="auto"/>
              </w:rPr>
              <w:t>医药制造业</w:t>
            </w:r>
          </w:p>
        </w:tc>
        <w:tc>
          <w:tcPr>
            <w:tcW w:w="1200" w:type="dxa"/>
            <w:vAlign w:val="center"/>
          </w:tcPr>
          <w:p w14:paraId="442B2930">
            <w:pPr>
              <w:pStyle w:val="30"/>
              <w:widowControl w:val="0"/>
              <w:bidi w:val="0"/>
              <w:rPr>
                <w:color w:val="auto"/>
              </w:rPr>
            </w:pPr>
            <w:r>
              <w:rPr>
                <w:color w:val="auto"/>
              </w:rPr>
              <w:t>限制</w:t>
            </w:r>
          </w:p>
        </w:tc>
      </w:tr>
      <w:tr w14:paraId="04AFDD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1770EDF">
            <w:pPr>
              <w:pStyle w:val="30"/>
              <w:widowControl w:val="0"/>
              <w:bidi w:val="0"/>
              <w:rPr>
                <w:color w:val="auto"/>
              </w:rPr>
            </w:pPr>
          </w:p>
        </w:tc>
        <w:tc>
          <w:tcPr>
            <w:tcW w:w="1722" w:type="dxa"/>
            <w:tcBorders>
              <w:left w:val="single" w:color="auto" w:sz="4" w:space="0"/>
            </w:tcBorders>
            <w:vAlign w:val="center"/>
          </w:tcPr>
          <w:p w14:paraId="185E8389">
            <w:pPr>
              <w:pStyle w:val="30"/>
              <w:widowControl w:val="0"/>
              <w:bidi w:val="0"/>
              <w:rPr>
                <w:color w:val="auto"/>
              </w:rPr>
            </w:pPr>
            <w:r>
              <w:rPr>
                <w:color w:val="auto"/>
              </w:rPr>
              <w:t>28</w:t>
            </w:r>
          </w:p>
        </w:tc>
        <w:tc>
          <w:tcPr>
            <w:tcW w:w="4349" w:type="dxa"/>
            <w:vAlign w:val="center"/>
          </w:tcPr>
          <w:p w14:paraId="30551D14">
            <w:pPr>
              <w:pStyle w:val="30"/>
              <w:widowControl w:val="0"/>
              <w:bidi w:val="0"/>
              <w:rPr>
                <w:color w:val="auto"/>
              </w:rPr>
            </w:pPr>
            <w:r>
              <w:rPr>
                <w:color w:val="auto"/>
              </w:rPr>
              <w:t>化学纤维制造</w:t>
            </w:r>
          </w:p>
        </w:tc>
        <w:tc>
          <w:tcPr>
            <w:tcW w:w="1200" w:type="dxa"/>
            <w:vAlign w:val="center"/>
          </w:tcPr>
          <w:p w14:paraId="6A8F454F">
            <w:pPr>
              <w:pStyle w:val="30"/>
              <w:widowControl w:val="0"/>
              <w:bidi w:val="0"/>
              <w:rPr>
                <w:color w:val="auto"/>
              </w:rPr>
            </w:pPr>
            <w:r>
              <w:rPr>
                <w:color w:val="auto"/>
              </w:rPr>
              <w:t>允许</w:t>
            </w:r>
          </w:p>
        </w:tc>
      </w:tr>
      <w:tr w14:paraId="612C47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0A28CC23">
            <w:pPr>
              <w:pStyle w:val="30"/>
              <w:widowControl w:val="0"/>
              <w:bidi w:val="0"/>
              <w:rPr>
                <w:color w:val="auto"/>
              </w:rPr>
            </w:pPr>
          </w:p>
        </w:tc>
        <w:tc>
          <w:tcPr>
            <w:tcW w:w="1722" w:type="dxa"/>
            <w:tcBorders>
              <w:left w:val="single" w:color="auto" w:sz="4" w:space="0"/>
            </w:tcBorders>
            <w:vAlign w:val="center"/>
          </w:tcPr>
          <w:p w14:paraId="5988A3CA">
            <w:pPr>
              <w:pStyle w:val="30"/>
              <w:widowControl w:val="0"/>
              <w:bidi w:val="0"/>
              <w:rPr>
                <w:color w:val="auto"/>
              </w:rPr>
            </w:pPr>
            <w:r>
              <w:rPr>
                <w:color w:val="auto"/>
              </w:rPr>
              <w:t>29</w:t>
            </w:r>
          </w:p>
        </w:tc>
        <w:tc>
          <w:tcPr>
            <w:tcW w:w="4349" w:type="dxa"/>
            <w:vAlign w:val="center"/>
          </w:tcPr>
          <w:p w14:paraId="6961F46C">
            <w:pPr>
              <w:pStyle w:val="30"/>
              <w:widowControl w:val="0"/>
              <w:bidi w:val="0"/>
              <w:rPr>
                <w:color w:val="auto"/>
              </w:rPr>
            </w:pPr>
            <w:r>
              <w:rPr>
                <w:color w:val="auto"/>
              </w:rPr>
              <w:t>橡胶和塑料制品</w:t>
            </w:r>
          </w:p>
        </w:tc>
        <w:tc>
          <w:tcPr>
            <w:tcW w:w="1200" w:type="dxa"/>
            <w:vAlign w:val="center"/>
          </w:tcPr>
          <w:p w14:paraId="1E615CCE">
            <w:pPr>
              <w:pStyle w:val="30"/>
              <w:widowControl w:val="0"/>
              <w:bidi w:val="0"/>
              <w:rPr>
                <w:color w:val="auto"/>
              </w:rPr>
            </w:pPr>
            <w:r>
              <w:rPr>
                <w:color w:val="auto"/>
              </w:rPr>
              <w:t>允许</w:t>
            </w:r>
          </w:p>
        </w:tc>
      </w:tr>
      <w:tr w14:paraId="27B811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3E61835">
            <w:pPr>
              <w:pStyle w:val="30"/>
              <w:widowControl w:val="0"/>
              <w:bidi w:val="0"/>
              <w:rPr>
                <w:color w:val="auto"/>
              </w:rPr>
            </w:pPr>
          </w:p>
        </w:tc>
        <w:tc>
          <w:tcPr>
            <w:tcW w:w="1722" w:type="dxa"/>
            <w:tcBorders>
              <w:left w:val="single" w:color="auto" w:sz="4" w:space="0"/>
            </w:tcBorders>
            <w:vAlign w:val="center"/>
          </w:tcPr>
          <w:p w14:paraId="1926D471">
            <w:pPr>
              <w:pStyle w:val="30"/>
              <w:widowControl w:val="0"/>
              <w:bidi w:val="0"/>
              <w:rPr>
                <w:color w:val="auto"/>
              </w:rPr>
            </w:pPr>
            <w:r>
              <w:rPr>
                <w:color w:val="auto"/>
              </w:rPr>
              <w:t>30</w:t>
            </w:r>
          </w:p>
        </w:tc>
        <w:tc>
          <w:tcPr>
            <w:tcW w:w="4349" w:type="dxa"/>
            <w:vAlign w:val="center"/>
          </w:tcPr>
          <w:p w14:paraId="7BE2FDF7">
            <w:pPr>
              <w:pStyle w:val="30"/>
              <w:widowControl w:val="0"/>
              <w:bidi w:val="0"/>
              <w:rPr>
                <w:color w:val="auto"/>
              </w:rPr>
            </w:pPr>
            <w:r>
              <w:rPr>
                <w:color w:val="auto"/>
              </w:rPr>
              <w:t>非金属矿物制品业</w:t>
            </w:r>
          </w:p>
        </w:tc>
        <w:tc>
          <w:tcPr>
            <w:tcW w:w="1200" w:type="dxa"/>
            <w:vAlign w:val="center"/>
          </w:tcPr>
          <w:p w14:paraId="170A2DF1">
            <w:pPr>
              <w:pStyle w:val="30"/>
              <w:widowControl w:val="0"/>
              <w:bidi w:val="0"/>
              <w:rPr>
                <w:color w:val="auto"/>
              </w:rPr>
            </w:pPr>
            <w:r>
              <w:rPr>
                <w:color w:val="auto"/>
              </w:rPr>
              <w:t>限制</w:t>
            </w:r>
          </w:p>
        </w:tc>
      </w:tr>
      <w:tr w14:paraId="29F426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BF59984">
            <w:pPr>
              <w:pStyle w:val="30"/>
              <w:widowControl w:val="0"/>
              <w:bidi w:val="0"/>
              <w:rPr>
                <w:color w:val="auto"/>
              </w:rPr>
            </w:pPr>
          </w:p>
        </w:tc>
        <w:tc>
          <w:tcPr>
            <w:tcW w:w="1722" w:type="dxa"/>
            <w:tcBorders>
              <w:left w:val="single" w:color="auto" w:sz="4" w:space="0"/>
            </w:tcBorders>
            <w:vAlign w:val="center"/>
          </w:tcPr>
          <w:p w14:paraId="4D2EE925">
            <w:pPr>
              <w:pStyle w:val="30"/>
              <w:widowControl w:val="0"/>
              <w:bidi w:val="0"/>
              <w:rPr>
                <w:color w:val="auto"/>
              </w:rPr>
            </w:pPr>
            <w:r>
              <w:rPr>
                <w:color w:val="auto"/>
              </w:rPr>
              <w:t>31</w:t>
            </w:r>
          </w:p>
        </w:tc>
        <w:tc>
          <w:tcPr>
            <w:tcW w:w="4349" w:type="dxa"/>
            <w:vAlign w:val="center"/>
          </w:tcPr>
          <w:p w14:paraId="45A7DA9F">
            <w:pPr>
              <w:pStyle w:val="30"/>
              <w:widowControl w:val="0"/>
              <w:bidi w:val="0"/>
              <w:rPr>
                <w:color w:val="auto"/>
              </w:rPr>
            </w:pPr>
            <w:r>
              <w:rPr>
                <w:color w:val="auto"/>
              </w:rPr>
              <w:t>黑色金属冶炼和压延加工业</w:t>
            </w:r>
          </w:p>
        </w:tc>
        <w:tc>
          <w:tcPr>
            <w:tcW w:w="1200" w:type="dxa"/>
            <w:vAlign w:val="center"/>
          </w:tcPr>
          <w:p w14:paraId="30924572">
            <w:pPr>
              <w:pStyle w:val="30"/>
              <w:widowControl w:val="0"/>
              <w:bidi w:val="0"/>
              <w:rPr>
                <w:color w:val="auto"/>
              </w:rPr>
            </w:pPr>
            <w:r>
              <w:rPr>
                <w:color w:val="auto"/>
              </w:rPr>
              <w:t>允许</w:t>
            </w:r>
          </w:p>
        </w:tc>
      </w:tr>
      <w:tr w14:paraId="3293D2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F766E26">
            <w:pPr>
              <w:pStyle w:val="30"/>
              <w:widowControl w:val="0"/>
              <w:bidi w:val="0"/>
              <w:rPr>
                <w:color w:val="auto"/>
              </w:rPr>
            </w:pPr>
          </w:p>
        </w:tc>
        <w:tc>
          <w:tcPr>
            <w:tcW w:w="1722" w:type="dxa"/>
            <w:tcBorders>
              <w:left w:val="single" w:color="auto" w:sz="4" w:space="0"/>
            </w:tcBorders>
            <w:vAlign w:val="center"/>
          </w:tcPr>
          <w:p w14:paraId="705AE8CD">
            <w:pPr>
              <w:pStyle w:val="30"/>
              <w:widowControl w:val="0"/>
              <w:bidi w:val="0"/>
              <w:rPr>
                <w:color w:val="auto"/>
              </w:rPr>
            </w:pPr>
            <w:r>
              <w:rPr>
                <w:color w:val="auto"/>
              </w:rPr>
              <w:t>32</w:t>
            </w:r>
          </w:p>
        </w:tc>
        <w:tc>
          <w:tcPr>
            <w:tcW w:w="4349" w:type="dxa"/>
            <w:vAlign w:val="center"/>
          </w:tcPr>
          <w:p w14:paraId="66DD9A00">
            <w:pPr>
              <w:pStyle w:val="30"/>
              <w:widowControl w:val="0"/>
              <w:bidi w:val="0"/>
              <w:rPr>
                <w:color w:val="auto"/>
              </w:rPr>
            </w:pPr>
            <w:r>
              <w:rPr>
                <w:color w:val="auto"/>
              </w:rPr>
              <w:t>有色金属冶炼和压延加工业</w:t>
            </w:r>
          </w:p>
        </w:tc>
        <w:tc>
          <w:tcPr>
            <w:tcW w:w="1200" w:type="dxa"/>
            <w:vAlign w:val="center"/>
          </w:tcPr>
          <w:p w14:paraId="660587E5">
            <w:pPr>
              <w:pStyle w:val="30"/>
              <w:widowControl w:val="0"/>
              <w:bidi w:val="0"/>
              <w:rPr>
                <w:color w:val="auto"/>
              </w:rPr>
            </w:pPr>
            <w:r>
              <w:rPr>
                <w:color w:val="auto"/>
              </w:rPr>
              <w:t>允许</w:t>
            </w:r>
          </w:p>
        </w:tc>
      </w:tr>
      <w:tr w14:paraId="75B785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78F8322E">
            <w:pPr>
              <w:pStyle w:val="30"/>
              <w:widowControl w:val="0"/>
              <w:bidi w:val="0"/>
              <w:rPr>
                <w:color w:val="auto"/>
              </w:rPr>
            </w:pPr>
          </w:p>
        </w:tc>
        <w:tc>
          <w:tcPr>
            <w:tcW w:w="1722" w:type="dxa"/>
            <w:tcBorders>
              <w:left w:val="single" w:color="auto" w:sz="4" w:space="0"/>
            </w:tcBorders>
            <w:vAlign w:val="center"/>
          </w:tcPr>
          <w:p w14:paraId="1A5D4386">
            <w:pPr>
              <w:pStyle w:val="30"/>
              <w:widowControl w:val="0"/>
              <w:bidi w:val="0"/>
              <w:rPr>
                <w:color w:val="auto"/>
              </w:rPr>
            </w:pPr>
            <w:r>
              <w:rPr>
                <w:color w:val="auto"/>
              </w:rPr>
              <w:t>33</w:t>
            </w:r>
          </w:p>
        </w:tc>
        <w:tc>
          <w:tcPr>
            <w:tcW w:w="4349" w:type="dxa"/>
            <w:vAlign w:val="center"/>
          </w:tcPr>
          <w:p w14:paraId="0D995E2B">
            <w:pPr>
              <w:pStyle w:val="30"/>
              <w:widowControl w:val="0"/>
              <w:bidi w:val="0"/>
              <w:rPr>
                <w:color w:val="auto"/>
              </w:rPr>
            </w:pPr>
            <w:r>
              <w:rPr>
                <w:color w:val="auto"/>
              </w:rPr>
              <w:t>金属制品业</w:t>
            </w:r>
          </w:p>
        </w:tc>
        <w:tc>
          <w:tcPr>
            <w:tcW w:w="1200" w:type="dxa"/>
            <w:vAlign w:val="center"/>
          </w:tcPr>
          <w:p w14:paraId="313D8B8F">
            <w:pPr>
              <w:pStyle w:val="30"/>
              <w:widowControl w:val="0"/>
              <w:bidi w:val="0"/>
              <w:rPr>
                <w:color w:val="auto"/>
              </w:rPr>
            </w:pPr>
            <w:r>
              <w:rPr>
                <w:color w:val="auto"/>
              </w:rPr>
              <w:t>允许</w:t>
            </w:r>
          </w:p>
        </w:tc>
      </w:tr>
      <w:tr w14:paraId="45DF9C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6A90DD44">
            <w:pPr>
              <w:pStyle w:val="30"/>
              <w:widowControl w:val="0"/>
              <w:bidi w:val="0"/>
              <w:rPr>
                <w:color w:val="auto"/>
              </w:rPr>
            </w:pPr>
          </w:p>
        </w:tc>
        <w:tc>
          <w:tcPr>
            <w:tcW w:w="1722" w:type="dxa"/>
            <w:tcBorders>
              <w:left w:val="single" w:color="auto" w:sz="4" w:space="0"/>
            </w:tcBorders>
            <w:vAlign w:val="center"/>
          </w:tcPr>
          <w:p w14:paraId="50C24F59">
            <w:pPr>
              <w:pStyle w:val="30"/>
              <w:widowControl w:val="0"/>
              <w:bidi w:val="0"/>
              <w:rPr>
                <w:color w:val="auto"/>
              </w:rPr>
            </w:pPr>
            <w:r>
              <w:rPr>
                <w:color w:val="auto"/>
              </w:rPr>
              <w:t>34</w:t>
            </w:r>
          </w:p>
        </w:tc>
        <w:tc>
          <w:tcPr>
            <w:tcW w:w="4349" w:type="dxa"/>
            <w:vAlign w:val="center"/>
          </w:tcPr>
          <w:p w14:paraId="59659A41">
            <w:pPr>
              <w:pStyle w:val="30"/>
              <w:widowControl w:val="0"/>
              <w:bidi w:val="0"/>
              <w:rPr>
                <w:color w:val="auto"/>
              </w:rPr>
            </w:pPr>
            <w:r>
              <w:rPr>
                <w:color w:val="auto"/>
              </w:rPr>
              <w:t>通用设备制造业</w:t>
            </w:r>
          </w:p>
        </w:tc>
        <w:tc>
          <w:tcPr>
            <w:tcW w:w="1200" w:type="dxa"/>
            <w:vAlign w:val="center"/>
          </w:tcPr>
          <w:p w14:paraId="483C41D7">
            <w:pPr>
              <w:pStyle w:val="30"/>
              <w:widowControl w:val="0"/>
              <w:bidi w:val="0"/>
              <w:rPr>
                <w:color w:val="auto"/>
              </w:rPr>
            </w:pPr>
            <w:r>
              <w:rPr>
                <w:color w:val="auto"/>
              </w:rPr>
              <w:t>优先</w:t>
            </w:r>
          </w:p>
        </w:tc>
      </w:tr>
      <w:tr w14:paraId="0CC9A8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5F572A84">
            <w:pPr>
              <w:pStyle w:val="30"/>
              <w:widowControl w:val="0"/>
              <w:bidi w:val="0"/>
              <w:rPr>
                <w:color w:val="auto"/>
              </w:rPr>
            </w:pPr>
          </w:p>
        </w:tc>
        <w:tc>
          <w:tcPr>
            <w:tcW w:w="1722" w:type="dxa"/>
            <w:tcBorders>
              <w:left w:val="single" w:color="auto" w:sz="4" w:space="0"/>
            </w:tcBorders>
            <w:vAlign w:val="center"/>
          </w:tcPr>
          <w:p w14:paraId="44A8F806">
            <w:pPr>
              <w:pStyle w:val="30"/>
              <w:widowControl w:val="0"/>
              <w:bidi w:val="0"/>
              <w:rPr>
                <w:color w:val="auto"/>
              </w:rPr>
            </w:pPr>
            <w:r>
              <w:rPr>
                <w:color w:val="auto"/>
              </w:rPr>
              <w:t>35</w:t>
            </w:r>
          </w:p>
        </w:tc>
        <w:tc>
          <w:tcPr>
            <w:tcW w:w="4349" w:type="dxa"/>
            <w:vAlign w:val="center"/>
          </w:tcPr>
          <w:p w14:paraId="26F1175B">
            <w:pPr>
              <w:pStyle w:val="30"/>
              <w:widowControl w:val="0"/>
              <w:bidi w:val="0"/>
              <w:rPr>
                <w:color w:val="auto"/>
              </w:rPr>
            </w:pPr>
            <w:r>
              <w:rPr>
                <w:color w:val="auto"/>
              </w:rPr>
              <w:t>专用设备制造业</w:t>
            </w:r>
          </w:p>
        </w:tc>
        <w:tc>
          <w:tcPr>
            <w:tcW w:w="1200" w:type="dxa"/>
            <w:vAlign w:val="center"/>
          </w:tcPr>
          <w:p w14:paraId="110E31D1">
            <w:pPr>
              <w:pStyle w:val="30"/>
              <w:widowControl w:val="0"/>
              <w:bidi w:val="0"/>
              <w:rPr>
                <w:color w:val="auto"/>
              </w:rPr>
            </w:pPr>
            <w:r>
              <w:rPr>
                <w:color w:val="auto"/>
              </w:rPr>
              <w:t>优先</w:t>
            </w:r>
          </w:p>
        </w:tc>
      </w:tr>
      <w:tr w14:paraId="045F11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4F17AFB8">
            <w:pPr>
              <w:pStyle w:val="30"/>
              <w:widowControl w:val="0"/>
              <w:bidi w:val="0"/>
              <w:rPr>
                <w:color w:val="auto"/>
              </w:rPr>
            </w:pPr>
          </w:p>
        </w:tc>
        <w:tc>
          <w:tcPr>
            <w:tcW w:w="1722" w:type="dxa"/>
            <w:tcBorders>
              <w:left w:val="single" w:color="auto" w:sz="4" w:space="0"/>
            </w:tcBorders>
            <w:vAlign w:val="center"/>
          </w:tcPr>
          <w:p w14:paraId="22A30F37">
            <w:pPr>
              <w:pStyle w:val="30"/>
              <w:widowControl w:val="0"/>
              <w:bidi w:val="0"/>
              <w:rPr>
                <w:color w:val="auto"/>
              </w:rPr>
            </w:pPr>
            <w:r>
              <w:rPr>
                <w:color w:val="auto"/>
              </w:rPr>
              <w:t>36</w:t>
            </w:r>
          </w:p>
        </w:tc>
        <w:tc>
          <w:tcPr>
            <w:tcW w:w="4349" w:type="dxa"/>
            <w:vAlign w:val="center"/>
          </w:tcPr>
          <w:p w14:paraId="53107BBB">
            <w:pPr>
              <w:pStyle w:val="30"/>
              <w:widowControl w:val="0"/>
              <w:bidi w:val="0"/>
              <w:rPr>
                <w:color w:val="auto"/>
              </w:rPr>
            </w:pPr>
            <w:r>
              <w:rPr>
                <w:color w:val="auto"/>
              </w:rPr>
              <w:t>汽车制造业</w:t>
            </w:r>
          </w:p>
        </w:tc>
        <w:tc>
          <w:tcPr>
            <w:tcW w:w="1200" w:type="dxa"/>
            <w:vAlign w:val="center"/>
          </w:tcPr>
          <w:p w14:paraId="5D5BCD2D">
            <w:pPr>
              <w:pStyle w:val="30"/>
              <w:widowControl w:val="0"/>
              <w:bidi w:val="0"/>
              <w:rPr>
                <w:color w:val="auto"/>
              </w:rPr>
            </w:pPr>
            <w:r>
              <w:rPr>
                <w:color w:val="auto"/>
              </w:rPr>
              <w:t>允许</w:t>
            </w:r>
          </w:p>
        </w:tc>
      </w:tr>
      <w:tr w14:paraId="723200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03791251">
            <w:pPr>
              <w:pStyle w:val="30"/>
              <w:widowControl w:val="0"/>
              <w:bidi w:val="0"/>
              <w:rPr>
                <w:color w:val="auto"/>
              </w:rPr>
            </w:pPr>
          </w:p>
        </w:tc>
        <w:tc>
          <w:tcPr>
            <w:tcW w:w="1722" w:type="dxa"/>
            <w:tcBorders>
              <w:left w:val="single" w:color="auto" w:sz="4" w:space="0"/>
            </w:tcBorders>
            <w:vAlign w:val="center"/>
          </w:tcPr>
          <w:p w14:paraId="2DF9B5EA">
            <w:pPr>
              <w:pStyle w:val="30"/>
              <w:widowControl w:val="0"/>
              <w:bidi w:val="0"/>
              <w:rPr>
                <w:color w:val="auto"/>
              </w:rPr>
            </w:pPr>
            <w:r>
              <w:rPr>
                <w:color w:val="auto"/>
              </w:rPr>
              <w:t>37</w:t>
            </w:r>
          </w:p>
        </w:tc>
        <w:tc>
          <w:tcPr>
            <w:tcW w:w="4349" w:type="dxa"/>
            <w:vAlign w:val="center"/>
          </w:tcPr>
          <w:p w14:paraId="5D9A8D7C">
            <w:pPr>
              <w:pStyle w:val="30"/>
              <w:widowControl w:val="0"/>
              <w:bidi w:val="0"/>
              <w:rPr>
                <w:color w:val="auto"/>
              </w:rPr>
            </w:pPr>
            <w:r>
              <w:rPr>
                <w:color w:val="auto"/>
              </w:rPr>
              <w:t>铁路、船舶、航空航天和其他运输设备制造业</w:t>
            </w:r>
          </w:p>
        </w:tc>
        <w:tc>
          <w:tcPr>
            <w:tcW w:w="1200" w:type="dxa"/>
            <w:vAlign w:val="center"/>
          </w:tcPr>
          <w:p w14:paraId="2CECDD94">
            <w:pPr>
              <w:pStyle w:val="30"/>
              <w:widowControl w:val="0"/>
              <w:bidi w:val="0"/>
              <w:rPr>
                <w:color w:val="auto"/>
              </w:rPr>
            </w:pPr>
            <w:r>
              <w:rPr>
                <w:color w:val="auto"/>
              </w:rPr>
              <w:t>优先</w:t>
            </w:r>
          </w:p>
        </w:tc>
      </w:tr>
      <w:tr w14:paraId="24BF2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19A88FD3">
            <w:pPr>
              <w:pStyle w:val="30"/>
              <w:widowControl w:val="0"/>
              <w:bidi w:val="0"/>
              <w:rPr>
                <w:color w:val="auto"/>
              </w:rPr>
            </w:pPr>
          </w:p>
        </w:tc>
        <w:tc>
          <w:tcPr>
            <w:tcW w:w="1722" w:type="dxa"/>
            <w:tcBorders>
              <w:left w:val="single" w:color="auto" w:sz="4" w:space="0"/>
            </w:tcBorders>
            <w:vAlign w:val="center"/>
          </w:tcPr>
          <w:p w14:paraId="18B2E85E">
            <w:pPr>
              <w:pStyle w:val="30"/>
              <w:widowControl w:val="0"/>
              <w:bidi w:val="0"/>
              <w:rPr>
                <w:color w:val="auto"/>
              </w:rPr>
            </w:pPr>
            <w:r>
              <w:rPr>
                <w:color w:val="auto"/>
              </w:rPr>
              <w:t>38</w:t>
            </w:r>
          </w:p>
        </w:tc>
        <w:tc>
          <w:tcPr>
            <w:tcW w:w="4349" w:type="dxa"/>
            <w:vAlign w:val="center"/>
          </w:tcPr>
          <w:p w14:paraId="086606ED">
            <w:pPr>
              <w:pStyle w:val="30"/>
              <w:widowControl w:val="0"/>
              <w:bidi w:val="0"/>
              <w:rPr>
                <w:color w:val="auto"/>
              </w:rPr>
            </w:pPr>
            <w:r>
              <w:rPr>
                <w:color w:val="auto"/>
              </w:rPr>
              <w:t>电气机械和器材制造业</w:t>
            </w:r>
          </w:p>
        </w:tc>
        <w:tc>
          <w:tcPr>
            <w:tcW w:w="1200" w:type="dxa"/>
            <w:vAlign w:val="center"/>
          </w:tcPr>
          <w:p w14:paraId="7706C31D">
            <w:pPr>
              <w:pStyle w:val="30"/>
              <w:widowControl w:val="0"/>
              <w:bidi w:val="0"/>
              <w:rPr>
                <w:color w:val="auto"/>
              </w:rPr>
            </w:pPr>
            <w:r>
              <w:rPr>
                <w:color w:val="auto"/>
              </w:rPr>
              <w:t>优先</w:t>
            </w:r>
          </w:p>
        </w:tc>
      </w:tr>
      <w:tr w14:paraId="5DDB5F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70B29307">
            <w:pPr>
              <w:pStyle w:val="30"/>
              <w:widowControl w:val="0"/>
              <w:bidi w:val="0"/>
              <w:rPr>
                <w:color w:val="auto"/>
              </w:rPr>
            </w:pPr>
          </w:p>
        </w:tc>
        <w:tc>
          <w:tcPr>
            <w:tcW w:w="1722" w:type="dxa"/>
            <w:tcBorders>
              <w:left w:val="single" w:color="auto" w:sz="4" w:space="0"/>
            </w:tcBorders>
            <w:vAlign w:val="center"/>
          </w:tcPr>
          <w:p w14:paraId="55F4F79E">
            <w:pPr>
              <w:pStyle w:val="30"/>
              <w:widowControl w:val="0"/>
              <w:bidi w:val="0"/>
              <w:rPr>
                <w:color w:val="auto"/>
              </w:rPr>
            </w:pPr>
            <w:r>
              <w:rPr>
                <w:color w:val="auto"/>
              </w:rPr>
              <w:t>39</w:t>
            </w:r>
          </w:p>
        </w:tc>
        <w:tc>
          <w:tcPr>
            <w:tcW w:w="4349" w:type="dxa"/>
            <w:vAlign w:val="center"/>
          </w:tcPr>
          <w:p w14:paraId="6E3996CF">
            <w:pPr>
              <w:pStyle w:val="30"/>
              <w:widowControl w:val="0"/>
              <w:bidi w:val="0"/>
              <w:rPr>
                <w:color w:val="auto"/>
              </w:rPr>
            </w:pPr>
            <w:r>
              <w:rPr>
                <w:color w:val="auto"/>
              </w:rPr>
              <w:t>计算机、通信和其他电子设备制造业</w:t>
            </w:r>
          </w:p>
        </w:tc>
        <w:tc>
          <w:tcPr>
            <w:tcW w:w="1200" w:type="dxa"/>
            <w:vAlign w:val="center"/>
          </w:tcPr>
          <w:p w14:paraId="08AC5C1A">
            <w:pPr>
              <w:pStyle w:val="30"/>
              <w:widowControl w:val="0"/>
              <w:bidi w:val="0"/>
              <w:rPr>
                <w:color w:val="auto"/>
              </w:rPr>
            </w:pPr>
            <w:r>
              <w:rPr>
                <w:color w:val="auto"/>
              </w:rPr>
              <w:t>优先</w:t>
            </w:r>
          </w:p>
        </w:tc>
      </w:tr>
      <w:tr w14:paraId="60FB44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2F779B2E">
            <w:pPr>
              <w:pStyle w:val="30"/>
              <w:widowControl w:val="0"/>
              <w:bidi w:val="0"/>
              <w:rPr>
                <w:color w:val="auto"/>
              </w:rPr>
            </w:pPr>
          </w:p>
        </w:tc>
        <w:tc>
          <w:tcPr>
            <w:tcW w:w="1722" w:type="dxa"/>
            <w:tcBorders>
              <w:left w:val="single" w:color="auto" w:sz="4" w:space="0"/>
            </w:tcBorders>
            <w:vAlign w:val="center"/>
          </w:tcPr>
          <w:p w14:paraId="4564B6B7">
            <w:pPr>
              <w:pStyle w:val="30"/>
              <w:widowControl w:val="0"/>
              <w:bidi w:val="0"/>
              <w:rPr>
                <w:color w:val="auto"/>
              </w:rPr>
            </w:pPr>
            <w:r>
              <w:rPr>
                <w:color w:val="auto"/>
              </w:rPr>
              <w:t>40</w:t>
            </w:r>
          </w:p>
        </w:tc>
        <w:tc>
          <w:tcPr>
            <w:tcW w:w="4349" w:type="dxa"/>
            <w:vAlign w:val="center"/>
          </w:tcPr>
          <w:p w14:paraId="4DBB9EC0">
            <w:pPr>
              <w:pStyle w:val="30"/>
              <w:widowControl w:val="0"/>
              <w:bidi w:val="0"/>
              <w:rPr>
                <w:color w:val="auto"/>
              </w:rPr>
            </w:pPr>
            <w:r>
              <w:rPr>
                <w:color w:val="auto"/>
              </w:rPr>
              <w:t>仪器仪表制造业</w:t>
            </w:r>
          </w:p>
        </w:tc>
        <w:tc>
          <w:tcPr>
            <w:tcW w:w="1200" w:type="dxa"/>
            <w:vAlign w:val="center"/>
          </w:tcPr>
          <w:p w14:paraId="503D4AB5">
            <w:pPr>
              <w:pStyle w:val="30"/>
              <w:widowControl w:val="0"/>
              <w:bidi w:val="0"/>
              <w:rPr>
                <w:color w:val="auto"/>
              </w:rPr>
            </w:pPr>
            <w:r>
              <w:rPr>
                <w:color w:val="auto"/>
              </w:rPr>
              <w:t>优先</w:t>
            </w:r>
          </w:p>
        </w:tc>
      </w:tr>
      <w:tr w14:paraId="022F7B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0111AEF3">
            <w:pPr>
              <w:pStyle w:val="30"/>
              <w:widowControl w:val="0"/>
              <w:bidi w:val="0"/>
              <w:rPr>
                <w:color w:val="auto"/>
              </w:rPr>
            </w:pPr>
          </w:p>
        </w:tc>
        <w:tc>
          <w:tcPr>
            <w:tcW w:w="1722" w:type="dxa"/>
            <w:tcBorders>
              <w:left w:val="single" w:color="auto" w:sz="4" w:space="0"/>
            </w:tcBorders>
            <w:vAlign w:val="center"/>
          </w:tcPr>
          <w:p w14:paraId="0BA77ABB">
            <w:pPr>
              <w:pStyle w:val="30"/>
              <w:widowControl w:val="0"/>
              <w:bidi w:val="0"/>
              <w:rPr>
                <w:color w:val="auto"/>
              </w:rPr>
            </w:pPr>
            <w:r>
              <w:rPr>
                <w:color w:val="auto"/>
              </w:rPr>
              <w:t>41</w:t>
            </w:r>
          </w:p>
        </w:tc>
        <w:tc>
          <w:tcPr>
            <w:tcW w:w="4349" w:type="dxa"/>
            <w:vAlign w:val="center"/>
          </w:tcPr>
          <w:p w14:paraId="4896E365">
            <w:pPr>
              <w:pStyle w:val="30"/>
              <w:widowControl w:val="0"/>
              <w:bidi w:val="0"/>
              <w:rPr>
                <w:color w:val="auto"/>
              </w:rPr>
            </w:pPr>
            <w:r>
              <w:rPr>
                <w:color w:val="auto"/>
              </w:rPr>
              <w:t>废弃资源综合利用业</w:t>
            </w:r>
          </w:p>
        </w:tc>
        <w:tc>
          <w:tcPr>
            <w:tcW w:w="1200" w:type="dxa"/>
            <w:vAlign w:val="center"/>
          </w:tcPr>
          <w:p w14:paraId="37595FA1">
            <w:pPr>
              <w:pStyle w:val="30"/>
              <w:widowControl w:val="0"/>
              <w:bidi w:val="0"/>
              <w:rPr>
                <w:color w:val="auto"/>
              </w:rPr>
            </w:pPr>
            <w:r>
              <w:rPr>
                <w:color w:val="auto"/>
              </w:rPr>
              <w:t>允许</w:t>
            </w:r>
          </w:p>
        </w:tc>
      </w:tr>
      <w:tr w14:paraId="04EAAA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jc w:val="center"/>
        </w:trPr>
        <w:tc>
          <w:tcPr>
            <w:tcW w:w="1846" w:type="dxa"/>
            <w:vMerge w:val="continue"/>
            <w:tcBorders>
              <w:top w:val="single" w:color="auto" w:sz="4" w:space="0"/>
              <w:left w:val="single" w:color="auto" w:sz="4" w:space="0"/>
              <w:bottom w:val="single" w:color="auto" w:sz="4" w:space="0"/>
              <w:right w:val="single" w:color="auto" w:sz="4" w:space="0"/>
            </w:tcBorders>
            <w:vAlign w:val="center"/>
          </w:tcPr>
          <w:p w14:paraId="641C7085">
            <w:pPr>
              <w:pStyle w:val="30"/>
              <w:widowControl w:val="0"/>
              <w:bidi w:val="0"/>
              <w:rPr>
                <w:color w:val="auto"/>
              </w:rPr>
            </w:pPr>
          </w:p>
        </w:tc>
        <w:tc>
          <w:tcPr>
            <w:tcW w:w="1722" w:type="dxa"/>
            <w:tcBorders>
              <w:left w:val="single" w:color="auto" w:sz="4" w:space="0"/>
            </w:tcBorders>
            <w:vAlign w:val="center"/>
          </w:tcPr>
          <w:p w14:paraId="5A2F26C4">
            <w:pPr>
              <w:pStyle w:val="30"/>
              <w:widowControl w:val="0"/>
              <w:bidi w:val="0"/>
              <w:rPr>
                <w:color w:val="auto"/>
              </w:rPr>
            </w:pPr>
            <w:r>
              <w:rPr>
                <w:color w:val="auto"/>
              </w:rPr>
              <w:t>42</w:t>
            </w:r>
          </w:p>
        </w:tc>
        <w:tc>
          <w:tcPr>
            <w:tcW w:w="4349" w:type="dxa"/>
            <w:vAlign w:val="center"/>
          </w:tcPr>
          <w:p w14:paraId="4455343D">
            <w:pPr>
              <w:pStyle w:val="30"/>
              <w:widowControl w:val="0"/>
              <w:bidi w:val="0"/>
              <w:rPr>
                <w:color w:val="auto"/>
              </w:rPr>
            </w:pPr>
            <w:r>
              <w:rPr>
                <w:color w:val="auto"/>
              </w:rPr>
              <w:t>金属制品、机械和设备修理业</w:t>
            </w:r>
          </w:p>
        </w:tc>
        <w:tc>
          <w:tcPr>
            <w:tcW w:w="1200" w:type="dxa"/>
            <w:vAlign w:val="center"/>
          </w:tcPr>
          <w:p w14:paraId="66616BAA">
            <w:pPr>
              <w:pStyle w:val="30"/>
              <w:widowControl w:val="0"/>
              <w:bidi w:val="0"/>
              <w:rPr>
                <w:color w:val="auto"/>
              </w:rPr>
            </w:pPr>
            <w:r>
              <w:rPr>
                <w:color w:val="auto"/>
              </w:rPr>
              <w:t>允许</w:t>
            </w:r>
          </w:p>
        </w:tc>
      </w:tr>
      <w:tr w14:paraId="634D40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restart"/>
            <w:tcBorders>
              <w:top w:val="single" w:color="auto" w:sz="4" w:space="0"/>
              <w:bottom w:val="single" w:color="auto" w:sz="4" w:space="0"/>
            </w:tcBorders>
            <w:vAlign w:val="center"/>
          </w:tcPr>
          <w:p w14:paraId="3BE98580">
            <w:pPr>
              <w:pStyle w:val="30"/>
              <w:widowControl w:val="0"/>
              <w:bidi w:val="0"/>
              <w:rPr>
                <w:color w:val="auto"/>
              </w:rPr>
            </w:pPr>
            <w:r>
              <w:rPr>
                <w:color w:val="auto"/>
              </w:rPr>
              <w:t>G  交通运输、仓储和邮政业</w:t>
            </w:r>
          </w:p>
        </w:tc>
        <w:tc>
          <w:tcPr>
            <w:tcW w:w="1722" w:type="dxa"/>
            <w:vAlign w:val="center"/>
          </w:tcPr>
          <w:p w14:paraId="03D1F718">
            <w:pPr>
              <w:pStyle w:val="30"/>
              <w:widowControl w:val="0"/>
              <w:bidi w:val="0"/>
              <w:rPr>
                <w:color w:val="auto"/>
              </w:rPr>
            </w:pPr>
            <w:r>
              <w:rPr>
                <w:color w:val="auto"/>
              </w:rPr>
              <w:t>54</w:t>
            </w:r>
          </w:p>
        </w:tc>
        <w:tc>
          <w:tcPr>
            <w:tcW w:w="4349" w:type="dxa"/>
            <w:vAlign w:val="center"/>
          </w:tcPr>
          <w:p w14:paraId="4EF8463F">
            <w:pPr>
              <w:pStyle w:val="30"/>
              <w:widowControl w:val="0"/>
              <w:bidi w:val="0"/>
              <w:rPr>
                <w:color w:val="auto"/>
              </w:rPr>
            </w:pPr>
            <w:r>
              <w:rPr>
                <w:color w:val="auto"/>
              </w:rPr>
              <w:t>道路运输业</w:t>
            </w:r>
          </w:p>
        </w:tc>
        <w:tc>
          <w:tcPr>
            <w:tcW w:w="1200" w:type="dxa"/>
            <w:vAlign w:val="center"/>
          </w:tcPr>
          <w:p w14:paraId="19F8CCF5">
            <w:pPr>
              <w:pStyle w:val="30"/>
              <w:widowControl w:val="0"/>
              <w:bidi w:val="0"/>
              <w:rPr>
                <w:color w:val="auto"/>
              </w:rPr>
            </w:pPr>
            <w:r>
              <w:rPr>
                <w:color w:val="auto"/>
              </w:rPr>
              <w:t>优先</w:t>
            </w:r>
          </w:p>
        </w:tc>
      </w:tr>
      <w:tr w14:paraId="0DF8A3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continue"/>
            <w:tcBorders>
              <w:top w:val="single" w:color="auto" w:sz="4" w:space="0"/>
              <w:bottom w:val="single" w:color="auto" w:sz="4" w:space="0"/>
            </w:tcBorders>
            <w:vAlign w:val="center"/>
          </w:tcPr>
          <w:p w14:paraId="63B40764">
            <w:pPr>
              <w:pStyle w:val="30"/>
              <w:widowControl w:val="0"/>
              <w:bidi w:val="0"/>
              <w:rPr>
                <w:color w:val="auto"/>
              </w:rPr>
            </w:pPr>
          </w:p>
        </w:tc>
        <w:tc>
          <w:tcPr>
            <w:tcW w:w="1722" w:type="dxa"/>
            <w:vAlign w:val="center"/>
          </w:tcPr>
          <w:p w14:paraId="0EB12BCB">
            <w:pPr>
              <w:pStyle w:val="30"/>
              <w:widowControl w:val="0"/>
              <w:bidi w:val="0"/>
              <w:ind w:firstLine="0" w:firstLineChars="0"/>
              <w:rPr>
                <w:color w:val="auto"/>
              </w:rPr>
            </w:pPr>
            <w:r>
              <w:rPr>
                <w:color w:val="auto"/>
              </w:rPr>
              <w:t>58</w:t>
            </w:r>
          </w:p>
        </w:tc>
        <w:tc>
          <w:tcPr>
            <w:tcW w:w="4349" w:type="dxa"/>
            <w:vAlign w:val="center"/>
          </w:tcPr>
          <w:p w14:paraId="3F208ECA">
            <w:pPr>
              <w:pStyle w:val="30"/>
              <w:widowControl w:val="0"/>
              <w:bidi w:val="0"/>
              <w:ind w:firstLine="0" w:firstLineChars="0"/>
              <w:rPr>
                <w:color w:val="auto"/>
              </w:rPr>
            </w:pPr>
            <w:r>
              <w:rPr>
                <w:color w:val="auto"/>
              </w:rPr>
              <w:t>装卸搬运和运输代理业</w:t>
            </w:r>
          </w:p>
        </w:tc>
        <w:tc>
          <w:tcPr>
            <w:tcW w:w="1200" w:type="dxa"/>
            <w:vAlign w:val="center"/>
          </w:tcPr>
          <w:p w14:paraId="41E0D775">
            <w:pPr>
              <w:pStyle w:val="30"/>
              <w:widowControl w:val="0"/>
              <w:bidi w:val="0"/>
              <w:ind w:firstLine="0" w:firstLineChars="0"/>
              <w:rPr>
                <w:color w:val="auto"/>
              </w:rPr>
            </w:pPr>
            <w:r>
              <w:rPr>
                <w:color w:val="auto"/>
              </w:rPr>
              <w:t>优先</w:t>
            </w:r>
          </w:p>
        </w:tc>
      </w:tr>
      <w:tr w14:paraId="39DFF1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continue"/>
            <w:tcBorders>
              <w:top w:val="single" w:color="auto" w:sz="4" w:space="0"/>
              <w:bottom w:val="single" w:color="auto" w:sz="4" w:space="0"/>
            </w:tcBorders>
            <w:vAlign w:val="center"/>
          </w:tcPr>
          <w:p w14:paraId="66B599A5">
            <w:pPr>
              <w:pStyle w:val="30"/>
              <w:widowControl w:val="0"/>
              <w:bidi w:val="0"/>
              <w:rPr>
                <w:color w:val="auto"/>
              </w:rPr>
            </w:pPr>
          </w:p>
        </w:tc>
        <w:tc>
          <w:tcPr>
            <w:tcW w:w="1722" w:type="dxa"/>
            <w:vAlign w:val="center"/>
          </w:tcPr>
          <w:p w14:paraId="1AD8B391">
            <w:pPr>
              <w:pStyle w:val="30"/>
              <w:widowControl w:val="0"/>
              <w:bidi w:val="0"/>
              <w:ind w:firstLine="0" w:firstLineChars="0"/>
              <w:rPr>
                <w:color w:val="auto"/>
              </w:rPr>
            </w:pPr>
            <w:r>
              <w:rPr>
                <w:color w:val="auto"/>
              </w:rPr>
              <w:t>59</w:t>
            </w:r>
          </w:p>
        </w:tc>
        <w:tc>
          <w:tcPr>
            <w:tcW w:w="4349" w:type="dxa"/>
            <w:vAlign w:val="center"/>
          </w:tcPr>
          <w:p w14:paraId="707AB6FC">
            <w:pPr>
              <w:pStyle w:val="30"/>
              <w:widowControl w:val="0"/>
              <w:bidi w:val="0"/>
              <w:ind w:firstLine="0" w:firstLineChars="0"/>
              <w:rPr>
                <w:color w:val="auto"/>
              </w:rPr>
            </w:pPr>
            <w:r>
              <w:rPr>
                <w:color w:val="auto"/>
              </w:rPr>
              <w:t>仓储业</w:t>
            </w:r>
          </w:p>
        </w:tc>
        <w:tc>
          <w:tcPr>
            <w:tcW w:w="1200" w:type="dxa"/>
            <w:vAlign w:val="center"/>
          </w:tcPr>
          <w:p w14:paraId="71CDB3AB">
            <w:pPr>
              <w:pStyle w:val="30"/>
              <w:widowControl w:val="0"/>
              <w:bidi w:val="0"/>
              <w:ind w:firstLine="0" w:firstLineChars="0"/>
              <w:rPr>
                <w:color w:val="auto"/>
              </w:rPr>
            </w:pPr>
            <w:r>
              <w:rPr>
                <w:color w:val="auto"/>
              </w:rPr>
              <w:t>允许</w:t>
            </w:r>
          </w:p>
        </w:tc>
      </w:tr>
      <w:tr w14:paraId="657B84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continue"/>
            <w:tcBorders>
              <w:top w:val="single" w:color="auto" w:sz="4" w:space="0"/>
              <w:bottom w:val="single" w:color="auto" w:sz="4" w:space="0"/>
            </w:tcBorders>
            <w:vAlign w:val="center"/>
          </w:tcPr>
          <w:p w14:paraId="4ACB0FA0">
            <w:pPr>
              <w:pStyle w:val="30"/>
              <w:widowControl w:val="0"/>
              <w:bidi w:val="0"/>
              <w:rPr>
                <w:color w:val="auto"/>
              </w:rPr>
            </w:pPr>
          </w:p>
        </w:tc>
        <w:tc>
          <w:tcPr>
            <w:tcW w:w="1722" w:type="dxa"/>
            <w:vAlign w:val="center"/>
          </w:tcPr>
          <w:p w14:paraId="57EFF4AC">
            <w:pPr>
              <w:pStyle w:val="30"/>
              <w:widowControl w:val="0"/>
              <w:bidi w:val="0"/>
              <w:ind w:firstLine="0" w:firstLineChars="0"/>
              <w:rPr>
                <w:color w:val="auto"/>
              </w:rPr>
            </w:pPr>
            <w:r>
              <w:rPr>
                <w:color w:val="auto"/>
              </w:rPr>
              <w:t>60</w:t>
            </w:r>
          </w:p>
        </w:tc>
        <w:tc>
          <w:tcPr>
            <w:tcW w:w="4349" w:type="dxa"/>
            <w:vAlign w:val="center"/>
          </w:tcPr>
          <w:p w14:paraId="065267DD">
            <w:pPr>
              <w:pStyle w:val="30"/>
              <w:widowControl w:val="0"/>
              <w:bidi w:val="0"/>
              <w:ind w:firstLine="0" w:firstLineChars="0"/>
              <w:rPr>
                <w:color w:val="auto"/>
              </w:rPr>
            </w:pPr>
            <w:r>
              <w:rPr>
                <w:color w:val="auto"/>
              </w:rPr>
              <w:t>邮政业</w:t>
            </w:r>
          </w:p>
        </w:tc>
        <w:tc>
          <w:tcPr>
            <w:tcW w:w="1200" w:type="dxa"/>
            <w:vAlign w:val="center"/>
          </w:tcPr>
          <w:p w14:paraId="7BB556AB">
            <w:pPr>
              <w:pStyle w:val="30"/>
              <w:widowControl w:val="0"/>
              <w:bidi w:val="0"/>
              <w:ind w:firstLine="0" w:firstLineChars="0"/>
              <w:rPr>
                <w:color w:val="auto"/>
              </w:rPr>
            </w:pPr>
            <w:r>
              <w:rPr>
                <w:color w:val="auto"/>
              </w:rPr>
              <w:t>允许</w:t>
            </w:r>
          </w:p>
        </w:tc>
      </w:tr>
      <w:tr w14:paraId="5E0161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7" w:hRule="atLeast"/>
          <w:jc w:val="center"/>
        </w:trPr>
        <w:tc>
          <w:tcPr>
            <w:tcW w:w="1846" w:type="dxa"/>
            <w:vMerge w:val="restart"/>
            <w:tcBorders>
              <w:top w:val="single" w:color="auto" w:sz="4" w:space="0"/>
              <w:bottom w:val="single" w:color="auto" w:sz="4" w:space="0"/>
            </w:tcBorders>
            <w:vAlign w:val="center"/>
          </w:tcPr>
          <w:p w14:paraId="48C8DB5A">
            <w:pPr>
              <w:pStyle w:val="30"/>
              <w:widowControl w:val="0"/>
              <w:bidi w:val="0"/>
              <w:rPr>
                <w:color w:val="auto"/>
              </w:rPr>
            </w:pPr>
            <w:r>
              <w:rPr>
                <w:color w:val="auto"/>
              </w:rPr>
              <w:t>I  信息传输、软件和信息技术服务业</w:t>
            </w:r>
          </w:p>
        </w:tc>
        <w:tc>
          <w:tcPr>
            <w:tcW w:w="1722" w:type="dxa"/>
            <w:vAlign w:val="center"/>
          </w:tcPr>
          <w:p w14:paraId="0C3F237B">
            <w:pPr>
              <w:pStyle w:val="30"/>
              <w:widowControl w:val="0"/>
              <w:bidi w:val="0"/>
              <w:ind w:firstLine="0" w:firstLineChars="0"/>
              <w:rPr>
                <w:color w:val="auto"/>
              </w:rPr>
            </w:pPr>
            <w:r>
              <w:rPr>
                <w:color w:val="auto"/>
              </w:rPr>
              <w:t>64</w:t>
            </w:r>
          </w:p>
        </w:tc>
        <w:tc>
          <w:tcPr>
            <w:tcW w:w="4349" w:type="dxa"/>
            <w:vAlign w:val="center"/>
          </w:tcPr>
          <w:p w14:paraId="4F8987D6">
            <w:pPr>
              <w:pStyle w:val="30"/>
              <w:widowControl w:val="0"/>
              <w:bidi w:val="0"/>
              <w:ind w:firstLine="0" w:firstLineChars="0"/>
              <w:rPr>
                <w:color w:val="auto"/>
              </w:rPr>
            </w:pPr>
            <w:r>
              <w:rPr>
                <w:color w:val="auto"/>
              </w:rPr>
              <w:t>互联网和相关服务</w:t>
            </w:r>
          </w:p>
        </w:tc>
        <w:tc>
          <w:tcPr>
            <w:tcW w:w="1200" w:type="dxa"/>
            <w:vAlign w:val="center"/>
          </w:tcPr>
          <w:p w14:paraId="060F36E1">
            <w:pPr>
              <w:pStyle w:val="30"/>
              <w:widowControl w:val="0"/>
              <w:bidi w:val="0"/>
              <w:ind w:firstLine="0" w:firstLineChars="0"/>
              <w:rPr>
                <w:color w:val="auto"/>
              </w:rPr>
            </w:pPr>
            <w:r>
              <w:rPr>
                <w:color w:val="auto"/>
              </w:rPr>
              <w:t>优先</w:t>
            </w:r>
          </w:p>
        </w:tc>
      </w:tr>
      <w:tr w14:paraId="3581D4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continue"/>
            <w:tcBorders>
              <w:top w:val="single" w:color="auto" w:sz="4" w:space="0"/>
              <w:bottom w:val="single" w:color="auto" w:sz="4" w:space="0"/>
            </w:tcBorders>
            <w:vAlign w:val="center"/>
          </w:tcPr>
          <w:p w14:paraId="7C018B44">
            <w:pPr>
              <w:pStyle w:val="30"/>
              <w:widowControl w:val="0"/>
              <w:bidi w:val="0"/>
              <w:rPr>
                <w:color w:val="auto"/>
              </w:rPr>
            </w:pPr>
          </w:p>
        </w:tc>
        <w:tc>
          <w:tcPr>
            <w:tcW w:w="1722" w:type="dxa"/>
            <w:vAlign w:val="center"/>
          </w:tcPr>
          <w:p w14:paraId="7DB1B956">
            <w:pPr>
              <w:pStyle w:val="30"/>
              <w:widowControl w:val="0"/>
              <w:bidi w:val="0"/>
              <w:ind w:firstLine="0" w:firstLineChars="0"/>
              <w:rPr>
                <w:color w:val="auto"/>
              </w:rPr>
            </w:pPr>
            <w:r>
              <w:rPr>
                <w:color w:val="auto"/>
              </w:rPr>
              <w:t>65</w:t>
            </w:r>
          </w:p>
        </w:tc>
        <w:tc>
          <w:tcPr>
            <w:tcW w:w="4349" w:type="dxa"/>
            <w:vAlign w:val="center"/>
          </w:tcPr>
          <w:p w14:paraId="3C1C276A">
            <w:pPr>
              <w:pStyle w:val="30"/>
              <w:widowControl w:val="0"/>
              <w:bidi w:val="0"/>
              <w:ind w:firstLine="0" w:firstLineChars="0"/>
              <w:rPr>
                <w:color w:val="auto"/>
              </w:rPr>
            </w:pPr>
            <w:r>
              <w:rPr>
                <w:color w:val="auto"/>
              </w:rPr>
              <w:t>软件和信息技术服务业</w:t>
            </w:r>
          </w:p>
        </w:tc>
        <w:tc>
          <w:tcPr>
            <w:tcW w:w="1200" w:type="dxa"/>
            <w:vAlign w:val="center"/>
          </w:tcPr>
          <w:p w14:paraId="08E5475A">
            <w:pPr>
              <w:pStyle w:val="30"/>
              <w:widowControl w:val="0"/>
              <w:bidi w:val="0"/>
              <w:ind w:firstLine="0" w:firstLineChars="0"/>
              <w:rPr>
                <w:color w:val="auto"/>
              </w:rPr>
            </w:pPr>
            <w:r>
              <w:rPr>
                <w:color w:val="auto"/>
              </w:rPr>
              <w:t>优先</w:t>
            </w:r>
          </w:p>
        </w:tc>
      </w:tr>
      <w:tr w14:paraId="1AFA50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restart"/>
            <w:tcBorders>
              <w:top w:val="single" w:color="auto" w:sz="4" w:space="0"/>
              <w:bottom w:val="single" w:color="auto" w:sz="4" w:space="0"/>
            </w:tcBorders>
            <w:vAlign w:val="center"/>
          </w:tcPr>
          <w:p w14:paraId="6C970EAA">
            <w:pPr>
              <w:pStyle w:val="30"/>
              <w:widowControl w:val="0"/>
              <w:bidi w:val="0"/>
              <w:rPr>
                <w:color w:val="auto"/>
              </w:rPr>
            </w:pPr>
            <w:r>
              <w:rPr>
                <w:color w:val="auto"/>
              </w:rPr>
              <w:t>M  科学研究和技术服务业</w:t>
            </w:r>
          </w:p>
        </w:tc>
        <w:tc>
          <w:tcPr>
            <w:tcW w:w="1722" w:type="dxa"/>
            <w:vAlign w:val="center"/>
          </w:tcPr>
          <w:p w14:paraId="5C6A54A2">
            <w:pPr>
              <w:pStyle w:val="30"/>
              <w:widowControl w:val="0"/>
              <w:bidi w:val="0"/>
              <w:ind w:firstLine="0" w:firstLineChars="0"/>
              <w:rPr>
                <w:color w:val="auto"/>
              </w:rPr>
            </w:pPr>
            <w:r>
              <w:rPr>
                <w:color w:val="auto"/>
              </w:rPr>
              <w:t>73</w:t>
            </w:r>
          </w:p>
        </w:tc>
        <w:tc>
          <w:tcPr>
            <w:tcW w:w="4349" w:type="dxa"/>
            <w:vAlign w:val="center"/>
          </w:tcPr>
          <w:p w14:paraId="792E9A96">
            <w:pPr>
              <w:pStyle w:val="30"/>
              <w:widowControl w:val="0"/>
              <w:bidi w:val="0"/>
              <w:ind w:firstLine="0" w:firstLineChars="0"/>
              <w:rPr>
                <w:color w:val="auto"/>
              </w:rPr>
            </w:pPr>
            <w:r>
              <w:rPr>
                <w:color w:val="auto"/>
              </w:rPr>
              <w:t>研究和试验发展</w:t>
            </w:r>
          </w:p>
        </w:tc>
        <w:tc>
          <w:tcPr>
            <w:tcW w:w="1200" w:type="dxa"/>
            <w:vAlign w:val="center"/>
          </w:tcPr>
          <w:p w14:paraId="0E211B37">
            <w:pPr>
              <w:pStyle w:val="30"/>
              <w:widowControl w:val="0"/>
              <w:bidi w:val="0"/>
              <w:ind w:firstLine="0" w:firstLineChars="0"/>
              <w:rPr>
                <w:color w:val="auto"/>
              </w:rPr>
            </w:pPr>
            <w:r>
              <w:rPr>
                <w:color w:val="auto"/>
              </w:rPr>
              <w:t>优先</w:t>
            </w:r>
          </w:p>
        </w:tc>
      </w:tr>
      <w:tr w14:paraId="41F8CF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7" w:hRule="atLeast"/>
          <w:jc w:val="center"/>
        </w:trPr>
        <w:tc>
          <w:tcPr>
            <w:tcW w:w="1846" w:type="dxa"/>
            <w:vMerge w:val="continue"/>
            <w:tcBorders>
              <w:top w:val="single" w:color="auto" w:sz="4" w:space="0"/>
              <w:bottom w:val="single" w:color="auto" w:sz="4" w:space="0"/>
            </w:tcBorders>
            <w:vAlign w:val="center"/>
          </w:tcPr>
          <w:p w14:paraId="6ABCAA55">
            <w:pPr>
              <w:pStyle w:val="30"/>
              <w:widowControl w:val="0"/>
              <w:bidi w:val="0"/>
              <w:rPr>
                <w:color w:val="auto"/>
              </w:rPr>
            </w:pPr>
          </w:p>
        </w:tc>
        <w:tc>
          <w:tcPr>
            <w:tcW w:w="1722" w:type="dxa"/>
            <w:vAlign w:val="center"/>
          </w:tcPr>
          <w:p w14:paraId="749041B8">
            <w:pPr>
              <w:pStyle w:val="30"/>
              <w:widowControl w:val="0"/>
              <w:bidi w:val="0"/>
              <w:ind w:firstLine="0" w:firstLineChars="0"/>
              <w:rPr>
                <w:color w:val="auto"/>
              </w:rPr>
            </w:pPr>
            <w:r>
              <w:rPr>
                <w:color w:val="auto"/>
              </w:rPr>
              <w:t>74</w:t>
            </w:r>
          </w:p>
        </w:tc>
        <w:tc>
          <w:tcPr>
            <w:tcW w:w="4349" w:type="dxa"/>
            <w:vAlign w:val="center"/>
          </w:tcPr>
          <w:p w14:paraId="1FF12DB0">
            <w:pPr>
              <w:pStyle w:val="30"/>
              <w:widowControl w:val="0"/>
              <w:bidi w:val="0"/>
              <w:ind w:firstLine="0" w:firstLineChars="0"/>
              <w:rPr>
                <w:color w:val="auto"/>
              </w:rPr>
            </w:pPr>
            <w:r>
              <w:rPr>
                <w:color w:val="auto"/>
              </w:rPr>
              <w:t>专业技术服务业</w:t>
            </w:r>
          </w:p>
        </w:tc>
        <w:tc>
          <w:tcPr>
            <w:tcW w:w="1200" w:type="dxa"/>
            <w:vAlign w:val="center"/>
          </w:tcPr>
          <w:p w14:paraId="05C00444">
            <w:pPr>
              <w:pStyle w:val="30"/>
              <w:widowControl w:val="0"/>
              <w:bidi w:val="0"/>
              <w:ind w:firstLine="0" w:firstLineChars="0"/>
              <w:rPr>
                <w:color w:val="auto"/>
              </w:rPr>
            </w:pPr>
            <w:r>
              <w:rPr>
                <w:color w:val="auto"/>
              </w:rPr>
              <w:t>优先</w:t>
            </w:r>
          </w:p>
        </w:tc>
      </w:tr>
      <w:tr w14:paraId="0CD580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7" w:hRule="atLeast"/>
          <w:jc w:val="center"/>
        </w:trPr>
        <w:tc>
          <w:tcPr>
            <w:tcW w:w="1846" w:type="dxa"/>
            <w:vMerge w:val="continue"/>
            <w:tcBorders>
              <w:top w:val="single" w:color="auto" w:sz="4" w:space="0"/>
              <w:bottom w:val="single" w:color="auto" w:sz="4" w:space="0"/>
            </w:tcBorders>
            <w:vAlign w:val="center"/>
          </w:tcPr>
          <w:p w14:paraId="70E0BD33">
            <w:pPr>
              <w:pStyle w:val="30"/>
              <w:widowControl w:val="0"/>
              <w:bidi w:val="0"/>
              <w:rPr>
                <w:color w:val="auto"/>
              </w:rPr>
            </w:pPr>
          </w:p>
        </w:tc>
        <w:tc>
          <w:tcPr>
            <w:tcW w:w="1722" w:type="dxa"/>
            <w:vAlign w:val="center"/>
          </w:tcPr>
          <w:p w14:paraId="7D5CAD37">
            <w:pPr>
              <w:pStyle w:val="30"/>
              <w:widowControl w:val="0"/>
              <w:bidi w:val="0"/>
              <w:ind w:firstLine="0" w:firstLineChars="0"/>
              <w:rPr>
                <w:color w:val="auto"/>
              </w:rPr>
            </w:pPr>
            <w:r>
              <w:rPr>
                <w:color w:val="auto"/>
              </w:rPr>
              <w:t>75</w:t>
            </w:r>
          </w:p>
        </w:tc>
        <w:tc>
          <w:tcPr>
            <w:tcW w:w="4349" w:type="dxa"/>
            <w:vAlign w:val="center"/>
          </w:tcPr>
          <w:p w14:paraId="6ABEAD6D">
            <w:pPr>
              <w:pStyle w:val="30"/>
              <w:widowControl w:val="0"/>
              <w:bidi w:val="0"/>
              <w:ind w:firstLine="0" w:firstLineChars="0"/>
              <w:rPr>
                <w:color w:val="auto"/>
              </w:rPr>
            </w:pPr>
            <w:r>
              <w:rPr>
                <w:color w:val="auto"/>
              </w:rPr>
              <w:t>科技推广和应用服务业</w:t>
            </w:r>
          </w:p>
        </w:tc>
        <w:tc>
          <w:tcPr>
            <w:tcW w:w="1200" w:type="dxa"/>
            <w:vAlign w:val="center"/>
          </w:tcPr>
          <w:p w14:paraId="2614CA6F">
            <w:pPr>
              <w:pStyle w:val="30"/>
              <w:widowControl w:val="0"/>
              <w:bidi w:val="0"/>
              <w:ind w:firstLine="0" w:firstLineChars="0"/>
              <w:rPr>
                <w:color w:val="auto"/>
              </w:rPr>
            </w:pPr>
            <w:r>
              <w:rPr>
                <w:color w:val="auto"/>
              </w:rPr>
              <w:t>优先</w:t>
            </w:r>
          </w:p>
        </w:tc>
      </w:tr>
    </w:tbl>
    <w:p w14:paraId="5155CE14">
      <w:pPr>
        <w:bidi w:val="0"/>
        <w:ind w:firstLine="480" w:firstLineChars="200"/>
        <w:rPr>
          <w:rFonts w:hint="eastAsia" w:ascii="Times New Roman" w:hAnsi="Times New Roman" w:cs="Times New Roman"/>
          <w:color w:val="auto"/>
          <w:kern w:val="2"/>
          <w:lang w:val="en-US" w:eastAsia="zh-CN"/>
        </w:rPr>
      </w:pPr>
      <w:r>
        <w:rPr>
          <w:rFonts w:hint="eastAsia" w:ascii="Times New Roman" w:hAnsi="Times New Roman" w:cs="Times New Roman"/>
          <w:color w:val="auto"/>
          <w:kern w:val="2"/>
        </w:rPr>
        <w:t>项目属于《国民经济行业分类》（2017）中</w:t>
      </w:r>
      <w:r>
        <w:rPr>
          <w:rFonts w:hint="eastAsia" w:ascii="Times New Roman" w:hAnsi="Times New Roman" w:cs="Times New Roman"/>
          <w:color w:val="auto"/>
          <w:kern w:val="2"/>
          <w:lang w:eastAsia="zh-CN"/>
        </w:rPr>
        <w:t>“</w:t>
      </w:r>
      <w:r>
        <w:rPr>
          <w:rFonts w:hint="eastAsia" w:ascii="Times New Roman" w:hAnsi="Times New Roman" w:cs="Times New Roman"/>
          <w:color w:val="auto"/>
          <w:kern w:val="2"/>
        </w:rPr>
        <w:t>光伏设备及元器件制造 C3825</w:t>
      </w:r>
      <w:r>
        <w:rPr>
          <w:rFonts w:hint="eastAsia" w:ascii="Times New Roman" w:hAnsi="Times New Roman" w:cs="Times New Roman"/>
          <w:color w:val="auto"/>
          <w:kern w:val="2"/>
          <w:lang w:eastAsia="zh-CN"/>
        </w:rPr>
        <w:t>”</w:t>
      </w:r>
      <w:r>
        <w:rPr>
          <w:rFonts w:hint="eastAsia" w:ascii="Times New Roman" w:hAnsi="Times New Roman" w:cs="Times New Roman"/>
          <w:color w:val="auto"/>
          <w:kern w:val="2"/>
        </w:rPr>
        <w:t>，属于电气机械和器材制造业，为园区优先入园项目行业。</w:t>
      </w:r>
      <w:r>
        <w:rPr>
          <w:rFonts w:hint="eastAsia" w:ascii="Times New Roman" w:hAnsi="Times New Roman" w:cs="Times New Roman"/>
          <w:color w:val="auto"/>
          <w:kern w:val="2"/>
          <w:lang w:val="en-US" w:eastAsia="zh-CN"/>
        </w:rPr>
        <w:t>同时</w:t>
      </w:r>
      <w:r>
        <w:rPr>
          <w:rFonts w:hint="eastAsia" w:ascii="Times New Roman" w:hAnsi="Times New Roman" w:cs="Times New Roman"/>
          <w:color w:val="auto"/>
          <w:kern w:val="2"/>
        </w:rPr>
        <w:t>本项目不属于《长江经济带发展负面清单指南（试行，2022年版）》提出的禁止类项目、《市场准入负面清单（</w:t>
      </w:r>
      <w:r>
        <w:rPr>
          <w:rFonts w:hint="eastAsia" w:ascii="Times New Roman" w:hAnsi="Times New Roman" w:cs="Times New Roman"/>
          <w:color w:val="auto"/>
          <w:kern w:val="2"/>
          <w:lang w:val="en-US" w:eastAsia="zh-CN"/>
        </w:rPr>
        <w:t>2025</w:t>
      </w:r>
      <w:r>
        <w:rPr>
          <w:rFonts w:hint="eastAsia" w:ascii="Times New Roman" w:hAnsi="Times New Roman" w:cs="Times New Roman"/>
          <w:color w:val="auto"/>
          <w:kern w:val="2"/>
        </w:rPr>
        <w:t>年版）》中提出的禁止类项目、《巢湖流域禁止和限制的产业目录》中的禁止类和限制类产业。</w:t>
      </w:r>
    </w:p>
    <w:p w14:paraId="1E721EF0">
      <w:pPr>
        <w:bidi w:val="0"/>
        <w:ind w:firstLine="480" w:firstLineChars="200"/>
        <w:rPr>
          <w:rFonts w:hint="eastAsia"/>
          <w:lang w:val="en-US" w:eastAsia="zh-CN"/>
        </w:rPr>
      </w:pPr>
      <w:r>
        <w:rPr>
          <w:rFonts w:hint="eastAsia" w:ascii="Times New Roman" w:hAnsi="Times New Roman" w:cs="Times New Roman"/>
          <w:color w:val="auto"/>
          <w:kern w:val="2"/>
        </w:rPr>
        <w:t>综上所述，本项目建设符合生态分区管控要求</w:t>
      </w:r>
      <w:r>
        <w:rPr>
          <w:rFonts w:ascii="Times New Roman" w:hAnsi="Times New Roman" w:cs="Times New Roman"/>
          <w:color w:val="auto"/>
          <w:kern w:val="2"/>
          <w:szCs w:val="22"/>
        </w:rPr>
        <w:t>。</w:t>
      </w:r>
    </w:p>
    <w:p w14:paraId="11B93847">
      <w:pPr>
        <w:bidi w:val="0"/>
        <w:rPr>
          <w:rFonts w:hint="default"/>
          <w:lang w:val="en-US" w:eastAsia="zh-CN"/>
        </w:rPr>
        <w:sectPr>
          <w:pgSz w:w="11906" w:h="16838"/>
          <w:pgMar w:top="1417" w:right="1134" w:bottom="1134" w:left="1417" w:header="851" w:footer="992" w:gutter="0"/>
          <w:pgNumType w:fmt="decimal"/>
          <w:cols w:space="0" w:num="1"/>
          <w:rtlGutter w:val="0"/>
          <w:docGrid w:type="lines" w:linePitch="312" w:charSpace="0"/>
        </w:sectPr>
      </w:pPr>
    </w:p>
    <w:p w14:paraId="3FF10F46">
      <w:pPr>
        <w:pStyle w:val="2"/>
        <w:bidi w:val="0"/>
        <w:rPr>
          <w:rFonts w:hint="eastAsia"/>
          <w:lang w:val="en-US" w:eastAsia="en-US"/>
        </w:rPr>
      </w:pPr>
      <w:bookmarkStart w:id="81" w:name="_Toc4534"/>
      <w:bookmarkStart w:id="82" w:name="_Toc27176"/>
      <w:bookmarkStart w:id="83" w:name="_Toc1563"/>
      <w:bookmarkStart w:id="84" w:name="_Toc3491"/>
      <w:r>
        <w:rPr>
          <w:rFonts w:hint="eastAsia"/>
          <w:lang w:val="en-US" w:eastAsia="en-US"/>
        </w:rPr>
        <w:t>2.</w:t>
      </w:r>
      <w:r>
        <w:rPr>
          <w:rFonts w:hint="eastAsia"/>
          <w:lang w:val="en-US" w:eastAsia="zh-CN"/>
        </w:rPr>
        <w:t xml:space="preserve">6 </w:t>
      </w:r>
      <w:r>
        <w:rPr>
          <w:rFonts w:hint="eastAsia"/>
          <w:lang w:val="en-US" w:eastAsia="en-US"/>
        </w:rPr>
        <w:t>环境保护目标</w:t>
      </w:r>
      <w:bookmarkEnd w:id="81"/>
      <w:bookmarkEnd w:id="82"/>
      <w:bookmarkEnd w:id="83"/>
      <w:bookmarkEnd w:id="84"/>
    </w:p>
    <w:p w14:paraId="68A99928">
      <w:pPr>
        <w:bidi w:val="0"/>
        <w:ind w:firstLine="480" w:firstLineChars="200"/>
        <w:rPr>
          <w:color w:val="auto"/>
        </w:rPr>
      </w:pPr>
      <w:r>
        <w:rPr>
          <w:color w:val="auto"/>
        </w:rPr>
        <w:t>项目位于合肥循环经济示范园龙兴大道与乳泉路交口东北角，项目所在地周围无名胜古迹、自然保护区和风景名胜区。本项目环境保护目标具体情况见表2.</w:t>
      </w:r>
      <w:r>
        <w:rPr>
          <w:rFonts w:hint="eastAsia"/>
          <w:color w:val="auto"/>
          <w:lang w:val="en-US" w:eastAsia="zh-CN"/>
        </w:rPr>
        <w:t>6</w:t>
      </w:r>
      <w:r>
        <w:rPr>
          <w:color w:val="auto"/>
        </w:rPr>
        <w:t>-1、表2.</w:t>
      </w:r>
      <w:r>
        <w:rPr>
          <w:rFonts w:hint="eastAsia"/>
          <w:color w:val="auto"/>
          <w:lang w:val="en-US" w:eastAsia="zh-CN"/>
        </w:rPr>
        <w:t>6</w:t>
      </w:r>
      <w:r>
        <w:rPr>
          <w:color w:val="auto"/>
        </w:rPr>
        <w:t>-2，保护目标分布情况见图2.</w:t>
      </w:r>
      <w:r>
        <w:rPr>
          <w:rFonts w:hint="eastAsia"/>
          <w:color w:val="auto"/>
          <w:lang w:val="en-US" w:eastAsia="zh-CN"/>
        </w:rPr>
        <w:t>6</w:t>
      </w:r>
      <w:r>
        <w:rPr>
          <w:color w:val="auto"/>
        </w:rPr>
        <w:t>-1。</w:t>
      </w:r>
    </w:p>
    <w:p w14:paraId="3162DA68">
      <w:pPr>
        <w:bidi w:val="0"/>
        <w:jc w:val="center"/>
        <w:rPr>
          <w:b/>
          <w:bCs/>
        </w:rPr>
      </w:pPr>
      <w:r>
        <w:rPr>
          <w:b/>
          <w:bCs/>
        </w:rPr>
        <w:t>表2.</w:t>
      </w:r>
      <w:r>
        <w:rPr>
          <w:rFonts w:hint="eastAsia"/>
          <w:b/>
          <w:bCs/>
          <w:lang w:val="en-US" w:eastAsia="zh-CN"/>
        </w:rPr>
        <w:t>6</w:t>
      </w:r>
      <w:r>
        <w:rPr>
          <w:b/>
          <w:bCs/>
        </w:rPr>
        <w:t>-1</w:t>
      </w:r>
      <w:r>
        <w:rPr>
          <w:rFonts w:hint="eastAsia"/>
          <w:b/>
          <w:bCs/>
          <w:lang w:val="en-US" w:eastAsia="zh-CN"/>
        </w:rPr>
        <w:t xml:space="preserve"> 项目主要环境保护目标一览表</w:t>
      </w:r>
    </w:p>
    <w:tbl>
      <w:tblPr>
        <w:tblStyle w:val="25"/>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07"/>
        <w:gridCol w:w="518"/>
        <w:gridCol w:w="1497"/>
        <w:gridCol w:w="723"/>
        <w:gridCol w:w="831"/>
        <w:gridCol w:w="846"/>
        <w:gridCol w:w="847"/>
        <w:gridCol w:w="1477"/>
        <w:gridCol w:w="790"/>
        <w:gridCol w:w="1125"/>
      </w:tblGrid>
      <w:tr w14:paraId="7F1245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689" w:type="dxa"/>
            <w:vMerge w:val="restart"/>
            <w:tcBorders>
              <w:bottom w:val="nil"/>
            </w:tcBorders>
            <w:vAlign w:val="center"/>
          </w:tcPr>
          <w:p w14:paraId="63627C86">
            <w:pPr>
              <w:pStyle w:val="30"/>
              <w:widowControl w:val="0"/>
              <w:bidi w:val="0"/>
              <w:rPr>
                <w:b/>
                <w:bCs/>
                <w:color w:val="auto"/>
                <w:lang w:val="en-US" w:eastAsia="en-US"/>
              </w:rPr>
            </w:pPr>
            <w:r>
              <w:rPr>
                <w:b/>
                <w:bCs/>
                <w:color w:val="auto"/>
                <w:lang w:val="en-US" w:eastAsia="en-US"/>
              </w:rPr>
              <w:t>环境要素</w:t>
            </w:r>
          </w:p>
        </w:tc>
        <w:tc>
          <w:tcPr>
            <w:tcW w:w="1964" w:type="dxa"/>
            <w:gridSpan w:val="2"/>
            <w:vMerge w:val="restart"/>
            <w:tcBorders>
              <w:bottom w:val="nil"/>
            </w:tcBorders>
            <w:vAlign w:val="center"/>
          </w:tcPr>
          <w:p w14:paraId="2168E97B">
            <w:pPr>
              <w:pStyle w:val="30"/>
              <w:widowControl w:val="0"/>
              <w:bidi w:val="0"/>
              <w:rPr>
                <w:b/>
                <w:bCs/>
                <w:color w:val="auto"/>
                <w:lang w:val="en-US" w:eastAsia="en-US"/>
              </w:rPr>
            </w:pPr>
            <w:r>
              <w:rPr>
                <w:b/>
                <w:bCs/>
                <w:color w:val="auto"/>
                <w:lang w:val="en-US" w:eastAsia="en-US"/>
              </w:rPr>
              <w:t>名称</w:t>
            </w:r>
          </w:p>
        </w:tc>
        <w:tc>
          <w:tcPr>
            <w:tcW w:w="1515" w:type="dxa"/>
            <w:gridSpan w:val="2"/>
            <w:vAlign w:val="center"/>
          </w:tcPr>
          <w:p w14:paraId="1543CB81">
            <w:pPr>
              <w:pStyle w:val="30"/>
              <w:widowControl w:val="0"/>
              <w:bidi w:val="0"/>
              <w:rPr>
                <w:b/>
                <w:bCs/>
                <w:color w:val="auto"/>
                <w:lang w:val="en-US" w:eastAsia="en-US"/>
              </w:rPr>
            </w:pPr>
            <w:r>
              <w:rPr>
                <w:b/>
                <w:bCs/>
                <w:color w:val="auto"/>
                <w:lang w:val="en-US" w:eastAsia="en-US"/>
              </w:rPr>
              <w:t>坐标/m</w:t>
            </w:r>
          </w:p>
        </w:tc>
        <w:tc>
          <w:tcPr>
            <w:tcW w:w="824" w:type="dxa"/>
            <w:vMerge w:val="restart"/>
            <w:tcBorders>
              <w:bottom w:val="nil"/>
            </w:tcBorders>
            <w:vAlign w:val="center"/>
          </w:tcPr>
          <w:p w14:paraId="0F506C92">
            <w:pPr>
              <w:pStyle w:val="30"/>
              <w:widowControl w:val="0"/>
              <w:bidi w:val="0"/>
              <w:rPr>
                <w:b/>
                <w:bCs/>
                <w:color w:val="auto"/>
                <w:lang w:val="en-US" w:eastAsia="en-US"/>
              </w:rPr>
            </w:pPr>
            <w:r>
              <w:rPr>
                <w:b/>
                <w:bCs/>
                <w:color w:val="auto"/>
                <w:lang w:val="en-US" w:eastAsia="en-US"/>
              </w:rPr>
              <w:t>保护对象</w:t>
            </w:r>
          </w:p>
        </w:tc>
        <w:tc>
          <w:tcPr>
            <w:tcW w:w="825" w:type="dxa"/>
            <w:vMerge w:val="restart"/>
            <w:tcBorders>
              <w:bottom w:val="nil"/>
            </w:tcBorders>
            <w:vAlign w:val="center"/>
          </w:tcPr>
          <w:p w14:paraId="2B6A787F">
            <w:pPr>
              <w:pStyle w:val="30"/>
              <w:widowControl w:val="0"/>
              <w:bidi w:val="0"/>
              <w:rPr>
                <w:b/>
                <w:bCs/>
                <w:color w:val="auto"/>
                <w:lang w:val="en-US" w:eastAsia="en-US"/>
              </w:rPr>
            </w:pPr>
            <w:r>
              <w:rPr>
                <w:b/>
                <w:bCs/>
                <w:color w:val="auto"/>
                <w:lang w:val="en-US" w:eastAsia="en-US"/>
              </w:rPr>
              <w:t>保护内容</w:t>
            </w:r>
          </w:p>
        </w:tc>
        <w:tc>
          <w:tcPr>
            <w:tcW w:w="1439" w:type="dxa"/>
            <w:vMerge w:val="restart"/>
            <w:tcBorders>
              <w:bottom w:val="nil"/>
            </w:tcBorders>
            <w:vAlign w:val="center"/>
          </w:tcPr>
          <w:p w14:paraId="77D19B35">
            <w:pPr>
              <w:pStyle w:val="30"/>
              <w:widowControl w:val="0"/>
              <w:bidi w:val="0"/>
              <w:rPr>
                <w:b/>
                <w:bCs/>
                <w:color w:val="auto"/>
                <w:lang w:val="en-US" w:eastAsia="en-US"/>
              </w:rPr>
            </w:pPr>
            <w:r>
              <w:rPr>
                <w:b/>
                <w:bCs/>
                <w:color w:val="auto"/>
                <w:lang w:val="en-US" w:eastAsia="en-US"/>
              </w:rPr>
              <w:t>环境功能区</w:t>
            </w:r>
          </w:p>
        </w:tc>
        <w:tc>
          <w:tcPr>
            <w:tcW w:w="770" w:type="dxa"/>
            <w:vMerge w:val="restart"/>
            <w:tcBorders>
              <w:bottom w:val="nil"/>
            </w:tcBorders>
            <w:vAlign w:val="center"/>
          </w:tcPr>
          <w:p w14:paraId="35F4C4D6">
            <w:pPr>
              <w:pStyle w:val="30"/>
              <w:widowControl w:val="0"/>
              <w:bidi w:val="0"/>
              <w:rPr>
                <w:b/>
                <w:bCs/>
                <w:color w:val="auto"/>
                <w:lang w:val="en-US" w:eastAsia="en-US"/>
              </w:rPr>
            </w:pPr>
            <w:r>
              <w:rPr>
                <w:b/>
                <w:bCs/>
                <w:color w:val="auto"/>
                <w:lang w:val="en-US" w:eastAsia="en-US"/>
              </w:rPr>
              <w:t>相对厂址方位</w:t>
            </w:r>
          </w:p>
        </w:tc>
        <w:tc>
          <w:tcPr>
            <w:tcW w:w="1096" w:type="dxa"/>
            <w:vMerge w:val="restart"/>
            <w:tcBorders>
              <w:bottom w:val="nil"/>
            </w:tcBorders>
            <w:vAlign w:val="center"/>
          </w:tcPr>
          <w:p w14:paraId="32C7554E">
            <w:pPr>
              <w:pStyle w:val="30"/>
              <w:widowControl w:val="0"/>
              <w:bidi w:val="0"/>
              <w:rPr>
                <w:b/>
                <w:bCs/>
                <w:color w:val="auto"/>
                <w:lang w:val="en-US" w:eastAsia="en-US"/>
              </w:rPr>
            </w:pPr>
            <w:r>
              <w:rPr>
                <w:b/>
                <w:bCs/>
                <w:color w:val="auto"/>
                <w:lang w:val="en-US" w:eastAsia="en-US"/>
              </w:rPr>
              <w:t>相对厂界距离（m）</w:t>
            </w:r>
          </w:p>
        </w:tc>
      </w:tr>
      <w:tr w14:paraId="63C253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nil"/>
              <w:bottom w:val="single" w:color="auto" w:sz="4" w:space="0"/>
            </w:tcBorders>
            <w:vAlign w:val="center"/>
          </w:tcPr>
          <w:p w14:paraId="69FE13F2">
            <w:pPr>
              <w:pStyle w:val="30"/>
              <w:widowControl w:val="0"/>
              <w:bidi w:val="0"/>
              <w:rPr>
                <w:color w:val="auto"/>
                <w:lang w:val="en-US" w:eastAsia="en-US"/>
              </w:rPr>
            </w:pPr>
          </w:p>
        </w:tc>
        <w:tc>
          <w:tcPr>
            <w:tcW w:w="1964" w:type="dxa"/>
            <w:gridSpan w:val="2"/>
            <w:vMerge w:val="continue"/>
            <w:tcBorders>
              <w:top w:val="nil"/>
            </w:tcBorders>
            <w:vAlign w:val="center"/>
          </w:tcPr>
          <w:p w14:paraId="74F27466">
            <w:pPr>
              <w:pStyle w:val="30"/>
              <w:widowControl w:val="0"/>
              <w:bidi w:val="0"/>
              <w:rPr>
                <w:color w:val="auto"/>
                <w:lang w:val="en-US" w:eastAsia="en-US"/>
              </w:rPr>
            </w:pPr>
          </w:p>
        </w:tc>
        <w:tc>
          <w:tcPr>
            <w:tcW w:w="705" w:type="dxa"/>
            <w:vAlign w:val="center"/>
          </w:tcPr>
          <w:p w14:paraId="7C3AA66B">
            <w:pPr>
              <w:pStyle w:val="30"/>
              <w:widowControl w:val="0"/>
              <w:bidi w:val="0"/>
              <w:rPr>
                <w:b/>
                <w:bCs/>
                <w:color w:val="auto"/>
                <w:lang w:val="en-US" w:eastAsia="en-US"/>
              </w:rPr>
            </w:pPr>
            <w:r>
              <w:rPr>
                <w:b/>
                <w:bCs/>
                <w:color w:val="auto"/>
                <w:lang w:val="en-US" w:eastAsia="en-US"/>
              </w:rPr>
              <w:t>X</w:t>
            </w:r>
          </w:p>
        </w:tc>
        <w:tc>
          <w:tcPr>
            <w:tcW w:w="810" w:type="dxa"/>
            <w:vAlign w:val="center"/>
          </w:tcPr>
          <w:p w14:paraId="4571E4B8">
            <w:pPr>
              <w:pStyle w:val="30"/>
              <w:widowControl w:val="0"/>
              <w:bidi w:val="0"/>
              <w:rPr>
                <w:b/>
                <w:bCs/>
                <w:color w:val="auto"/>
                <w:lang w:val="en-US" w:eastAsia="en-US"/>
              </w:rPr>
            </w:pPr>
            <w:r>
              <w:rPr>
                <w:b/>
                <w:bCs/>
                <w:color w:val="auto"/>
                <w:lang w:val="en-US" w:eastAsia="en-US"/>
              </w:rPr>
              <w:t>Y</w:t>
            </w:r>
          </w:p>
        </w:tc>
        <w:tc>
          <w:tcPr>
            <w:tcW w:w="824" w:type="dxa"/>
            <w:vMerge w:val="continue"/>
            <w:tcBorders>
              <w:top w:val="nil"/>
            </w:tcBorders>
            <w:vAlign w:val="center"/>
          </w:tcPr>
          <w:p w14:paraId="73C9A44B">
            <w:pPr>
              <w:pStyle w:val="30"/>
              <w:widowControl w:val="0"/>
              <w:bidi w:val="0"/>
              <w:rPr>
                <w:color w:val="auto"/>
                <w:lang w:val="en-US" w:eastAsia="en-US"/>
              </w:rPr>
            </w:pPr>
          </w:p>
        </w:tc>
        <w:tc>
          <w:tcPr>
            <w:tcW w:w="825" w:type="dxa"/>
            <w:vMerge w:val="continue"/>
            <w:tcBorders>
              <w:top w:val="nil"/>
            </w:tcBorders>
            <w:vAlign w:val="center"/>
          </w:tcPr>
          <w:p w14:paraId="3C0DD80D">
            <w:pPr>
              <w:pStyle w:val="30"/>
              <w:widowControl w:val="0"/>
              <w:bidi w:val="0"/>
              <w:rPr>
                <w:color w:val="auto"/>
                <w:lang w:val="en-US" w:eastAsia="en-US"/>
              </w:rPr>
            </w:pPr>
          </w:p>
        </w:tc>
        <w:tc>
          <w:tcPr>
            <w:tcW w:w="1439" w:type="dxa"/>
            <w:vMerge w:val="continue"/>
            <w:tcBorders>
              <w:top w:val="nil"/>
              <w:bottom w:val="single" w:color="auto" w:sz="4" w:space="0"/>
            </w:tcBorders>
            <w:vAlign w:val="center"/>
          </w:tcPr>
          <w:p w14:paraId="353F3C3B">
            <w:pPr>
              <w:pStyle w:val="30"/>
              <w:widowControl w:val="0"/>
              <w:bidi w:val="0"/>
              <w:rPr>
                <w:color w:val="auto"/>
                <w:lang w:val="en-US" w:eastAsia="en-US"/>
              </w:rPr>
            </w:pPr>
          </w:p>
        </w:tc>
        <w:tc>
          <w:tcPr>
            <w:tcW w:w="770" w:type="dxa"/>
            <w:vMerge w:val="continue"/>
            <w:tcBorders>
              <w:top w:val="nil"/>
            </w:tcBorders>
            <w:vAlign w:val="center"/>
          </w:tcPr>
          <w:p w14:paraId="1502154E">
            <w:pPr>
              <w:pStyle w:val="30"/>
              <w:widowControl w:val="0"/>
              <w:bidi w:val="0"/>
              <w:rPr>
                <w:color w:val="auto"/>
                <w:lang w:val="en-US" w:eastAsia="en-US"/>
              </w:rPr>
            </w:pPr>
          </w:p>
        </w:tc>
        <w:tc>
          <w:tcPr>
            <w:tcW w:w="1096" w:type="dxa"/>
            <w:vMerge w:val="continue"/>
            <w:tcBorders>
              <w:top w:val="nil"/>
            </w:tcBorders>
            <w:vAlign w:val="center"/>
          </w:tcPr>
          <w:p w14:paraId="2D86F814">
            <w:pPr>
              <w:pStyle w:val="30"/>
              <w:widowControl w:val="0"/>
              <w:bidi w:val="0"/>
              <w:rPr>
                <w:color w:val="auto"/>
                <w:lang w:val="en-US" w:eastAsia="en-US"/>
              </w:rPr>
            </w:pPr>
          </w:p>
        </w:tc>
      </w:tr>
      <w:tr w14:paraId="5C988C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restart"/>
            <w:tcBorders>
              <w:top w:val="single" w:color="auto" w:sz="4" w:space="0"/>
              <w:left w:val="single" w:color="auto" w:sz="4" w:space="0"/>
              <w:bottom w:val="single" w:color="auto" w:sz="4" w:space="0"/>
              <w:right w:val="single" w:color="auto" w:sz="4" w:space="0"/>
            </w:tcBorders>
            <w:vAlign w:val="center"/>
          </w:tcPr>
          <w:p w14:paraId="51FD0AAE">
            <w:pPr>
              <w:pStyle w:val="30"/>
              <w:widowControl w:val="0"/>
              <w:bidi w:val="0"/>
              <w:rPr>
                <w:color w:val="auto"/>
                <w:lang w:val="en-US" w:eastAsia="en-US"/>
              </w:rPr>
            </w:pPr>
            <w:r>
              <w:rPr>
                <w:color w:val="auto"/>
                <w:lang w:val="en-US" w:eastAsia="en-US"/>
              </w:rPr>
              <w:t>大气环境</w:t>
            </w:r>
          </w:p>
        </w:tc>
        <w:tc>
          <w:tcPr>
            <w:tcW w:w="505" w:type="dxa"/>
            <w:tcBorders>
              <w:left w:val="single" w:color="auto" w:sz="4" w:space="0"/>
            </w:tcBorders>
            <w:vAlign w:val="center"/>
          </w:tcPr>
          <w:p w14:paraId="2C63D2B7">
            <w:pPr>
              <w:pStyle w:val="30"/>
              <w:widowControl w:val="0"/>
              <w:bidi w:val="0"/>
              <w:rPr>
                <w:color w:val="auto"/>
                <w:lang w:val="en-US" w:eastAsia="en-US"/>
              </w:rPr>
            </w:pPr>
            <w:r>
              <w:rPr>
                <w:color w:val="auto"/>
                <w:lang w:val="en-US" w:eastAsia="en-US"/>
              </w:rPr>
              <w:t>1</w:t>
            </w:r>
          </w:p>
        </w:tc>
        <w:tc>
          <w:tcPr>
            <w:tcW w:w="1459" w:type="dxa"/>
            <w:vAlign w:val="center"/>
          </w:tcPr>
          <w:p w14:paraId="13C553AF">
            <w:pPr>
              <w:pStyle w:val="30"/>
              <w:widowControl w:val="0"/>
              <w:bidi w:val="0"/>
              <w:rPr>
                <w:color w:val="auto"/>
                <w:lang w:val="en-US" w:eastAsia="en-US"/>
              </w:rPr>
            </w:pPr>
            <w:r>
              <w:rPr>
                <w:color w:val="auto"/>
                <w:lang w:val="en-US" w:eastAsia="en-US"/>
              </w:rPr>
              <w:t>郑化村（规划拆迁，规划中科研用地）</w:t>
            </w:r>
          </w:p>
        </w:tc>
        <w:tc>
          <w:tcPr>
            <w:tcW w:w="705" w:type="dxa"/>
            <w:vAlign w:val="center"/>
          </w:tcPr>
          <w:p w14:paraId="595A74E7">
            <w:pPr>
              <w:pStyle w:val="30"/>
              <w:widowControl w:val="0"/>
              <w:bidi w:val="0"/>
              <w:rPr>
                <w:color w:val="auto"/>
                <w:lang w:val="en-US" w:eastAsia="en-US"/>
              </w:rPr>
            </w:pPr>
            <w:r>
              <w:rPr>
                <w:color w:val="auto"/>
                <w:lang w:val="en-US" w:eastAsia="en-US"/>
              </w:rPr>
              <w:t>486</w:t>
            </w:r>
          </w:p>
        </w:tc>
        <w:tc>
          <w:tcPr>
            <w:tcW w:w="810" w:type="dxa"/>
            <w:vAlign w:val="center"/>
          </w:tcPr>
          <w:p w14:paraId="67954EF1">
            <w:pPr>
              <w:pStyle w:val="30"/>
              <w:widowControl w:val="0"/>
              <w:bidi w:val="0"/>
              <w:rPr>
                <w:color w:val="auto"/>
                <w:lang w:val="en-US" w:eastAsia="en-US"/>
              </w:rPr>
            </w:pPr>
            <w:r>
              <w:rPr>
                <w:color w:val="auto"/>
                <w:lang w:val="en-US" w:eastAsia="en-US"/>
              </w:rPr>
              <w:t>-1228</w:t>
            </w:r>
          </w:p>
        </w:tc>
        <w:tc>
          <w:tcPr>
            <w:tcW w:w="824" w:type="dxa"/>
            <w:vAlign w:val="center"/>
          </w:tcPr>
          <w:p w14:paraId="2B6624B8">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4E9E0874">
            <w:pPr>
              <w:pStyle w:val="30"/>
              <w:widowControl w:val="0"/>
              <w:bidi w:val="0"/>
              <w:rPr>
                <w:color w:val="auto"/>
                <w:lang w:val="en-US" w:eastAsia="en-US"/>
              </w:rPr>
            </w:pPr>
            <w:r>
              <w:rPr>
                <w:color w:val="auto"/>
                <w:lang w:val="en-US" w:eastAsia="en-US"/>
              </w:rPr>
              <w:t>86人</w:t>
            </w:r>
          </w:p>
        </w:tc>
        <w:tc>
          <w:tcPr>
            <w:tcW w:w="1439" w:type="dxa"/>
            <w:vMerge w:val="restart"/>
            <w:tcBorders>
              <w:top w:val="single" w:color="auto" w:sz="4" w:space="0"/>
              <w:left w:val="single" w:color="auto" w:sz="4" w:space="0"/>
              <w:bottom w:val="single" w:color="auto" w:sz="4" w:space="0"/>
              <w:right w:val="single" w:color="auto" w:sz="4" w:space="0"/>
            </w:tcBorders>
            <w:vAlign w:val="center"/>
          </w:tcPr>
          <w:p w14:paraId="38FA7B8A">
            <w:pPr>
              <w:pStyle w:val="30"/>
              <w:widowControl w:val="0"/>
              <w:bidi w:val="0"/>
              <w:rPr>
                <w:color w:val="auto"/>
                <w:lang w:val="en-US" w:eastAsia="en-US"/>
              </w:rPr>
            </w:pPr>
            <w:r>
              <w:rPr>
                <w:color w:val="auto"/>
                <w:lang w:val="en-US" w:eastAsia="en-US"/>
              </w:rPr>
              <w:t>（</w:t>
            </w:r>
            <w:r>
              <w:rPr>
                <w:rFonts w:hint="eastAsia"/>
                <w:color w:val="auto"/>
                <w:lang w:val="en-US" w:eastAsia="zh-CN"/>
              </w:rPr>
              <w:t>GB3095-2026）</w:t>
            </w:r>
            <w:r>
              <w:rPr>
                <w:color w:val="auto"/>
                <w:lang w:val="en-US" w:eastAsia="en-US"/>
              </w:rPr>
              <w:t>中二级标准</w:t>
            </w:r>
          </w:p>
        </w:tc>
        <w:tc>
          <w:tcPr>
            <w:tcW w:w="770" w:type="dxa"/>
            <w:tcBorders>
              <w:left w:val="single" w:color="auto" w:sz="4" w:space="0"/>
            </w:tcBorders>
            <w:vAlign w:val="center"/>
          </w:tcPr>
          <w:p w14:paraId="5BF5A8B5">
            <w:pPr>
              <w:pStyle w:val="30"/>
              <w:widowControl w:val="0"/>
              <w:bidi w:val="0"/>
              <w:rPr>
                <w:color w:val="auto"/>
                <w:lang w:val="en-US" w:eastAsia="en-US"/>
              </w:rPr>
            </w:pPr>
            <w:r>
              <w:rPr>
                <w:color w:val="auto"/>
                <w:lang w:val="en-US" w:eastAsia="en-US"/>
              </w:rPr>
              <w:t>S</w:t>
            </w:r>
          </w:p>
        </w:tc>
        <w:tc>
          <w:tcPr>
            <w:tcW w:w="1096" w:type="dxa"/>
            <w:vAlign w:val="center"/>
          </w:tcPr>
          <w:p w14:paraId="35FF80B2">
            <w:pPr>
              <w:pStyle w:val="30"/>
              <w:widowControl w:val="0"/>
              <w:bidi w:val="0"/>
              <w:rPr>
                <w:color w:val="auto"/>
                <w:lang w:val="en-US" w:eastAsia="en-US"/>
              </w:rPr>
            </w:pPr>
            <w:r>
              <w:rPr>
                <w:color w:val="auto"/>
                <w:lang w:val="en-US" w:eastAsia="en-US"/>
              </w:rPr>
              <w:t>1246</w:t>
            </w:r>
          </w:p>
        </w:tc>
      </w:tr>
      <w:tr w14:paraId="101EBB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32BCC4FB">
            <w:pPr>
              <w:pStyle w:val="30"/>
              <w:widowControl w:val="0"/>
              <w:bidi w:val="0"/>
              <w:rPr>
                <w:color w:val="auto"/>
                <w:lang w:val="en-US" w:eastAsia="en-US"/>
              </w:rPr>
            </w:pPr>
          </w:p>
        </w:tc>
        <w:tc>
          <w:tcPr>
            <w:tcW w:w="505" w:type="dxa"/>
            <w:tcBorders>
              <w:left w:val="single" w:color="auto" w:sz="4" w:space="0"/>
            </w:tcBorders>
            <w:vAlign w:val="center"/>
          </w:tcPr>
          <w:p w14:paraId="25462D09">
            <w:pPr>
              <w:pStyle w:val="30"/>
              <w:widowControl w:val="0"/>
              <w:bidi w:val="0"/>
              <w:rPr>
                <w:color w:val="auto"/>
                <w:lang w:val="en-US" w:eastAsia="en-US"/>
              </w:rPr>
            </w:pPr>
            <w:r>
              <w:rPr>
                <w:color w:val="auto"/>
                <w:lang w:val="en-US" w:eastAsia="en-US"/>
              </w:rPr>
              <w:t>2</w:t>
            </w:r>
          </w:p>
        </w:tc>
        <w:tc>
          <w:tcPr>
            <w:tcW w:w="1459" w:type="dxa"/>
            <w:vAlign w:val="center"/>
          </w:tcPr>
          <w:p w14:paraId="76A6B552">
            <w:pPr>
              <w:pStyle w:val="30"/>
              <w:widowControl w:val="0"/>
              <w:bidi w:val="0"/>
              <w:rPr>
                <w:color w:val="auto"/>
                <w:lang w:val="en-US" w:eastAsia="en-US"/>
              </w:rPr>
            </w:pPr>
            <w:r>
              <w:rPr>
                <w:color w:val="auto"/>
                <w:lang w:val="en-US" w:eastAsia="en-US"/>
              </w:rPr>
              <w:t>大姚</w:t>
            </w:r>
          </w:p>
        </w:tc>
        <w:tc>
          <w:tcPr>
            <w:tcW w:w="705" w:type="dxa"/>
            <w:vAlign w:val="center"/>
          </w:tcPr>
          <w:p w14:paraId="5595D357">
            <w:pPr>
              <w:pStyle w:val="30"/>
              <w:widowControl w:val="0"/>
              <w:bidi w:val="0"/>
              <w:rPr>
                <w:color w:val="auto"/>
                <w:lang w:val="en-US" w:eastAsia="en-US"/>
              </w:rPr>
            </w:pPr>
            <w:r>
              <w:rPr>
                <w:color w:val="auto"/>
                <w:lang w:val="en-US" w:eastAsia="en-US"/>
              </w:rPr>
              <w:t>803</w:t>
            </w:r>
          </w:p>
        </w:tc>
        <w:tc>
          <w:tcPr>
            <w:tcW w:w="810" w:type="dxa"/>
            <w:vAlign w:val="center"/>
          </w:tcPr>
          <w:p w14:paraId="18C1EC0F">
            <w:pPr>
              <w:pStyle w:val="30"/>
              <w:widowControl w:val="0"/>
              <w:bidi w:val="0"/>
              <w:rPr>
                <w:color w:val="auto"/>
                <w:lang w:val="en-US" w:eastAsia="en-US"/>
              </w:rPr>
            </w:pPr>
            <w:r>
              <w:rPr>
                <w:color w:val="auto"/>
                <w:lang w:val="en-US" w:eastAsia="en-US"/>
              </w:rPr>
              <w:t>-1846</w:t>
            </w:r>
          </w:p>
        </w:tc>
        <w:tc>
          <w:tcPr>
            <w:tcW w:w="824" w:type="dxa"/>
            <w:vAlign w:val="center"/>
          </w:tcPr>
          <w:p w14:paraId="619F960C">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1D2927EF">
            <w:pPr>
              <w:pStyle w:val="30"/>
              <w:widowControl w:val="0"/>
              <w:bidi w:val="0"/>
              <w:rPr>
                <w:color w:val="auto"/>
                <w:lang w:val="en-US" w:eastAsia="en-US"/>
              </w:rPr>
            </w:pPr>
            <w:r>
              <w:rPr>
                <w:color w:val="auto"/>
                <w:lang w:val="en-US" w:eastAsia="en-US"/>
              </w:rPr>
              <w:t>109人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1D98EE44">
            <w:pPr>
              <w:pStyle w:val="30"/>
              <w:widowControl w:val="0"/>
              <w:bidi w:val="0"/>
              <w:rPr>
                <w:color w:val="auto"/>
                <w:lang w:val="en-US" w:eastAsia="en-US"/>
              </w:rPr>
            </w:pPr>
          </w:p>
        </w:tc>
        <w:tc>
          <w:tcPr>
            <w:tcW w:w="770" w:type="dxa"/>
            <w:tcBorders>
              <w:left w:val="single" w:color="auto" w:sz="4" w:space="0"/>
            </w:tcBorders>
            <w:vAlign w:val="center"/>
          </w:tcPr>
          <w:p w14:paraId="57E6BB2C">
            <w:pPr>
              <w:pStyle w:val="30"/>
              <w:widowControl w:val="0"/>
              <w:bidi w:val="0"/>
              <w:rPr>
                <w:color w:val="auto"/>
                <w:lang w:val="en-US" w:eastAsia="en-US"/>
              </w:rPr>
            </w:pPr>
            <w:r>
              <w:rPr>
                <w:color w:val="auto"/>
                <w:lang w:val="en-US" w:eastAsia="en-US"/>
              </w:rPr>
              <w:t>S</w:t>
            </w:r>
          </w:p>
        </w:tc>
        <w:tc>
          <w:tcPr>
            <w:tcW w:w="1096" w:type="dxa"/>
            <w:vAlign w:val="center"/>
          </w:tcPr>
          <w:p w14:paraId="36CBD0B9">
            <w:pPr>
              <w:pStyle w:val="30"/>
              <w:widowControl w:val="0"/>
              <w:bidi w:val="0"/>
              <w:rPr>
                <w:color w:val="auto"/>
                <w:lang w:val="en-US" w:eastAsia="en-US"/>
              </w:rPr>
            </w:pPr>
            <w:r>
              <w:rPr>
                <w:color w:val="auto"/>
                <w:lang w:val="en-US" w:eastAsia="en-US"/>
              </w:rPr>
              <w:t>1841</w:t>
            </w:r>
          </w:p>
        </w:tc>
      </w:tr>
      <w:tr w14:paraId="555F93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073178CA">
            <w:pPr>
              <w:pStyle w:val="30"/>
              <w:widowControl w:val="0"/>
              <w:bidi w:val="0"/>
              <w:rPr>
                <w:color w:val="auto"/>
                <w:lang w:val="en-US" w:eastAsia="en-US"/>
              </w:rPr>
            </w:pPr>
          </w:p>
        </w:tc>
        <w:tc>
          <w:tcPr>
            <w:tcW w:w="505" w:type="dxa"/>
            <w:tcBorders>
              <w:left w:val="single" w:color="auto" w:sz="4" w:space="0"/>
            </w:tcBorders>
            <w:vAlign w:val="center"/>
          </w:tcPr>
          <w:p w14:paraId="6CD791D9">
            <w:pPr>
              <w:pStyle w:val="30"/>
              <w:widowControl w:val="0"/>
              <w:bidi w:val="0"/>
              <w:rPr>
                <w:color w:val="auto"/>
                <w:lang w:val="en-US" w:eastAsia="en-US"/>
              </w:rPr>
            </w:pPr>
            <w:r>
              <w:rPr>
                <w:color w:val="auto"/>
                <w:lang w:val="en-US" w:eastAsia="en-US"/>
              </w:rPr>
              <w:t>3</w:t>
            </w:r>
          </w:p>
        </w:tc>
        <w:tc>
          <w:tcPr>
            <w:tcW w:w="1459" w:type="dxa"/>
            <w:vAlign w:val="center"/>
          </w:tcPr>
          <w:p w14:paraId="7DDD2B25">
            <w:pPr>
              <w:pStyle w:val="30"/>
              <w:widowControl w:val="0"/>
              <w:bidi w:val="0"/>
              <w:rPr>
                <w:color w:val="auto"/>
                <w:lang w:val="en-US" w:eastAsia="en-US"/>
              </w:rPr>
            </w:pPr>
            <w:r>
              <w:rPr>
                <w:color w:val="auto"/>
                <w:lang w:val="en-US" w:eastAsia="en-US"/>
              </w:rPr>
              <w:t>篆沟姚</w:t>
            </w:r>
          </w:p>
        </w:tc>
        <w:tc>
          <w:tcPr>
            <w:tcW w:w="705" w:type="dxa"/>
            <w:vAlign w:val="center"/>
          </w:tcPr>
          <w:p w14:paraId="3C2C2CDF">
            <w:pPr>
              <w:pStyle w:val="30"/>
              <w:widowControl w:val="0"/>
              <w:bidi w:val="0"/>
              <w:rPr>
                <w:color w:val="auto"/>
                <w:lang w:val="en-US" w:eastAsia="en-US"/>
              </w:rPr>
            </w:pPr>
            <w:r>
              <w:rPr>
                <w:color w:val="auto"/>
                <w:lang w:val="en-US" w:eastAsia="en-US"/>
              </w:rPr>
              <w:t>6</w:t>
            </w:r>
          </w:p>
        </w:tc>
        <w:tc>
          <w:tcPr>
            <w:tcW w:w="810" w:type="dxa"/>
            <w:vAlign w:val="center"/>
          </w:tcPr>
          <w:p w14:paraId="065CB6DF">
            <w:pPr>
              <w:pStyle w:val="30"/>
              <w:widowControl w:val="0"/>
              <w:bidi w:val="0"/>
              <w:rPr>
                <w:color w:val="auto"/>
                <w:lang w:val="en-US" w:eastAsia="en-US"/>
              </w:rPr>
            </w:pPr>
            <w:r>
              <w:rPr>
                <w:color w:val="auto"/>
                <w:lang w:val="en-US" w:eastAsia="en-US"/>
              </w:rPr>
              <w:t>-1949</w:t>
            </w:r>
          </w:p>
        </w:tc>
        <w:tc>
          <w:tcPr>
            <w:tcW w:w="824" w:type="dxa"/>
            <w:vAlign w:val="center"/>
          </w:tcPr>
          <w:p w14:paraId="532DBCF6">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16939F60">
            <w:pPr>
              <w:pStyle w:val="30"/>
              <w:widowControl w:val="0"/>
              <w:bidi w:val="0"/>
              <w:rPr>
                <w:color w:val="auto"/>
                <w:lang w:val="en-US" w:eastAsia="en-US"/>
              </w:rPr>
            </w:pPr>
            <w:r>
              <w:rPr>
                <w:color w:val="auto"/>
                <w:lang w:val="en-US" w:eastAsia="en-US"/>
              </w:rPr>
              <w:t>56人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0E327B99">
            <w:pPr>
              <w:pStyle w:val="30"/>
              <w:widowControl w:val="0"/>
              <w:bidi w:val="0"/>
              <w:rPr>
                <w:color w:val="auto"/>
                <w:lang w:val="en-US" w:eastAsia="en-US"/>
              </w:rPr>
            </w:pPr>
          </w:p>
        </w:tc>
        <w:tc>
          <w:tcPr>
            <w:tcW w:w="770" w:type="dxa"/>
            <w:tcBorders>
              <w:left w:val="single" w:color="auto" w:sz="4" w:space="0"/>
            </w:tcBorders>
            <w:vAlign w:val="center"/>
          </w:tcPr>
          <w:p w14:paraId="49EDEA62">
            <w:pPr>
              <w:pStyle w:val="30"/>
              <w:widowControl w:val="0"/>
              <w:bidi w:val="0"/>
              <w:rPr>
                <w:color w:val="auto"/>
                <w:lang w:val="en-US" w:eastAsia="en-US"/>
              </w:rPr>
            </w:pPr>
            <w:r>
              <w:rPr>
                <w:color w:val="auto"/>
                <w:lang w:val="en-US" w:eastAsia="en-US"/>
              </w:rPr>
              <w:t>S</w:t>
            </w:r>
          </w:p>
        </w:tc>
        <w:tc>
          <w:tcPr>
            <w:tcW w:w="1096" w:type="dxa"/>
            <w:vAlign w:val="center"/>
          </w:tcPr>
          <w:p w14:paraId="2B23B8EB">
            <w:pPr>
              <w:pStyle w:val="30"/>
              <w:widowControl w:val="0"/>
              <w:bidi w:val="0"/>
              <w:rPr>
                <w:color w:val="auto"/>
                <w:lang w:val="en-US" w:eastAsia="en-US"/>
              </w:rPr>
            </w:pPr>
            <w:r>
              <w:rPr>
                <w:color w:val="auto"/>
                <w:lang w:val="en-US" w:eastAsia="en-US"/>
              </w:rPr>
              <w:t>1922</w:t>
            </w:r>
          </w:p>
        </w:tc>
      </w:tr>
      <w:tr w14:paraId="5E14F5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34EB7FF8">
            <w:pPr>
              <w:pStyle w:val="30"/>
              <w:widowControl w:val="0"/>
              <w:bidi w:val="0"/>
              <w:rPr>
                <w:color w:val="auto"/>
                <w:lang w:val="en-US" w:eastAsia="en-US"/>
              </w:rPr>
            </w:pPr>
          </w:p>
        </w:tc>
        <w:tc>
          <w:tcPr>
            <w:tcW w:w="505" w:type="dxa"/>
            <w:tcBorders>
              <w:left w:val="single" w:color="auto" w:sz="4" w:space="0"/>
            </w:tcBorders>
            <w:vAlign w:val="center"/>
          </w:tcPr>
          <w:p w14:paraId="2B6001FA">
            <w:pPr>
              <w:pStyle w:val="30"/>
              <w:widowControl w:val="0"/>
              <w:bidi w:val="0"/>
              <w:rPr>
                <w:color w:val="auto"/>
                <w:lang w:val="en-US" w:eastAsia="en-US"/>
              </w:rPr>
            </w:pPr>
            <w:r>
              <w:rPr>
                <w:color w:val="auto"/>
                <w:lang w:val="en-US" w:eastAsia="en-US"/>
              </w:rPr>
              <w:t>4</w:t>
            </w:r>
          </w:p>
        </w:tc>
        <w:tc>
          <w:tcPr>
            <w:tcW w:w="1459" w:type="dxa"/>
            <w:vAlign w:val="center"/>
          </w:tcPr>
          <w:p w14:paraId="00B076D6">
            <w:pPr>
              <w:pStyle w:val="30"/>
              <w:widowControl w:val="0"/>
              <w:bidi w:val="0"/>
              <w:rPr>
                <w:color w:val="auto"/>
                <w:lang w:val="en-US" w:eastAsia="en-US"/>
              </w:rPr>
            </w:pPr>
            <w:r>
              <w:rPr>
                <w:color w:val="auto"/>
                <w:lang w:val="en-US" w:eastAsia="en-US"/>
              </w:rPr>
              <w:t>团结</w:t>
            </w:r>
          </w:p>
        </w:tc>
        <w:tc>
          <w:tcPr>
            <w:tcW w:w="705" w:type="dxa"/>
            <w:vAlign w:val="center"/>
          </w:tcPr>
          <w:p w14:paraId="258C3C04">
            <w:pPr>
              <w:pStyle w:val="30"/>
              <w:widowControl w:val="0"/>
              <w:bidi w:val="0"/>
              <w:rPr>
                <w:color w:val="auto"/>
                <w:lang w:val="en-US" w:eastAsia="en-US"/>
              </w:rPr>
            </w:pPr>
            <w:r>
              <w:rPr>
                <w:color w:val="auto"/>
                <w:lang w:val="en-US" w:eastAsia="en-US"/>
              </w:rPr>
              <w:t>-3</w:t>
            </w:r>
          </w:p>
        </w:tc>
        <w:tc>
          <w:tcPr>
            <w:tcW w:w="810" w:type="dxa"/>
            <w:vAlign w:val="center"/>
          </w:tcPr>
          <w:p w14:paraId="47058BE7">
            <w:pPr>
              <w:pStyle w:val="30"/>
              <w:widowControl w:val="0"/>
              <w:bidi w:val="0"/>
              <w:rPr>
                <w:color w:val="auto"/>
                <w:lang w:val="en-US" w:eastAsia="en-US"/>
              </w:rPr>
            </w:pPr>
            <w:r>
              <w:rPr>
                <w:color w:val="auto"/>
                <w:lang w:val="en-US" w:eastAsia="en-US"/>
              </w:rPr>
              <w:t>-1932</w:t>
            </w:r>
          </w:p>
        </w:tc>
        <w:tc>
          <w:tcPr>
            <w:tcW w:w="824" w:type="dxa"/>
            <w:vAlign w:val="center"/>
          </w:tcPr>
          <w:p w14:paraId="1AA1417D">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52BD8B73">
            <w:pPr>
              <w:pStyle w:val="30"/>
              <w:widowControl w:val="0"/>
              <w:bidi w:val="0"/>
              <w:rPr>
                <w:color w:val="auto"/>
                <w:lang w:val="en-US" w:eastAsia="en-US"/>
              </w:rPr>
            </w:pPr>
            <w:r>
              <w:rPr>
                <w:color w:val="auto"/>
                <w:lang w:val="en-US" w:eastAsia="en-US"/>
              </w:rPr>
              <w:t>95人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172491AC">
            <w:pPr>
              <w:pStyle w:val="30"/>
              <w:widowControl w:val="0"/>
              <w:bidi w:val="0"/>
              <w:rPr>
                <w:color w:val="auto"/>
                <w:lang w:val="en-US" w:eastAsia="en-US"/>
              </w:rPr>
            </w:pPr>
          </w:p>
        </w:tc>
        <w:tc>
          <w:tcPr>
            <w:tcW w:w="770" w:type="dxa"/>
            <w:tcBorders>
              <w:left w:val="single" w:color="auto" w:sz="4" w:space="0"/>
            </w:tcBorders>
            <w:vAlign w:val="center"/>
          </w:tcPr>
          <w:p w14:paraId="5869EC02">
            <w:pPr>
              <w:pStyle w:val="30"/>
              <w:widowControl w:val="0"/>
              <w:bidi w:val="0"/>
              <w:rPr>
                <w:color w:val="auto"/>
                <w:lang w:val="en-US" w:eastAsia="en-US"/>
              </w:rPr>
            </w:pPr>
            <w:r>
              <w:rPr>
                <w:color w:val="auto"/>
                <w:lang w:val="en-US" w:eastAsia="en-US"/>
              </w:rPr>
              <w:t>S</w:t>
            </w:r>
          </w:p>
        </w:tc>
        <w:tc>
          <w:tcPr>
            <w:tcW w:w="1096" w:type="dxa"/>
            <w:vAlign w:val="center"/>
          </w:tcPr>
          <w:p w14:paraId="3EBA9B60">
            <w:pPr>
              <w:pStyle w:val="30"/>
              <w:widowControl w:val="0"/>
              <w:bidi w:val="0"/>
              <w:rPr>
                <w:color w:val="auto"/>
                <w:lang w:val="en-US" w:eastAsia="en-US"/>
              </w:rPr>
            </w:pPr>
            <w:r>
              <w:rPr>
                <w:color w:val="auto"/>
                <w:lang w:val="en-US" w:eastAsia="en-US"/>
              </w:rPr>
              <w:t>1936</w:t>
            </w:r>
          </w:p>
        </w:tc>
      </w:tr>
      <w:tr w14:paraId="359C2E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7500B813">
            <w:pPr>
              <w:pStyle w:val="30"/>
              <w:widowControl w:val="0"/>
              <w:bidi w:val="0"/>
              <w:rPr>
                <w:color w:val="auto"/>
                <w:lang w:val="en-US" w:eastAsia="en-US"/>
              </w:rPr>
            </w:pPr>
          </w:p>
        </w:tc>
        <w:tc>
          <w:tcPr>
            <w:tcW w:w="505" w:type="dxa"/>
            <w:tcBorders>
              <w:left w:val="single" w:color="auto" w:sz="4" w:space="0"/>
            </w:tcBorders>
            <w:vAlign w:val="center"/>
          </w:tcPr>
          <w:p w14:paraId="6ECD4564">
            <w:pPr>
              <w:pStyle w:val="30"/>
              <w:widowControl w:val="0"/>
              <w:bidi w:val="0"/>
              <w:rPr>
                <w:color w:val="auto"/>
                <w:lang w:val="en-US" w:eastAsia="en-US"/>
              </w:rPr>
            </w:pPr>
            <w:r>
              <w:rPr>
                <w:color w:val="auto"/>
                <w:lang w:val="en-US" w:eastAsia="en-US"/>
              </w:rPr>
              <w:t>5</w:t>
            </w:r>
          </w:p>
        </w:tc>
        <w:tc>
          <w:tcPr>
            <w:tcW w:w="1459" w:type="dxa"/>
            <w:vAlign w:val="center"/>
          </w:tcPr>
          <w:p w14:paraId="7A529125">
            <w:pPr>
              <w:pStyle w:val="30"/>
              <w:widowControl w:val="0"/>
              <w:bidi w:val="0"/>
              <w:rPr>
                <w:color w:val="auto"/>
                <w:lang w:val="en-US" w:eastAsia="en-US"/>
              </w:rPr>
            </w:pPr>
            <w:r>
              <w:rPr>
                <w:color w:val="auto"/>
                <w:lang w:val="en-US" w:eastAsia="en-US"/>
              </w:rPr>
              <w:t>李贵二村</w:t>
            </w:r>
          </w:p>
        </w:tc>
        <w:tc>
          <w:tcPr>
            <w:tcW w:w="705" w:type="dxa"/>
            <w:vAlign w:val="center"/>
          </w:tcPr>
          <w:p w14:paraId="511A84FA">
            <w:pPr>
              <w:pStyle w:val="30"/>
              <w:widowControl w:val="0"/>
              <w:bidi w:val="0"/>
              <w:rPr>
                <w:color w:val="auto"/>
                <w:lang w:val="en-US" w:eastAsia="en-US"/>
              </w:rPr>
            </w:pPr>
            <w:r>
              <w:rPr>
                <w:color w:val="auto"/>
                <w:lang w:val="en-US" w:eastAsia="en-US"/>
              </w:rPr>
              <w:t>-1006</w:t>
            </w:r>
          </w:p>
        </w:tc>
        <w:tc>
          <w:tcPr>
            <w:tcW w:w="810" w:type="dxa"/>
            <w:vAlign w:val="center"/>
          </w:tcPr>
          <w:p w14:paraId="0850FE35">
            <w:pPr>
              <w:pStyle w:val="30"/>
              <w:widowControl w:val="0"/>
              <w:bidi w:val="0"/>
              <w:rPr>
                <w:color w:val="auto"/>
                <w:lang w:val="en-US" w:eastAsia="en-US"/>
              </w:rPr>
            </w:pPr>
            <w:r>
              <w:rPr>
                <w:color w:val="auto"/>
                <w:lang w:val="en-US" w:eastAsia="en-US"/>
              </w:rPr>
              <w:t>-2009</w:t>
            </w:r>
          </w:p>
        </w:tc>
        <w:tc>
          <w:tcPr>
            <w:tcW w:w="824" w:type="dxa"/>
            <w:vAlign w:val="center"/>
          </w:tcPr>
          <w:p w14:paraId="2EF86D40">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3911A554">
            <w:pPr>
              <w:pStyle w:val="30"/>
              <w:widowControl w:val="0"/>
              <w:bidi w:val="0"/>
              <w:rPr>
                <w:color w:val="auto"/>
                <w:lang w:val="en-US" w:eastAsia="en-US"/>
              </w:rPr>
            </w:pPr>
            <w:r>
              <w:rPr>
                <w:color w:val="auto"/>
                <w:lang w:val="en-US" w:eastAsia="en-US"/>
              </w:rPr>
              <w:t>313人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1A1F19DD">
            <w:pPr>
              <w:pStyle w:val="30"/>
              <w:widowControl w:val="0"/>
              <w:bidi w:val="0"/>
              <w:rPr>
                <w:color w:val="auto"/>
                <w:lang w:val="en-US" w:eastAsia="en-US"/>
              </w:rPr>
            </w:pPr>
          </w:p>
        </w:tc>
        <w:tc>
          <w:tcPr>
            <w:tcW w:w="770" w:type="dxa"/>
            <w:tcBorders>
              <w:left w:val="single" w:color="auto" w:sz="4" w:space="0"/>
            </w:tcBorders>
            <w:vAlign w:val="center"/>
          </w:tcPr>
          <w:p w14:paraId="3CA62714">
            <w:pPr>
              <w:pStyle w:val="30"/>
              <w:widowControl w:val="0"/>
              <w:bidi w:val="0"/>
              <w:rPr>
                <w:color w:val="auto"/>
                <w:lang w:val="en-US" w:eastAsia="en-US"/>
              </w:rPr>
            </w:pPr>
            <w:r>
              <w:rPr>
                <w:color w:val="auto"/>
                <w:lang w:val="en-US" w:eastAsia="en-US"/>
              </w:rPr>
              <w:t>SW</w:t>
            </w:r>
          </w:p>
        </w:tc>
        <w:tc>
          <w:tcPr>
            <w:tcW w:w="1096" w:type="dxa"/>
            <w:vAlign w:val="center"/>
          </w:tcPr>
          <w:p w14:paraId="691EB0D1">
            <w:pPr>
              <w:pStyle w:val="30"/>
              <w:widowControl w:val="0"/>
              <w:bidi w:val="0"/>
              <w:rPr>
                <w:color w:val="auto"/>
                <w:lang w:val="en-US" w:eastAsia="en-US"/>
              </w:rPr>
            </w:pPr>
            <w:r>
              <w:rPr>
                <w:color w:val="auto"/>
                <w:lang w:val="en-US" w:eastAsia="en-US"/>
              </w:rPr>
              <w:t>2073</w:t>
            </w:r>
          </w:p>
        </w:tc>
      </w:tr>
      <w:tr w14:paraId="30FD6F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0C7C7638">
            <w:pPr>
              <w:pStyle w:val="30"/>
              <w:widowControl w:val="0"/>
              <w:bidi w:val="0"/>
              <w:rPr>
                <w:color w:val="auto"/>
                <w:lang w:val="en-US" w:eastAsia="en-US"/>
              </w:rPr>
            </w:pPr>
          </w:p>
        </w:tc>
        <w:tc>
          <w:tcPr>
            <w:tcW w:w="505" w:type="dxa"/>
            <w:tcBorders>
              <w:left w:val="single" w:color="auto" w:sz="4" w:space="0"/>
            </w:tcBorders>
            <w:vAlign w:val="center"/>
          </w:tcPr>
          <w:p w14:paraId="08370739">
            <w:pPr>
              <w:pStyle w:val="30"/>
              <w:widowControl w:val="0"/>
              <w:bidi w:val="0"/>
              <w:rPr>
                <w:color w:val="auto"/>
                <w:lang w:val="en-US" w:eastAsia="en-US"/>
              </w:rPr>
            </w:pPr>
            <w:r>
              <w:rPr>
                <w:color w:val="auto"/>
                <w:lang w:val="en-US" w:eastAsia="en-US"/>
              </w:rPr>
              <w:t>6</w:t>
            </w:r>
          </w:p>
        </w:tc>
        <w:tc>
          <w:tcPr>
            <w:tcW w:w="1459" w:type="dxa"/>
            <w:vAlign w:val="center"/>
          </w:tcPr>
          <w:p w14:paraId="6BFDB543">
            <w:pPr>
              <w:pStyle w:val="30"/>
              <w:widowControl w:val="0"/>
              <w:bidi w:val="0"/>
              <w:rPr>
                <w:color w:val="auto"/>
                <w:lang w:val="en-US" w:eastAsia="en-US"/>
              </w:rPr>
            </w:pPr>
            <w:r>
              <w:rPr>
                <w:color w:val="auto"/>
                <w:lang w:val="en-US" w:eastAsia="en-US"/>
              </w:rPr>
              <w:t>北岗村</w:t>
            </w:r>
          </w:p>
        </w:tc>
        <w:tc>
          <w:tcPr>
            <w:tcW w:w="705" w:type="dxa"/>
            <w:vAlign w:val="center"/>
          </w:tcPr>
          <w:p w14:paraId="7DC6250A">
            <w:pPr>
              <w:pStyle w:val="30"/>
              <w:widowControl w:val="0"/>
              <w:bidi w:val="0"/>
              <w:rPr>
                <w:color w:val="auto"/>
                <w:lang w:val="en-US" w:eastAsia="en-US"/>
              </w:rPr>
            </w:pPr>
            <w:r>
              <w:rPr>
                <w:color w:val="auto"/>
                <w:lang w:val="en-US" w:eastAsia="en-US"/>
              </w:rPr>
              <w:t>-1504</w:t>
            </w:r>
          </w:p>
        </w:tc>
        <w:tc>
          <w:tcPr>
            <w:tcW w:w="810" w:type="dxa"/>
            <w:vAlign w:val="center"/>
          </w:tcPr>
          <w:p w14:paraId="45E8E44E">
            <w:pPr>
              <w:pStyle w:val="30"/>
              <w:widowControl w:val="0"/>
              <w:bidi w:val="0"/>
              <w:rPr>
                <w:color w:val="auto"/>
                <w:lang w:val="en-US" w:eastAsia="en-US"/>
              </w:rPr>
            </w:pPr>
            <w:r>
              <w:rPr>
                <w:color w:val="auto"/>
                <w:lang w:val="en-US" w:eastAsia="en-US"/>
              </w:rPr>
              <w:t>-1554</w:t>
            </w:r>
          </w:p>
        </w:tc>
        <w:tc>
          <w:tcPr>
            <w:tcW w:w="824" w:type="dxa"/>
            <w:vAlign w:val="center"/>
          </w:tcPr>
          <w:p w14:paraId="0FC8A3E3">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3E2D9DD2">
            <w:pPr>
              <w:pStyle w:val="30"/>
              <w:widowControl w:val="0"/>
              <w:bidi w:val="0"/>
              <w:rPr>
                <w:color w:val="auto"/>
                <w:lang w:val="en-US" w:eastAsia="en-US"/>
              </w:rPr>
            </w:pPr>
            <w:r>
              <w:rPr>
                <w:color w:val="auto"/>
                <w:lang w:val="en-US" w:eastAsia="en-US"/>
              </w:rPr>
              <w:t>281人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4AA3751D">
            <w:pPr>
              <w:pStyle w:val="30"/>
              <w:widowControl w:val="0"/>
              <w:bidi w:val="0"/>
              <w:rPr>
                <w:color w:val="auto"/>
                <w:lang w:val="en-US" w:eastAsia="en-US"/>
              </w:rPr>
            </w:pPr>
          </w:p>
        </w:tc>
        <w:tc>
          <w:tcPr>
            <w:tcW w:w="770" w:type="dxa"/>
            <w:tcBorders>
              <w:left w:val="single" w:color="auto" w:sz="4" w:space="0"/>
            </w:tcBorders>
            <w:vAlign w:val="center"/>
          </w:tcPr>
          <w:p w14:paraId="0FCBA3F5">
            <w:pPr>
              <w:pStyle w:val="30"/>
              <w:widowControl w:val="0"/>
              <w:bidi w:val="0"/>
              <w:rPr>
                <w:color w:val="auto"/>
                <w:lang w:val="en-US" w:eastAsia="en-US"/>
              </w:rPr>
            </w:pPr>
            <w:r>
              <w:rPr>
                <w:color w:val="auto"/>
                <w:lang w:val="en-US" w:eastAsia="en-US"/>
              </w:rPr>
              <w:t>SW</w:t>
            </w:r>
          </w:p>
        </w:tc>
        <w:tc>
          <w:tcPr>
            <w:tcW w:w="1096" w:type="dxa"/>
            <w:vAlign w:val="center"/>
          </w:tcPr>
          <w:p w14:paraId="7782A146">
            <w:pPr>
              <w:pStyle w:val="30"/>
              <w:widowControl w:val="0"/>
              <w:bidi w:val="0"/>
              <w:rPr>
                <w:color w:val="auto"/>
                <w:lang w:val="en-US" w:eastAsia="en-US"/>
              </w:rPr>
            </w:pPr>
            <w:r>
              <w:rPr>
                <w:color w:val="auto"/>
                <w:lang w:val="en-US" w:eastAsia="en-US"/>
              </w:rPr>
              <w:t>1997</w:t>
            </w:r>
          </w:p>
        </w:tc>
      </w:tr>
      <w:tr w14:paraId="625E73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52CD8B2C">
            <w:pPr>
              <w:pStyle w:val="30"/>
              <w:widowControl w:val="0"/>
              <w:bidi w:val="0"/>
              <w:rPr>
                <w:color w:val="auto"/>
                <w:lang w:val="en-US" w:eastAsia="en-US"/>
              </w:rPr>
            </w:pPr>
          </w:p>
        </w:tc>
        <w:tc>
          <w:tcPr>
            <w:tcW w:w="505" w:type="dxa"/>
            <w:tcBorders>
              <w:left w:val="single" w:color="auto" w:sz="4" w:space="0"/>
            </w:tcBorders>
            <w:vAlign w:val="center"/>
          </w:tcPr>
          <w:p w14:paraId="2CE4869F">
            <w:pPr>
              <w:pStyle w:val="30"/>
              <w:widowControl w:val="0"/>
              <w:bidi w:val="0"/>
              <w:rPr>
                <w:color w:val="auto"/>
                <w:lang w:val="en-US" w:eastAsia="en-US"/>
              </w:rPr>
            </w:pPr>
            <w:r>
              <w:rPr>
                <w:color w:val="auto"/>
                <w:lang w:val="en-US" w:eastAsia="en-US"/>
              </w:rPr>
              <w:t>7</w:t>
            </w:r>
          </w:p>
        </w:tc>
        <w:tc>
          <w:tcPr>
            <w:tcW w:w="1459" w:type="dxa"/>
            <w:vAlign w:val="center"/>
          </w:tcPr>
          <w:p w14:paraId="02430C16">
            <w:pPr>
              <w:pStyle w:val="30"/>
              <w:widowControl w:val="0"/>
              <w:bidi w:val="0"/>
              <w:rPr>
                <w:color w:val="auto"/>
                <w:lang w:val="en-US" w:eastAsia="en-US"/>
              </w:rPr>
            </w:pPr>
            <w:r>
              <w:rPr>
                <w:color w:val="auto"/>
                <w:lang w:val="en-US" w:eastAsia="en-US"/>
              </w:rPr>
              <w:t>庄房</w:t>
            </w:r>
          </w:p>
        </w:tc>
        <w:tc>
          <w:tcPr>
            <w:tcW w:w="705" w:type="dxa"/>
            <w:vAlign w:val="center"/>
          </w:tcPr>
          <w:p w14:paraId="2D8752BE">
            <w:pPr>
              <w:pStyle w:val="30"/>
              <w:widowControl w:val="0"/>
              <w:bidi w:val="0"/>
              <w:rPr>
                <w:color w:val="auto"/>
                <w:lang w:val="en-US" w:eastAsia="en-US"/>
              </w:rPr>
            </w:pPr>
            <w:r>
              <w:rPr>
                <w:color w:val="auto"/>
                <w:lang w:val="en-US" w:eastAsia="en-US"/>
              </w:rPr>
              <w:t>-1992</w:t>
            </w:r>
          </w:p>
        </w:tc>
        <w:tc>
          <w:tcPr>
            <w:tcW w:w="810" w:type="dxa"/>
            <w:vAlign w:val="center"/>
          </w:tcPr>
          <w:p w14:paraId="51A8DE4E">
            <w:pPr>
              <w:pStyle w:val="30"/>
              <w:widowControl w:val="0"/>
              <w:bidi w:val="0"/>
              <w:rPr>
                <w:color w:val="auto"/>
                <w:lang w:val="en-US" w:eastAsia="en-US"/>
              </w:rPr>
            </w:pPr>
            <w:r>
              <w:rPr>
                <w:color w:val="auto"/>
                <w:lang w:val="en-US" w:eastAsia="en-US"/>
              </w:rPr>
              <w:t>-1340</w:t>
            </w:r>
          </w:p>
        </w:tc>
        <w:tc>
          <w:tcPr>
            <w:tcW w:w="824" w:type="dxa"/>
            <w:vAlign w:val="center"/>
          </w:tcPr>
          <w:p w14:paraId="34AAC2AA">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6E0FAD28">
            <w:pPr>
              <w:pStyle w:val="30"/>
              <w:widowControl w:val="0"/>
              <w:bidi w:val="0"/>
              <w:rPr>
                <w:color w:val="auto"/>
                <w:lang w:val="en-US" w:eastAsia="en-US"/>
              </w:rPr>
            </w:pPr>
            <w:r>
              <w:rPr>
                <w:color w:val="auto"/>
                <w:lang w:val="en-US" w:eastAsia="en-US"/>
              </w:rPr>
              <w:t>54人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0FC99F8F">
            <w:pPr>
              <w:pStyle w:val="30"/>
              <w:widowControl w:val="0"/>
              <w:bidi w:val="0"/>
              <w:rPr>
                <w:color w:val="auto"/>
                <w:lang w:val="en-US" w:eastAsia="en-US"/>
              </w:rPr>
            </w:pPr>
          </w:p>
        </w:tc>
        <w:tc>
          <w:tcPr>
            <w:tcW w:w="770" w:type="dxa"/>
            <w:tcBorders>
              <w:left w:val="single" w:color="auto" w:sz="4" w:space="0"/>
            </w:tcBorders>
            <w:vAlign w:val="center"/>
          </w:tcPr>
          <w:p w14:paraId="6C96224F">
            <w:pPr>
              <w:pStyle w:val="30"/>
              <w:widowControl w:val="0"/>
              <w:bidi w:val="0"/>
              <w:rPr>
                <w:color w:val="auto"/>
                <w:lang w:val="en-US" w:eastAsia="en-US"/>
              </w:rPr>
            </w:pPr>
            <w:r>
              <w:rPr>
                <w:color w:val="auto"/>
                <w:lang w:val="en-US" w:eastAsia="en-US"/>
              </w:rPr>
              <w:t>SW</w:t>
            </w:r>
          </w:p>
        </w:tc>
        <w:tc>
          <w:tcPr>
            <w:tcW w:w="1096" w:type="dxa"/>
            <w:vAlign w:val="center"/>
          </w:tcPr>
          <w:p w14:paraId="247AA3A6">
            <w:pPr>
              <w:pStyle w:val="30"/>
              <w:widowControl w:val="0"/>
              <w:bidi w:val="0"/>
              <w:rPr>
                <w:color w:val="auto"/>
                <w:lang w:val="en-US" w:eastAsia="en-US"/>
              </w:rPr>
            </w:pPr>
            <w:r>
              <w:rPr>
                <w:color w:val="auto"/>
                <w:lang w:val="en-US" w:eastAsia="en-US"/>
              </w:rPr>
              <w:t>2390</w:t>
            </w:r>
          </w:p>
        </w:tc>
      </w:tr>
      <w:tr w14:paraId="051A7A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3B9C8AF0">
            <w:pPr>
              <w:pStyle w:val="30"/>
              <w:widowControl w:val="0"/>
              <w:bidi w:val="0"/>
              <w:rPr>
                <w:color w:val="auto"/>
                <w:lang w:val="en-US" w:eastAsia="en-US"/>
              </w:rPr>
            </w:pPr>
          </w:p>
        </w:tc>
        <w:tc>
          <w:tcPr>
            <w:tcW w:w="505" w:type="dxa"/>
            <w:tcBorders>
              <w:left w:val="single" w:color="auto" w:sz="4" w:space="0"/>
            </w:tcBorders>
            <w:vAlign w:val="center"/>
          </w:tcPr>
          <w:p w14:paraId="678D2572">
            <w:pPr>
              <w:pStyle w:val="30"/>
              <w:widowControl w:val="0"/>
              <w:bidi w:val="0"/>
              <w:rPr>
                <w:color w:val="auto"/>
                <w:lang w:val="en-US" w:eastAsia="en-US"/>
              </w:rPr>
            </w:pPr>
            <w:r>
              <w:rPr>
                <w:color w:val="auto"/>
                <w:lang w:val="en-US" w:eastAsia="en-US"/>
              </w:rPr>
              <w:t>8</w:t>
            </w:r>
          </w:p>
        </w:tc>
        <w:tc>
          <w:tcPr>
            <w:tcW w:w="1459" w:type="dxa"/>
            <w:vAlign w:val="center"/>
          </w:tcPr>
          <w:p w14:paraId="067EEEAD">
            <w:pPr>
              <w:pStyle w:val="30"/>
              <w:widowControl w:val="0"/>
              <w:bidi w:val="0"/>
              <w:rPr>
                <w:color w:val="auto"/>
                <w:lang w:val="en-US" w:eastAsia="en-US"/>
              </w:rPr>
            </w:pPr>
            <w:r>
              <w:rPr>
                <w:color w:val="auto"/>
                <w:lang w:val="en-US" w:eastAsia="en-US"/>
              </w:rPr>
              <w:t>祠堂郢（规划拆迁，规划中工业用地）</w:t>
            </w:r>
          </w:p>
        </w:tc>
        <w:tc>
          <w:tcPr>
            <w:tcW w:w="705" w:type="dxa"/>
            <w:vAlign w:val="center"/>
          </w:tcPr>
          <w:p w14:paraId="37840884">
            <w:pPr>
              <w:pStyle w:val="30"/>
              <w:widowControl w:val="0"/>
              <w:bidi w:val="0"/>
              <w:rPr>
                <w:color w:val="auto"/>
                <w:lang w:val="en-US" w:eastAsia="en-US"/>
              </w:rPr>
            </w:pPr>
            <w:r>
              <w:rPr>
                <w:color w:val="auto"/>
                <w:lang w:val="en-US" w:eastAsia="en-US"/>
              </w:rPr>
              <w:t>1875</w:t>
            </w:r>
          </w:p>
        </w:tc>
        <w:tc>
          <w:tcPr>
            <w:tcW w:w="810" w:type="dxa"/>
            <w:vAlign w:val="center"/>
          </w:tcPr>
          <w:p w14:paraId="4C57DA74">
            <w:pPr>
              <w:pStyle w:val="30"/>
              <w:widowControl w:val="0"/>
              <w:bidi w:val="0"/>
              <w:rPr>
                <w:color w:val="auto"/>
                <w:lang w:val="en-US" w:eastAsia="en-US"/>
              </w:rPr>
            </w:pPr>
            <w:r>
              <w:rPr>
                <w:color w:val="auto"/>
                <w:lang w:val="en-US" w:eastAsia="en-US"/>
              </w:rPr>
              <w:t>-594</w:t>
            </w:r>
          </w:p>
        </w:tc>
        <w:tc>
          <w:tcPr>
            <w:tcW w:w="824" w:type="dxa"/>
            <w:vAlign w:val="center"/>
          </w:tcPr>
          <w:p w14:paraId="7A68AEFA">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0DC145C9">
            <w:pPr>
              <w:pStyle w:val="30"/>
              <w:widowControl w:val="0"/>
              <w:bidi w:val="0"/>
              <w:rPr>
                <w:color w:val="auto"/>
                <w:lang w:val="en-US" w:eastAsia="en-US"/>
              </w:rPr>
            </w:pPr>
            <w:r>
              <w:rPr>
                <w:color w:val="auto"/>
                <w:lang w:val="en-US" w:eastAsia="en-US"/>
              </w:rPr>
              <w:t>81人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3BAAD9D0">
            <w:pPr>
              <w:pStyle w:val="30"/>
              <w:widowControl w:val="0"/>
              <w:bidi w:val="0"/>
              <w:rPr>
                <w:color w:val="auto"/>
                <w:lang w:val="en-US" w:eastAsia="en-US"/>
              </w:rPr>
            </w:pPr>
          </w:p>
        </w:tc>
        <w:tc>
          <w:tcPr>
            <w:tcW w:w="770" w:type="dxa"/>
            <w:tcBorders>
              <w:left w:val="single" w:color="auto" w:sz="4" w:space="0"/>
            </w:tcBorders>
            <w:vAlign w:val="center"/>
          </w:tcPr>
          <w:p w14:paraId="53CAD6A7">
            <w:pPr>
              <w:pStyle w:val="30"/>
              <w:widowControl w:val="0"/>
              <w:bidi w:val="0"/>
              <w:rPr>
                <w:color w:val="auto"/>
                <w:lang w:val="en-US" w:eastAsia="en-US"/>
              </w:rPr>
            </w:pPr>
            <w:r>
              <w:rPr>
                <w:color w:val="auto"/>
                <w:lang w:val="en-US" w:eastAsia="en-US"/>
              </w:rPr>
              <w:t>SE</w:t>
            </w:r>
          </w:p>
        </w:tc>
        <w:tc>
          <w:tcPr>
            <w:tcW w:w="1096" w:type="dxa"/>
            <w:vAlign w:val="center"/>
          </w:tcPr>
          <w:p w14:paraId="3C599F51">
            <w:pPr>
              <w:pStyle w:val="30"/>
              <w:widowControl w:val="0"/>
              <w:bidi w:val="0"/>
              <w:rPr>
                <w:color w:val="auto"/>
                <w:lang w:val="en-US" w:eastAsia="en-US"/>
              </w:rPr>
            </w:pPr>
            <w:r>
              <w:rPr>
                <w:color w:val="auto"/>
                <w:lang w:val="en-US" w:eastAsia="en-US"/>
              </w:rPr>
              <w:t>1302</w:t>
            </w:r>
          </w:p>
        </w:tc>
      </w:tr>
      <w:tr w14:paraId="06A937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0AE78FC0">
            <w:pPr>
              <w:pStyle w:val="30"/>
              <w:widowControl w:val="0"/>
              <w:bidi w:val="0"/>
              <w:rPr>
                <w:color w:val="auto"/>
                <w:lang w:val="en-US" w:eastAsia="en-US"/>
              </w:rPr>
            </w:pPr>
          </w:p>
        </w:tc>
        <w:tc>
          <w:tcPr>
            <w:tcW w:w="505" w:type="dxa"/>
            <w:tcBorders>
              <w:left w:val="single" w:color="auto" w:sz="4" w:space="0"/>
            </w:tcBorders>
            <w:vAlign w:val="center"/>
          </w:tcPr>
          <w:p w14:paraId="27259C1F">
            <w:pPr>
              <w:pStyle w:val="30"/>
              <w:widowControl w:val="0"/>
              <w:bidi w:val="0"/>
              <w:rPr>
                <w:color w:val="auto"/>
                <w:lang w:val="en-US" w:eastAsia="en-US"/>
              </w:rPr>
            </w:pPr>
            <w:r>
              <w:rPr>
                <w:color w:val="auto"/>
                <w:lang w:val="en-US" w:eastAsia="en-US"/>
              </w:rPr>
              <w:t>9</w:t>
            </w:r>
          </w:p>
        </w:tc>
        <w:tc>
          <w:tcPr>
            <w:tcW w:w="1459" w:type="dxa"/>
            <w:vAlign w:val="center"/>
          </w:tcPr>
          <w:p w14:paraId="1BE91483">
            <w:pPr>
              <w:pStyle w:val="30"/>
              <w:widowControl w:val="0"/>
              <w:bidi w:val="0"/>
              <w:rPr>
                <w:color w:val="auto"/>
                <w:lang w:val="en-US" w:eastAsia="en-US"/>
              </w:rPr>
            </w:pPr>
            <w:r>
              <w:rPr>
                <w:color w:val="auto"/>
                <w:lang w:val="en-US" w:eastAsia="en-US"/>
              </w:rPr>
              <w:t>大李村</w:t>
            </w:r>
          </w:p>
        </w:tc>
        <w:tc>
          <w:tcPr>
            <w:tcW w:w="705" w:type="dxa"/>
            <w:vAlign w:val="center"/>
          </w:tcPr>
          <w:p w14:paraId="42B3224A">
            <w:pPr>
              <w:pStyle w:val="30"/>
              <w:widowControl w:val="0"/>
              <w:bidi w:val="0"/>
              <w:rPr>
                <w:color w:val="auto"/>
                <w:lang w:val="en-US" w:eastAsia="en-US"/>
              </w:rPr>
            </w:pPr>
            <w:r>
              <w:rPr>
                <w:color w:val="auto"/>
                <w:lang w:val="en-US" w:eastAsia="en-US"/>
              </w:rPr>
              <w:t>2715</w:t>
            </w:r>
          </w:p>
        </w:tc>
        <w:tc>
          <w:tcPr>
            <w:tcW w:w="810" w:type="dxa"/>
            <w:vAlign w:val="center"/>
          </w:tcPr>
          <w:p w14:paraId="138D9E9A">
            <w:pPr>
              <w:pStyle w:val="30"/>
              <w:widowControl w:val="0"/>
              <w:bidi w:val="0"/>
              <w:rPr>
                <w:color w:val="auto"/>
                <w:lang w:val="en-US" w:eastAsia="en-US"/>
              </w:rPr>
            </w:pPr>
            <w:r>
              <w:rPr>
                <w:color w:val="auto"/>
                <w:lang w:val="en-US" w:eastAsia="en-US"/>
              </w:rPr>
              <w:t>-371</w:t>
            </w:r>
          </w:p>
        </w:tc>
        <w:tc>
          <w:tcPr>
            <w:tcW w:w="824" w:type="dxa"/>
            <w:vAlign w:val="center"/>
          </w:tcPr>
          <w:p w14:paraId="6F552FF5">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03C3E054">
            <w:pPr>
              <w:pStyle w:val="30"/>
              <w:widowControl w:val="0"/>
              <w:bidi w:val="0"/>
              <w:rPr>
                <w:color w:val="auto"/>
                <w:lang w:val="en-US" w:eastAsia="en-US"/>
              </w:rPr>
            </w:pPr>
            <w:r>
              <w:rPr>
                <w:color w:val="auto"/>
                <w:lang w:val="en-US" w:eastAsia="en-US"/>
              </w:rPr>
              <w:t>121人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2A2A0AA4">
            <w:pPr>
              <w:pStyle w:val="30"/>
              <w:widowControl w:val="0"/>
              <w:bidi w:val="0"/>
              <w:rPr>
                <w:color w:val="auto"/>
                <w:lang w:val="en-US" w:eastAsia="en-US"/>
              </w:rPr>
            </w:pPr>
          </w:p>
        </w:tc>
        <w:tc>
          <w:tcPr>
            <w:tcW w:w="770" w:type="dxa"/>
            <w:tcBorders>
              <w:left w:val="single" w:color="auto" w:sz="4" w:space="0"/>
            </w:tcBorders>
            <w:vAlign w:val="center"/>
          </w:tcPr>
          <w:p w14:paraId="03628880">
            <w:pPr>
              <w:pStyle w:val="30"/>
              <w:widowControl w:val="0"/>
              <w:bidi w:val="0"/>
              <w:rPr>
                <w:color w:val="auto"/>
                <w:lang w:val="en-US" w:eastAsia="en-US"/>
              </w:rPr>
            </w:pPr>
            <w:r>
              <w:rPr>
                <w:color w:val="auto"/>
                <w:lang w:val="en-US" w:eastAsia="en-US"/>
              </w:rPr>
              <w:t>SE</w:t>
            </w:r>
          </w:p>
        </w:tc>
        <w:tc>
          <w:tcPr>
            <w:tcW w:w="1096" w:type="dxa"/>
            <w:vAlign w:val="center"/>
          </w:tcPr>
          <w:p w14:paraId="69A96CC3">
            <w:pPr>
              <w:pStyle w:val="30"/>
              <w:widowControl w:val="0"/>
              <w:bidi w:val="0"/>
              <w:rPr>
                <w:color w:val="auto"/>
                <w:lang w:val="en-US" w:eastAsia="en-US"/>
              </w:rPr>
            </w:pPr>
            <w:r>
              <w:rPr>
                <w:color w:val="auto"/>
                <w:lang w:val="en-US" w:eastAsia="en-US"/>
              </w:rPr>
              <w:t>2052</w:t>
            </w:r>
          </w:p>
        </w:tc>
      </w:tr>
      <w:tr w14:paraId="324DCD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146478F7">
            <w:pPr>
              <w:pStyle w:val="30"/>
              <w:widowControl w:val="0"/>
              <w:bidi w:val="0"/>
              <w:rPr>
                <w:color w:val="auto"/>
                <w:lang w:val="en-US" w:eastAsia="en-US"/>
              </w:rPr>
            </w:pPr>
          </w:p>
        </w:tc>
        <w:tc>
          <w:tcPr>
            <w:tcW w:w="505" w:type="dxa"/>
            <w:tcBorders>
              <w:left w:val="single" w:color="auto" w:sz="4" w:space="0"/>
            </w:tcBorders>
            <w:vAlign w:val="center"/>
          </w:tcPr>
          <w:p w14:paraId="690644D1">
            <w:pPr>
              <w:pStyle w:val="30"/>
              <w:widowControl w:val="0"/>
              <w:bidi w:val="0"/>
              <w:rPr>
                <w:color w:val="auto"/>
                <w:lang w:val="en-US" w:eastAsia="en-US"/>
              </w:rPr>
            </w:pPr>
            <w:r>
              <w:rPr>
                <w:color w:val="auto"/>
                <w:lang w:val="en-US" w:eastAsia="en-US"/>
              </w:rPr>
              <w:t>10</w:t>
            </w:r>
          </w:p>
        </w:tc>
        <w:tc>
          <w:tcPr>
            <w:tcW w:w="1459" w:type="dxa"/>
            <w:vAlign w:val="center"/>
          </w:tcPr>
          <w:p w14:paraId="2A1A6CDB">
            <w:pPr>
              <w:pStyle w:val="30"/>
              <w:widowControl w:val="0"/>
              <w:bidi w:val="0"/>
              <w:rPr>
                <w:color w:val="auto"/>
                <w:lang w:val="en-US" w:eastAsia="en-US"/>
              </w:rPr>
            </w:pPr>
            <w:r>
              <w:rPr>
                <w:color w:val="auto"/>
                <w:lang w:val="en-US" w:eastAsia="en-US"/>
              </w:rPr>
              <w:t>王葛村</w:t>
            </w:r>
          </w:p>
        </w:tc>
        <w:tc>
          <w:tcPr>
            <w:tcW w:w="705" w:type="dxa"/>
            <w:vAlign w:val="center"/>
          </w:tcPr>
          <w:p w14:paraId="221A28D9">
            <w:pPr>
              <w:pStyle w:val="30"/>
              <w:widowControl w:val="0"/>
              <w:bidi w:val="0"/>
              <w:rPr>
                <w:color w:val="auto"/>
                <w:lang w:val="en-US" w:eastAsia="en-US"/>
              </w:rPr>
            </w:pPr>
            <w:r>
              <w:rPr>
                <w:color w:val="auto"/>
                <w:lang w:val="en-US" w:eastAsia="en-US"/>
              </w:rPr>
              <w:t>2561</w:t>
            </w:r>
          </w:p>
        </w:tc>
        <w:tc>
          <w:tcPr>
            <w:tcW w:w="810" w:type="dxa"/>
            <w:vAlign w:val="center"/>
          </w:tcPr>
          <w:p w14:paraId="4BF81300">
            <w:pPr>
              <w:pStyle w:val="30"/>
              <w:widowControl w:val="0"/>
              <w:bidi w:val="0"/>
              <w:rPr>
                <w:color w:val="auto"/>
                <w:lang w:val="en-US" w:eastAsia="en-US"/>
              </w:rPr>
            </w:pPr>
            <w:r>
              <w:rPr>
                <w:color w:val="auto"/>
                <w:lang w:val="en-US" w:eastAsia="en-US"/>
              </w:rPr>
              <w:t>-1005</w:t>
            </w:r>
          </w:p>
        </w:tc>
        <w:tc>
          <w:tcPr>
            <w:tcW w:w="824" w:type="dxa"/>
            <w:vAlign w:val="center"/>
          </w:tcPr>
          <w:p w14:paraId="03B3FA8A">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1E771D44">
            <w:pPr>
              <w:pStyle w:val="30"/>
              <w:widowControl w:val="0"/>
              <w:bidi w:val="0"/>
              <w:rPr>
                <w:color w:val="auto"/>
                <w:lang w:val="en-US" w:eastAsia="en-US"/>
              </w:rPr>
            </w:pPr>
            <w:r>
              <w:rPr>
                <w:color w:val="auto"/>
                <w:lang w:val="en-US" w:eastAsia="en-US"/>
              </w:rPr>
              <w:t>159人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40E14B2A">
            <w:pPr>
              <w:pStyle w:val="30"/>
              <w:widowControl w:val="0"/>
              <w:bidi w:val="0"/>
              <w:rPr>
                <w:color w:val="auto"/>
                <w:lang w:val="en-US" w:eastAsia="en-US"/>
              </w:rPr>
            </w:pPr>
          </w:p>
        </w:tc>
        <w:tc>
          <w:tcPr>
            <w:tcW w:w="770" w:type="dxa"/>
            <w:tcBorders>
              <w:left w:val="single" w:color="auto" w:sz="4" w:space="0"/>
            </w:tcBorders>
            <w:vAlign w:val="center"/>
          </w:tcPr>
          <w:p w14:paraId="106DC58A">
            <w:pPr>
              <w:pStyle w:val="30"/>
              <w:widowControl w:val="0"/>
              <w:bidi w:val="0"/>
              <w:rPr>
                <w:color w:val="auto"/>
                <w:lang w:val="en-US" w:eastAsia="en-US"/>
              </w:rPr>
            </w:pPr>
            <w:r>
              <w:rPr>
                <w:color w:val="auto"/>
                <w:lang w:val="en-US" w:eastAsia="en-US"/>
              </w:rPr>
              <w:t>SE</w:t>
            </w:r>
          </w:p>
        </w:tc>
        <w:tc>
          <w:tcPr>
            <w:tcW w:w="1096" w:type="dxa"/>
            <w:vAlign w:val="center"/>
          </w:tcPr>
          <w:p w14:paraId="10CEFBAB">
            <w:pPr>
              <w:pStyle w:val="30"/>
              <w:widowControl w:val="0"/>
              <w:bidi w:val="0"/>
              <w:rPr>
                <w:color w:val="auto"/>
                <w:lang w:val="en-US" w:eastAsia="en-US"/>
              </w:rPr>
            </w:pPr>
            <w:r>
              <w:rPr>
                <w:color w:val="auto"/>
                <w:lang w:val="en-US" w:eastAsia="en-US"/>
              </w:rPr>
              <w:t>2105</w:t>
            </w:r>
          </w:p>
        </w:tc>
      </w:tr>
      <w:tr w14:paraId="607A59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63438AA6">
            <w:pPr>
              <w:pStyle w:val="30"/>
              <w:widowControl w:val="0"/>
              <w:bidi w:val="0"/>
              <w:rPr>
                <w:color w:val="auto"/>
                <w:lang w:val="en-US" w:eastAsia="en-US"/>
              </w:rPr>
            </w:pPr>
          </w:p>
        </w:tc>
        <w:tc>
          <w:tcPr>
            <w:tcW w:w="505" w:type="dxa"/>
            <w:tcBorders>
              <w:left w:val="single" w:color="auto" w:sz="4" w:space="0"/>
            </w:tcBorders>
            <w:vAlign w:val="center"/>
          </w:tcPr>
          <w:p w14:paraId="3035C83B">
            <w:pPr>
              <w:pStyle w:val="30"/>
              <w:widowControl w:val="0"/>
              <w:bidi w:val="0"/>
              <w:rPr>
                <w:color w:val="auto"/>
                <w:lang w:val="en-US" w:eastAsia="en-US"/>
              </w:rPr>
            </w:pPr>
            <w:r>
              <w:rPr>
                <w:color w:val="auto"/>
                <w:lang w:val="en-US" w:eastAsia="en-US"/>
              </w:rPr>
              <w:t>11</w:t>
            </w:r>
          </w:p>
        </w:tc>
        <w:tc>
          <w:tcPr>
            <w:tcW w:w="1459" w:type="dxa"/>
            <w:vAlign w:val="center"/>
          </w:tcPr>
          <w:p w14:paraId="6C563687">
            <w:pPr>
              <w:pStyle w:val="30"/>
              <w:widowControl w:val="0"/>
              <w:bidi w:val="0"/>
              <w:rPr>
                <w:color w:val="auto"/>
                <w:lang w:val="en-US" w:eastAsia="en-US"/>
              </w:rPr>
            </w:pPr>
            <w:r>
              <w:rPr>
                <w:color w:val="auto"/>
                <w:lang w:val="en-US" w:eastAsia="en-US"/>
              </w:rPr>
              <w:t>塘拐村</w:t>
            </w:r>
          </w:p>
        </w:tc>
        <w:tc>
          <w:tcPr>
            <w:tcW w:w="705" w:type="dxa"/>
            <w:vAlign w:val="center"/>
          </w:tcPr>
          <w:p w14:paraId="1E35B23C">
            <w:pPr>
              <w:pStyle w:val="30"/>
              <w:widowControl w:val="0"/>
              <w:bidi w:val="0"/>
              <w:rPr>
                <w:color w:val="auto"/>
                <w:lang w:val="en-US" w:eastAsia="en-US"/>
              </w:rPr>
            </w:pPr>
            <w:r>
              <w:rPr>
                <w:color w:val="auto"/>
                <w:lang w:val="en-US" w:eastAsia="en-US"/>
              </w:rPr>
              <w:t>2450</w:t>
            </w:r>
          </w:p>
        </w:tc>
        <w:tc>
          <w:tcPr>
            <w:tcW w:w="810" w:type="dxa"/>
            <w:vAlign w:val="center"/>
          </w:tcPr>
          <w:p w14:paraId="46F8ED50">
            <w:pPr>
              <w:pStyle w:val="30"/>
              <w:widowControl w:val="0"/>
              <w:bidi w:val="0"/>
              <w:rPr>
                <w:color w:val="auto"/>
                <w:lang w:val="en-US" w:eastAsia="en-US"/>
              </w:rPr>
            </w:pPr>
            <w:r>
              <w:rPr>
                <w:color w:val="auto"/>
                <w:lang w:val="en-US" w:eastAsia="en-US"/>
              </w:rPr>
              <w:t>-1374</w:t>
            </w:r>
          </w:p>
        </w:tc>
        <w:tc>
          <w:tcPr>
            <w:tcW w:w="824" w:type="dxa"/>
            <w:vAlign w:val="center"/>
          </w:tcPr>
          <w:p w14:paraId="595FF83F">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238EE0DE">
            <w:pPr>
              <w:pStyle w:val="30"/>
              <w:widowControl w:val="0"/>
              <w:bidi w:val="0"/>
              <w:rPr>
                <w:color w:val="auto"/>
                <w:lang w:val="en-US" w:eastAsia="en-US"/>
              </w:rPr>
            </w:pPr>
            <w:r>
              <w:rPr>
                <w:color w:val="auto"/>
                <w:lang w:val="en-US" w:eastAsia="en-US"/>
              </w:rPr>
              <w:t>148人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77AF6274">
            <w:pPr>
              <w:pStyle w:val="30"/>
              <w:widowControl w:val="0"/>
              <w:bidi w:val="0"/>
              <w:rPr>
                <w:color w:val="auto"/>
                <w:lang w:val="en-US" w:eastAsia="en-US"/>
              </w:rPr>
            </w:pPr>
          </w:p>
        </w:tc>
        <w:tc>
          <w:tcPr>
            <w:tcW w:w="770" w:type="dxa"/>
            <w:tcBorders>
              <w:left w:val="single" w:color="auto" w:sz="4" w:space="0"/>
            </w:tcBorders>
            <w:vAlign w:val="center"/>
          </w:tcPr>
          <w:p w14:paraId="1E7D835E">
            <w:pPr>
              <w:pStyle w:val="30"/>
              <w:widowControl w:val="0"/>
              <w:bidi w:val="0"/>
              <w:rPr>
                <w:color w:val="auto"/>
                <w:lang w:val="en-US" w:eastAsia="en-US"/>
              </w:rPr>
            </w:pPr>
            <w:r>
              <w:rPr>
                <w:color w:val="auto"/>
                <w:lang w:val="en-US" w:eastAsia="en-US"/>
              </w:rPr>
              <w:t>SE</w:t>
            </w:r>
          </w:p>
        </w:tc>
        <w:tc>
          <w:tcPr>
            <w:tcW w:w="1096" w:type="dxa"/>
            <w:vAlign w:val="center"/>
          </w:tcPr>
          <w:p w14:paraId="500D741D">
            <w:pPr>
              <w:pStyle w:val="30"/>
              <w:widowControl w:val="0"/>
              <w:bidi w:val="0"/>
              <w:rPr>
                <w:color w:val="auto"/>
                <w:lang w:val="en-US" w:eastAsia="en-US"/>
              </w:rPr>
            </w:pPr>
            <w:r>
              <w:rPr>
                <w:color w:val="auto"/>
                <w:lang w:val="en-US" w:eastAsia="en-US"/>
              </w:rPr>
              <w:t>2204</w:t>
            </w:r>
          </w:p>
        </w:tc>
      </w:tr>
      <w:tr w14:paraId="410E4F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left w:val="single" w:color="auto" w:sz="4" w:space="0"/>
              <w:bottom w:val="single" w:color="auto" w:sz="4" w:space="0"/>
              <w:right w:val="single" w:color="auto" w:sz="4" w:space="0"/>
            </w:tcBorders>
            <w:vAlign w:val="center"/>
          </w:tcPr>
          <w:p w14:paraId="26C9883A">
            <w:pPr>
              <w:pStyle w:val="30"/>
              <w:widowControl w:val="0"/>
              <w:bidi w:val="0"/>
              <w:rPr>
                <w:color w:val="auto"/>
                <w:lang w:val="en-US" w:eastAsia="en-US"/>
              </w:rPr>
            </w:pPr>
          </w:p>
        </w:tc>
        <w:tc>
          <w:tcPr>
            <w:tcW w:w="505" w:type="dxa"/>
            <w:tcBorders>
              <w:left w:val="single" w:color="auto" w:sz="4" w:space="0"/>
            </w:tcBorders>
            <w:vAlign w:val="center"/>
          </w:tcPr>
          <w:p w14:paraId="2338CE8D">
            <w:pPr>
              <w:pStyle w:val="30"/>
              <w:widowControl w:val="0"/>
              <w:bidi w:val="0"/>
              <w:rPr>
                <w:color w:val="auto"/>
                <w:lang w:val="en-US" w:eastAsia="en-US"/>
              </w:rPr>
            </w:pPr>
            <w:r>
              <w:rPr>
                <w:color w:val="auto"/>
                <w:lang w:val="en-US" w:eastAsia="en-US"/>
              </w:rPr>
              <w:t>12</w:t>
            </w:r>
          </w:p>
        </w:tc>
        <w:tc>
          <w:tcPr>
            <w:tcW w:w="1459" w:type="dxa"/>
            <w:vAlign w:val="center"/>
          </w:tcPr>
          <w:p w14:paraId="5D93F5A4">
            <w:pPr>
              <w:pStyle w:val="30"/>
              <w:widowControl w:val="0"/>
              <w:bidi w:val="0"/>
              <w:rPr>
                <w:color w:val="auto"/>
                <w:lang w:val="en-US" w:eastAsia="en-US"/>
              </w:rPr>
            </w:pPr>
            <w:r>
              <w:rPr>
                <w:color w:val="auto"/>
                <w:lang w:val="en-US" w:eastAsia="en-US"/>
              </w:rPr>
              <w:t>骆晋村</w:t>
            </w:r>
          </w:p>
        </w:tc>
        <w:tc>
          <w:tcPr>
            <w:tcW w:w="705" w:type="dxa"/>
            <w:vAlign w:val="center"/>
          </w:tcPr>
          <w:p w14:paraId="453BCB0B">
            <w:pPr>
              <w:pStyle w:val="30"/>
              <w:widowControl w:val="0"/>
              <w:bidi w:val="0"/>
              <w:rPr>
                <w:color w:val="auto"/>
                <w:lang w:val="en-US" w:eastAsia="en-US"/>
              </w:rPr>
            </w:pPr>
            <w:r>
              <w:rPr>
                <w:color w:val="auto"/>
                <w:lang w:val="en-US" w:eastAsia="en-US"/>
              </w:rPr>
              <w:t>2132</w:t>
            </w:r>
          </w:p>
        </w:tc>
        <w:tc>
          <w:tcPr>
            <w:tcW w:w="810" w:type="dxa"/>
            <w:vAlign w:val="center"/>
          </w:tcPr>
          <w:p w14:paraId="0E796F99">
            <w:pPr>
              <w:pStyle w:val="30"/>
              <w:widowControl w:val="0"/>
              <w:bidi w:val="0"/>
              <w:rPr>
                <w:color w:val="auto"/>
                <w:lang w:val="en-US" w:eastAsia="en-US"/>
              </w:rPr>
            </w:pPr>
            <w:r>
              <w:rPr>
                <w:color w:val="auto"/>
                <w:lang w:val="en-US" w:eastAsia="en-US"/>
              </w:rPr>
              <w:t>-1966</w:t>
            </w:r>
          </w:p>
        </w:tc>
        <w:tc>
          <w:tcPr>
            <w:tcW w:w="824" w:type="dxa"/>
            <w:vAlign w:val="center"/>
          </w:tcPr>
          <w:p w14:paraId="7DA2BBE8">
            <w:pPr>
              <w:pStyle w:val="30"/>
              <w:widowControl w:val="0"/>
              <w:bidi w:val="0"/>
              <w:rPr>
                <w:color w:val="auto"/>
                <w:lang w:val="en-US" w:eastAsia="en-US"/>
              </w:rPr>
            </w:pPr>
            <w:r>
              <w:rPr>
                <w:color w:val="auto"/>
                <w:lang w:val="en-US" w:eastAsia="en-US"/>
              </w:rPr>
              <w:t>居住区</w:t>
            </w:r>
          </w:p>
        </w:tc>
        <w:tc>
          <w:tcPr>
            <w:tcW w:w="825" w:type="dxa"/>
            <w:tcBorders>
              <w:right w:val="single" w:color="auto" w:sz="4" w:space="0"/>
            </w:tcBorders>
            <w:vAlign w:val="center"/>
          </w:tcPr>
          <w:p w14:paraId="18BAF4D7">
            <w:pPr>
              <w:pStyle w:val="30"/>
              <w:widowControl w:val="0"/>
              <w:bidi w:val="0"/>
              <w:rPr>
                <w:color w:val="auto"/>
                <w:lang w:val="en-US" w:eastAsia="en-US"/>
              </w:rPr>
            </w:pPr>
            <w:r>
              <w:rPr>
                <w:color w:val="auto"/>
                <w:lang w:val="en-US" w:eastAsia="en-US"/>
              </w:rPr>
              <w:t>324人</w:t>
            </w:r>
          </w:p>
        </w:tc>
        <w:tc>
          <w:tcPr>
            <w:tcW w:w="1439" w:type="dxa"/>
            <w:vMerge w:val="continue"/>
            <w:tcBorders>
              <w:top w:val="single" w:color="auto" w:sz="4" w:space="0"/>
              <w:left w:val="single" w:color="auto" w:sz="4" w:space="0"/>
              <w:bottom w:val="single" w:color="auto" w:sz="4" w:space="0"/>
              <w:right w:val="single" w:color="auto" w:sz="4" w:space="0"/>
            </w:tcBorders>
            <w:vAlign w:val="center"/>
          </w:tcPr>
          <w:p w14:paraId="29A0A1C3">
            <w:pPr>
              <w:pStyle w:val="30"/>
              <w:widowControl w:val="0"/>
              <w:bidi w:val="0"/>
              <w:rPr>
                <w:color w:val="auto"/>
                <w:lang w:val="en-US" w:eastAsia="en-US"/>
              </w:rPr>
            </w:pPr>
          </w:p>
        </w:tc>
        <w:tc>
          <w:tcPr>
            <w:tcW w:w="770" w:type="dxa"/>
            <w:tcBorders>
              <w:left w:val="single" w:color="auto" w:sz="4" w:space="0"/>
            </w:tcBorders>
            <w:vAlign w:val="center"/>
          </w:tcPr>
          <w:p w14:paraId="78B0B87E">
            <w:pPr>
              <w:pStyle w:val="30"/>
              <w:widowControl w:val="0"/>
              <w:bidi w:val="0"/>
              <w:rPr>
                <w:color w:val="auto"/>
                <w:lang w:val="en-US" w:eastAsia="en-US"/>
              </w:rPr>
            </w:pPr>
            <w:r>
              <w:rPr>
                <w:color w:val="auto"/>
                <w:lang w:val="en-US" w:eastAsia="en-US"/>
              </w:rPr>
              <w:t>SE</w:t>
            </w:r>
          </w:p>
        </w:tc>
        <w:tc>
          <w:tcPr>
            <w:tcW w:w="1096" w:type="dxa"/>
            <w:vAlign w:val="center"/>
          </w:tcPr>
          <w:p w14:paraId="5E9AE8DD">
            <w:pPr>
              <w:pStyle w:val="30"/>
              <w:widowControl w:val="0"/>
              <w:bidi w:val="0"/>
              <w:rPr>
                <w:color w:val="auto"/>
                <w:lang w:val="en-US" w:eastAsia="en-US"/>
              </w:rPr>
            </w:pPr>
            <w:r>
              <w:rPr>
                <w:color w:val="auto"/>
                <w:lang w:val="en-US" w:eastAsia="en-US"/>
              </w:rPr>
              <w:t>2381</w:t>
            </w:r>
          </w:p>
        </w:tc>
      </w:tr>
      <w:tr w14:paraId="6C4F40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0" w:hRule="atLeast"/>
        </w:trPr>
        <w:tc>
          <w:tcPr>
            <w:tcW w:w="689" w:type="dxa"/>
            <w:vMerge w:val="restart"/>
            <w:tcBorders>
              <w:top w:val="single" w:color="auto" w:sz="4" w:space="0"/>
              <w:bottom w:val="single" w:color="auto" w:sz="4" w:space="0"/>
            </w:tcBorders>
            <w:vAlign w:val="center"/>
          </w:tcPr>
          <w:p w14:paraId="535D9B58">
            <w:pPr>
              <w:pStyle w:val="30"/>
              <w:widowControl w:val="0"/>
              <w:bidi w:val="0"/>
              <w:rPr>
                <w:color w:val="auto"/>
                <w:lang w:val="en-US" w:eastAsia="en-US"/>
              </w:rPr>
            </w:pPr>
            <w:r>
              <w:rPr>
                <w:color w:val="auto"/>
                <w:lang w:val="en-US" w:eastAsia="en-US"/>
              </w:rPr>
              <w:t>地表</w:t>
            </w:r>
          </w:p>
          <w:p w14:paraId="7FC8BC88">
            <w:pPr>
              <w:pStyle w:val="30"/>
              <w:widowControl w:val="0"/>
              <w:bidi w:val="0"/>
              <w:rPr>
                <w:color w:val="auto"/>
                <w:lang w:val="en-US" w:eastAsia="en-US"/>
              </w:rPr>
            </w:pPr>
            <w:r>
              <w:rPr>
                <w:color w:val="auto"/>
                <w:lang w:val="en-US" w:eastAsia="en-US"/>
              </w:rPr>
              <w:t>水环境</w:t>
            </w:r>
          </w:p>
        </w:tc>
        <w:tc>
          <w:tcPr>
            <w:tcW w:w="1964" w:type="dxa"/>
            <w:gridSpan w:val="2"/>
            <w:vAlign w:val="center"/>
          </w:tcPr>
          <w:p w14:paraId="7E02BA62">
            <w:pPr>
              <w:pStyle w:val="30"/>
              <w:widowControl w:val="0"/>
              <w:bidi w:val="0"/>
              <w:rPr>
                <w:color w:val="auto"/>
                <w:lang w:val="en-US" w:eastAsia="en-US"/>
              </w:rPr>
            </w:pPr>
            <w:r>
              <w:rPr>
                <w:color w:val="auto"/>
                <w:lang w:val="en-US" w:eastAsia="en-US"/>
              </w:rPr>
              <w:t>店埠河</w:t>
            </w:r>
          </w:p>
        </w:tc>
        <w:tc>
          <w:tcPr>
            <w:tcW w:w="705" w:type="dxa"/>
            <w:vAlign w:val="center"/>
          </w:tcPr>
          <w:p w14:paraId="14EA75E6">
            <w:pPr>
              <w:pStyle w:val="30"/>
              <w:widowControl w:val="0"/>
              <w:bidi w:val="0"/>
              <w:rPr>
                <w:color w:val="auto"/>
                <w:lang w:val="en-US" w:eastAsia="en-US"/>
              </w:rPr>
            </w:pPr>
            <w:r>
              <w:rPr>
                <w:color w:val="auto"/>
                <w:lang w:val="en-US" w:eastAsia="en-US"/>
              </w:rPr>
              <w:t>/</w:t>
            </w:r>
          </w:p>
        </w:tc>
        <w:tc>
          <w:tcPr>
            <w:tcW w:w="810" w:type="dxa"/>
            <w:vAlign w:val="center"/>
          </w:tcPr>
          <w:p w14:paraId="2CD9D4B6">
            <w:pPr>
              <w:pStyle w:val="30"/>
              <w:widowControl w:val="0"/>
              <w:bidi w:val="0"/>
              <w:rPr>
                <w:color w:val="auto"/>
                <w:lang w:val="en-US" w:eastAsia="en-US"/>
              </w:rPr>
            </w:pPr>
            <w:r>
              <w:rPr>
                <w:color w:val="auto"/>
                <w:lang w:val="en-US" w:eastAsia="en-US"/>
              </w:rPr>
              <w:t>/</w:t>
            </w:r>
          </w:p>
        </w:tc>
        <w:tc>
          <w:tcPr>
            <w:tcW w:w="1649" w:type="dxa"/>
            <w:gridSpan w:val="2"/>
            <w:vAlign w:val="center"/>
          </w:tcPr>
          <w:p w14:paraId="1D67C753">
            <w:pPr>
              <w:pStyle w:val="30"/>
              <w:widowControl w:val="0"/>
              <w:bidi w:val="0"/>
              <w:rPr>
                <w:color w:val="auto"/>
                <w:lang w:val="en-US" w:eastAsia="en-US"/>
              </w:rPr>
            </w:pPr>
            <w:r>
              <w:rPr>
                <w:color w:val="auto"/>
                <w:lang w:val="en-US" w:eastAsia="en-US"/>
              </w:rPr>
              <w:t>小型河流</w:t>
            </w:r>
          </w:p>
        </w:tc>
        <w:tc>
          <w:tcPr>
            <w:tcW w:w="1439" w:type="dxa"/>
            <w:vMerge w:val="restart"/>
            <w:tcBorders>
              <w:top w:val="single" w:color="auto" w:sz="4" w:space="0"/>
              <w:bottom w:val="nil"/>
            </w:tcBorders>
            <w:vAlign w:val="center"/>
          </w:tcPr>
          <w:p w14:paraId="02809B89">
            <w:pPr>
              <w:pStyle w:val="30"/>
              <w:widowControl w:val="0"/>
              <w:bidi w:val="0"/>
              <w:rPr>
                <w:color w:val="auto"/>
                <w:lang w:val="en-US" w:eastAsia="en-US"/>
              </w:rPr>
            </w:pPr>
            <w:r>
              <w:rPr>
                <w:color w:val="auto"/>
                <w:lang w:val="en-US" w:eastAsia="en-US"/>
              </w:rPr>
              <w:t>（GB3838-2002</w:t>
            </w:r>
            <w:r>
              <w:rPr>
                <w:rFonts w:hint="eastAsia"/>
                <w:color w:val="auto"/>
                <w:lang w:val="en-US" w:eastAsia="zh-CN"/>
              </w:rPr>
              <w:t>）</w:t>
            </w:r>
            <w:r>
              <w:rPr>
                <w:color w:val="auto"/>
                <w:lang w:val="en-US" w:eastAsia="en-US"/>
              </w:rPr>
              <w:t>中</w:t>
            </w:r>
            <w:r>
              <w:rPr>
                <w:rFonts w:hint="eastAsia"/>
                <w:color w:val="auto"/>
                <w:lang w:val="en-US" w:eastAsia="zh-CN"/>
              </w:rPr>
              <w:t>Ⅳ类</w:t>
            </w:r>
            <w:r>
              <w:rPr>
                <w:color w:val="auto"/>
                <w:lang w:val="en-US" w:eastAsia="en-US"/>
              </w:rPr>
              <w:t>标准</w:t>
            </w:r>
          </w:p>
        </w:tc>
        <w:tc>
          <w:tcPr>
            <w:tcW w:w="770" w:type="dxa"/>
            <w:vAlign w:val="center"/>
          </w:tcPr>
          <w:p w14:paraId="4F468908">
            <w:pPr>
              <w:pStyle w:val="30"/>
              <w:widowControl w:val="0"/>
              <w:bidi w:val="0"/>
              <w:rPr>
                <w:color w:val="auto"/>
                <w:lang w:val="en-US" w:eastAsia="en-US"/>
              </w:rPr>
            </w:pPr>
            <w:r>
              <w:rPr>
                <w:color w:val="auto"/>
                <w:lang w:val="en-US" w:eastAsia="en-US"/>
              </w:rPr>
              <w:t>W</w:t>
            </w:r>
          </w:p>
        </w:tc>
        <w:tc>
          <w:tcPr>
            <w:tcW w:w="1096" w:type="dxa"/>
            <w:vAlign w:val="center"/>
          </w:tcPr>
          <w:p w14:paraId="3532012A">
            <w:pPr>
              <w:pStyle w:val="30"/>
              <w:widowControl w:val="0"/>
              <w:bidi w:val="0"/>
              <w:rPr>
                <w:color w:val="auto"/>
                <w:lang w:val="en-US" w:eastAsia="en-US"/>
              </w:rPr>
            </w:pPr>
            <w:r>
              <w:rPr>
                <w:color w:val="auto"/>
                <w:lang w:val="en-US" w:eastAsia="en-US"/>
              </w:rPr>
              <w:t>5457</w:t>
            </w:r>
          </w:p>
        </w:tc>
      </w:tr>
      <w:tr w14:paraId="56F25E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Merge w:val="continue"/>
            <w:tcBorders>
              <w:top w:val="single" w:color="auto" w:sz="4" w:space="0"/>
              <w:bottom w:val="single" w:color="auto" w:sz="4" w:space="0"/>
            </w:tcBorders>
            <w:vAlign w:val="center"/>
          </w:tcPr>
          <w:p w14:paraId="4E11F8BF">
            <w:pPr>
              <w:pStyle w:val="30"/>
              <w:widowControl w:val="0"/>
              <w:bidi w:val="0"/>
              <w:rPr>
                <w:color w:val="auto"/>
                <w:lang w:val="en-US" w:eastAsia="en-US"/>
              </w:rPr>
            </w:pPr>
          </w:p>
        </w:tc>
        <w:tc>
          <w:tcPr>
            <w:tcW w:w="1964" w:type="dxa"/>
            <w:gridSpan w:val="2"/>
            <w:vAlign w:val="center"/>
          </w:tcPr>
          <w:p w14:paraId="3CDB27D3">
            <w:pPr>
              <w:pStyle w:val="30"/>
              <w:widowControl w:val="0"/>
              <w:bidi w:val="0"/>
              <w:rPr>
                <w:color w:val="auto"/>
                <w:lang w:val="en-US" w:eastAsia="en-US"/>
              </w:rPr>
            </w:pPr>
            <w:r>
              <w:rPr>
                <w:color w:val="auto"/>
                <w:lang w:val="en-US" w:eastAsia="en-US"/>
              </w:rPr>
              <w:t>南淝河</w:t>
            </w:r>
          </w:p>
        </w:tc>
        <w:tc>
          <w:tcPr>
            <w:tcW w:w="705" w:type="dxa"/>
            <w:vAlign w:val="center"/>
          </w:tcPr>
          <w:p w14:paraId="157BCB37">
            <w:pPr>
              <w:pStyle w:val="30"/>
              <w:widowControl w:val="0"/>
              <w:bidi w:val="0"/>
              <w:rPr>
                <w:color w:val="auto"/>
                <w:lang w:val="en-US" w:eastAsia="en-US"/>
              </w:rPr>
            </w:pPr>
            <w:r>
              <w:rPr>
                <w:color w:val="auto"/>
                <w:lang w:val="en-US" w:eastAsia="en-US"/>
              </w:rPr>
              <w:t>/</w:t>
            </w:r>
          </w:p>
        </w:tc>
        <w:tc>
          <w:tcPr>
            <w:tcW w:w="810" w:type="dxa"/>
            <w:vAlign w:val="center"/>
          </w:tcPr>
          <w:p w14:paraId="742DBF91">
            <w:pPr>
              <w:pStyle w:val="30"/>
              <w:widowControl w:val="0"/>
              <w:bidi w:val="0"/>
              <w:rPr>
                <w:color w:val="auto"/>
                <w:lang w:val="en-US" w:eastAsia="en-US"/>
              </w:rPr>
            </w:pPr>
            <w:r>
              <w:rPr>
                <w:color w:val="auto"/>
                <w:lang w:val="en-US" w:eastAsia="en-US"/>
              </w:rPr>
              <w:t>/</w:t>
            </w:r>
          </w:p>
        </w:tc>
        <w:tc>
          <w:tcPr>
            <w:tcW w:w="1649" w:type="dxa"/>
            <w:gridSpan w:val="2"/>
            <w:vAlign w:val="center"/>
          </w:tcPr>
          <w:p w14:paraId="6B32290D">
            <w:pPr>
              <w:pStyle w:val="30"/>
              <w:widowControl w:val="0"/>
              <w:bidi w:val="0"/>
              <w:rPr>
                <w:color w:val="auto"/>
                <w:lang w:val="en-US" w:eastAsia="en-US"/>
              </w:rPr>
            </w:pPr>
            <w:r>
              <w:rPr>
                <w:color w:val="auto"/>
                <w:lang w:val="en-US" w:eastAsia="en-US"/>
              </w:rPr>
              <w:t>小型河流</w:t>
            </w:r>
          </w:p>
        </w:tc>
        <w:tc>
          <w:tcPr>
            <w:tcW w:w="1439" w:type="dxa"/>
            <w:vMerge w:val="continue"/>
            <w:tcBorders>
              <w:top w:val="nil"/>
            </w:tcBorders>
            <w:vAlign w:val="center"/>
          </w:tcPr>
          <w:p w14:paraId="4B2EA0B5">
            <w:pPr>
              <w:pStyle w:val="30"/>
              <w:widowControl w:val="0"/>
              <w:bidi w:val="0"/>
              <w:rPr>
                <w:color w:val="auto"/>
                <w:lang w:val="en-US" w:eastAsia="en-US"/>
              </w:rPr>
            </w:pPr>
          </w:p>
        </w:tc>
        <w:tc>
          <w:tcPr>
            <w:tcW w:w="770" w:type="dxa"/>
            <w:vAlign w:val="center"/>
          </w:tcPr>
          <w:p w14:paraId="3978B58C">
            <w:pPr>
              <w:pStyle w:val="30"/>
              <w:widowControl w:val="0"/>
              <w:bidi w:val="0"/>
              <w:rPr>
                <w:color w:val="auto"/>
                <w:lang w:val="en-US" w:eastAsia="en-US"/>
              </w:rPr>
            </w:pPr>
            <w:r>
              <w:rPr>
                <w:color w:val="auto"/>
                <w:lang w:val="en-US" w:eastAsia="en-US"/>
              </w:rPr>
              <w:t>SW</w:t>
            </w:r>
          </w:p>
        </w:tc>
        <w:tc>
          <w:tcPr>
            <w:tcW w:w="1096" w:type="dxa"/>
            <w:vAlign w:val="center"/>
          </w:tcPr>
          <w:p w14:paraId="1B4D1D91">
            <w:pPr>
              <w:pStyle w:val="30"/>
              <w:widowControl w:val="0"/>
              <w:bidi w:val="0"/>
              <w:rPr>
                <w:color w:val="auto"/>
                <w:lang w:val="en-US" w:eastAsia="en-US"/>
              </w:rPr>
            </w:pPr>
            <w:r>
              <w:rPr>
                <w:color w:val="auto"/>
                <w:lang w:val="en-US" w:eastAsia="en-US"/>
              </w:rPr>
              <w:t>7145</w:t>
            </w:r>
          </w:p>
        </w:tc>
      </w:tr>
      <w:tr w14:paraId="67D9CA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tcBorders>
              <w:top w:val="single" w:color="auto" w:sz="4" w:space="0"/>
            </w:tcBorders>
            <w:vAlign w:val="center"/>
          </w:tcPr>
          <w:p w14:paraId="44F1D999">
            <w:pPr>
              <w:pStyle w:val="30"/>
              <w:widowControl w:val="0"/>
              <w:bidi w:val="0"/>
              <w:rPr>
                <w:color w:val="auto"/>
                <w:lang w:val="en-US" w:eastAsia="en-US"/>
              </w:rPr>
            </w:pPr>
            <w:r>
              <w:rPr>
                <w:color w:val="auto"/>
                <w:lang w:val="en-US" w:eastAsia="en-US"/>
              </w:rPr>
              <w:t>地下水环境</w:t>
            </w:r>
          </w:p>
        </w:tc>
        <w:tc>
          <w:tcPr>
            <w:tcW w:w="1964" w:type="dxa"/>
            <w:gridSpan w:val="2"/>
            <w:vAlign w:val="center"/>
          </w:tcPr>
          <w:p w14:paraId="347C3755">
            <w:pPr>
              <w:pStyle w:val="30"/>
              <w:widowControl w:val="0"/>
              <w:bidi w:val="0"/>
              <w:rPr>
                <w:color w:val="auto"/>
                <w:lang w:val="en-US" w:eastAsia="en-US"/>
              </w:rPr>
            </w:pPr>
            <w:r>
              <w:rPr>
                <w:color w:val="auto"/>
                <w:lang w:val="en-US" w:eastAsia="en-US"/>
              </w:rPr>
              <w:t>项目所在区域及周边6km</w:t>
            </w:r>
            <w:r>
              <w:rPr>
                <w:color w:val="auto"/>
                <w:vertAlign w:val="superscript"/>
                <w:lang w:val="en-US" w:eastAsia="en-US"/>
              </w:rPr>
              <w:t>2</w:t>
            </w:r>
            <w:r>
              <w:rPr>
                <w:color w:val="auto"/>
                <w:lang w:val="en-US" w:eastAsia="en-US"/>
              </w:rPr>
              <w:t>地下水范围</w:t>
            </w:r>
          </w:p>
        </w:tc>
        <w:tc>
          <w:tcPr>
            <w:tcW w:w="705" w:type="dxa"/>
            <w:vAlign w:val="center"/>
          </w:tcPr>
          <w:p w14:paraId="56AA3923">
            <w:pPr>
              <w:pStyle w:val="30"/>
              <w:widowControl w:val="0"/>
              <w:bidi w:val="0"/>
              <w:rPr>
                <w:color w:val="auto"/>
                <w:lang w:val="en-US" w:eastAsia="en-US"/>
              </w:rPr>
            </w:pPr>
            <w:r>
              <w:rPr>
                <w:color w:val="auto"/>
                <w:lang w:val="en-US" w:eastAsia="en-US"/>
              </w:rPr>
              <w:t>/</w:t>
            </w:r>
          </w:p>
        </w:tc>
        <w:tc>
          <w:tcPr>
            <w:tcW w:w="810" w:type="dxa"/>
            <w:vAlign w:val="center"/>
          </w:tcPr>
          <w:p w14:paraId="01AA7250">
            <w:pPr>
              <w:pStyle w:val="30"/>
              <w:widowControl w:val="0"/>
              <w:bidi w:val="0"/>
              <w:rPr>
                <w:color w:val="auto"/>
                <w:lang w:val="en-US" w:eastAsia="en-US"/>
              </w:rPr>
            </w:pPr>
            <w:r>
              <w:rPr>
                <w:color w:val="auto"/>
                <w:lang w:val="en-US" w:eastAsia="en-US"/>
              </w:rPr>
              <w:t>/</w:t>
            </w:r>
          </w:p>
        </w:tc>
        <w:tc>
          <w:tcPr>
            <w:tcW w:w="1649" w:type="dxa"/>
            <w:gridSpan w:val="2"/>
            <w:vAlign w:val="center"/>
          </w:tcPr>
          <w:p w14:paraId="2BF7E763">
            <w:pPr>
              <w:pStyle w:val="30"/>
              <w:widowControl w:val="0"/>
              <w:bidi w:val="0"/>
              <w:rPr>
                <w:color w:val="auto"/>
                <w:lang w:val="en-US" w:eastAsia="en-US"/>
              </w:rPr>
            </w:pPr>
            <w:r>
              <w:rPr>
                <w:color w:val="auto"/>
                <w:lang w:val="en-US" w:eastAsia="en-US"/>
              </w:rPr>
              <w:t>/</w:t>
            </w:r>
          </w:p>
        </w:tc>
        <w:tc>
          <w:tcPr>
            <w:tcW w:w="1439" w:type="dxa"/>
            <w:vAlign w:val="center"/>
          </w:tcPr>
          <w:p w14:paraId="3ADD42C5">
            <w:pPr>
              <w:pStyle w:val="30"/>
              <w:widowControl w:val="0"/>
              <w:bidi w:val="0"/>
              <w:rPr>
                <w:color w:val="auto"/>
                <w:lang w:val="en-US" w:eastAsia="en-US"/>
              </w:rPr>
            </w:pPr>
            <w:r>
              <w:rPr>
                <w:color w:val="auto"/>
                <w:lang w:val="en-US" w:eastAsia="en-US"/>
              </w:rPr>
              <w:t>（GB/T14848-2017）中Ⅲ类标准</w:t>
            </w:r>
          </w:p>
        </w:tc>
        <w:tc>
          <w:tcPr>
            <w:tcW w:w="770" w:type="dxa"/>
            <w:vAlign w:val="center"/>
          </w:tcPr>
          <w:p w14:paraId="152D23E4">
            <w:pPr>
              <w:pStyle w:val="30"/>
              <w:widowControl w:val="0"/>
              <w:bidi w:val="0"/>
              <w:rPr>
                <w:color w:val="auto"/>
                <w:lang w:val="en-US" w:eastAsia="en-US"/>
              </w:rPr>
            </w:pPr>
            <w:r>
              <w:rPr>
                <w:color w:val="auto"/>
                <w:lang w:val="en-US" w:eastAsia="en-US"/>
              </w:rPr>
              <w:t>/</w:t>
            </w:r>
          </w:p>
        </w:tc>
        <w:tc>
          <w:tcPr>
            <w:tcW w:w="1096" w:type="dxa"/>
            <w:vAlign w:val="center"/>
          </w:tcPr>
          <w:p w14:paraId="17AB4E36">
            <w:pPr>
              <w:pStyle w:val="30"/>
              <w:widowControl w:val="0"/>
              <w:bidi w:val="0"/>
              <w:rPr>
                <w:color w:val="auto"/>
                <w:lang w:val="en-US" w:eastAsia="en-US"/>
              </w:rPr>
            </w:pPr>
            <w:r>
              <w:rPr>
                <w:color w:val="auto"/>
                <w:lang w:val="en-US" w:eastAsia="en-US"/>
              </w:rPr>
              <w:t>/</w:t>
            </w:r>
          </w:p>
        </w:tc>
      </w:tr>
      <w:tr w14:paraId="5066E2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Align w:val="center"/>
          </w:tcPr>
          <w:p w14:paraId="69AEAE4D">
            <w:pPr>
              <w:pStyle w:val="30"/>
              <w:widowControl w:val="0"/>
              <w:bidi w:val="0"/>
              <w:rPr>
                <w:color w:val="auto"/>
                <w:lang w:val="en-US" w:eastAsia="en-US"/>
              </w:rPr>
            </w:pPr>
            <w:r>
              <w:rPr>
                <w:color w:val="auto"/>
                <w:lang w:val="en-US" w:eastAsia="en-US"/>
              </w:rPr>
              <w:t>声环境</w:t>
            </w:r>
          </w:p>
        </w:tc>
        <w:tc>
          <w:tcPr>
            <w:tcW w:w="1964" w:type="dxa"/>
            <w:gridSpan w:val="2"/>
            <w:vAlign w:val="center"/>
          </w:tcPr>
          <w:p w14:paraId="48866D90">
            <w:pPr>
              <w:pStyle w:val="30"/>
              <w:widowControl w:val="0"/>
              <w:bidi w:val="0"/>
              <w:rPr>
                <w:color w:val="auto"/>
                <w:lang w:val="en-US" w:eastAsia="en-US"/>
              </w:rPr>
            </w:pPr>
            <w:r>
              <w:rPr>
                <w:color w:val="auto"/>
                <w:lang w:val="en-US" w:eastAsia="en-US"/>
              </w:rPr>
              <w:t>项目厂界外200m</w:t>
            </w:r>
          </w:p>
        </w:tc>
        <w:tc>
          <w:tcPr>
            <w:tcW w:w="705" w:type="dxa"/>
            <w:vAlign w:val="center"/>
          </w:tcPr>
          <w:p w14:paraId="7A115678">
            <w:pPr>
              <w:pStyle w:val="30"/>
              <w:widowControl w:val="0"/>
              <w:bidi w:val="0"/>
              <w:rPr>
                <w:color w:val="auto"/>
                <w:lang w:val="en-US" w:eastAsia="en-US"/>
              </w:rPr>
            </w:pPr>
            <w:r>
              <w:rPr>
                <w:color w:val="auto"/>
                <w:lang w:val="en-US" w:eastAsia="en-US"/>
              </w:rPr>
              <w:t>/</w:t>
            </w:r>
          </w:p>
        </w:tc>
        <w:tc>
          <w:tcPr>
            <w:tcW w:w="810" w:type="dxa"/>
            <w:vAlign w:val="center"/>
          </w:tcPr>
          <w:p w14:paraId="33BDAB12">
            <w:pPr>
              <w:pStyle w:val="30"/>
              <w:widowControl w:val="0"/>
              <w:bidi w:val="0"/>
              <w:rPr>
                <w:color w:val="auto"/>
                <w:lang w:val="en-US" w:eastAsia="en-US"/>
              </w:rPr>
            </w:pPr>
            <w:r>
              <w:rPr>
                <w:color w:val="auto"/>
                <w:lang w:val="en-US" w:eastAsia="en-US"/>
              </w:rPr>
              <w:t>/</w:t>
            </w:r>
          </w:p>
        </w:tc>
        <w:tc>
          <w:tcPr>
            <w:tcW w:w="1649" w:type="dxa"/>
            <w:gridSpan w:val="2"/>
            <w:vAlign w:val="center"/>
          </w:tcPr>
          <w:p w14:paraId="3EE94BFF">
            <w:pPr>
              <w:pStyle w:val="30"/>
              <w:widowControl w:val="0"/>
              <w:bidi w:val="0"/>
              <w:rPr>
                <w:color w:val="auto"/>
                <w:lang w:val="en-US" w:eastAsia="en-US"/>
              </w:rPr>
            </w:pPr>
            <w:r>
              <w:rPr>
                <w:color w:val="auto"/>
                <w:lang w:val="en-US" w:eastAsia="en-US"/>
              </w:rPr>
              <w:t>/</w:t>
            </w:r>
          </w:p>
        </w:tc>
        <w:tc>
          <w:tcPr>
            <w:tcW w:w="1439" w:type="dxa"/>
            <w:vAlign w:val="center"/>
          </w:tcPr>
          <w:p w14:paraId="487386BA">
            <w:pPr>
              <w:pStyle w:val="30"/>
              <w:widowControl w:val="0"/>
              <w:bidi w:val="0"/>
              <w:rPr>
                <w:color w:val="auto"/>
                <w:lang w:val="en-US" w:eastAsia="en-US"/>
              </w:rPr>
            </w:pPr>
            <w:r>
              <w:rPr>
                <w:color w:val="auto"/>
                <w:lang w:val="en-US" w:eastAsia="en-US"/>
              </w:rPr>
              <w:t>（GB3096-2008</w:t>
            </w:r>
            <w:r>
              <w:rPr>
                <w:rFonts w:hint="eastAsia"/>
                <w:color w:val="auto"/>
                <w:lang w:val="en-US" w:eastAsia="zh-CN"/>
              </w:rPr>
              <w:t>）</w:t>
            </w:r>
            <w:r>
              <w:rPr>
                <w:color w:val="auto"/>
                <w:lang w:val="en-US" w:eastAsia="en-US"/>
              </w:rPr>
              <w:t>中3类标准</w:t>
            </w:r>
          </w:p>
        </w:tc>
        <w:tc>
          <w:tcPr>
            <w:tcW w:w="770" w:type="dxa"/>
            <w:vAlign w:val="center"/>
          </w:tcPr>
          <w:p w14:paraId="347E184F">
            <w:pPr>
              <w:pStyle w:val="30"/>
              <w:widowControl w:val="0"/>
              <w:bidi w:val="0"/>
              <w:rPr>
                <w:color w:val="auto"/>
                <w:lang w:val="en-US" w:eastAsia="en-US"/>
              </w:rPr>
            </w:pPr>
            <w:r>
              <w:rPr>
                <w:color w:val="auto"/>
                <w:lang w:val="en-US" w:eastAsia="en-US"/>
              </w:rPr>
              <w:t>/</w:t>
            </w:r>
          </w:p>
        </w:tc>
        <w:tc>
          <w:tcPr>
            <w:tcW w:w="1096" w:type="dxa"/>
            <w:vAlign w:val="center"/>
          </w:tcPr>
          <w:p w14:paraId="207428AB">
            <w:pPr>
              <w:pStyle w:val="30"/>
              <w:widowControl w:val="0"/>
              <w:bidi w:val="0"/>
              <w:rPr>
                <w:color w:val="auto"/>
                <w:lang w:val="en-US" w:eastAsia="en-US"/>
              </w:rPr>
            </w:pPr>
            <w:r>
              <w:rPr>
                <w:color w:val="auto"/>
                <w:lang w:val="en-US" w:eastAsia="en-US"/>
              </w:rPr>
              <w:t>/</w:t>
            </w:r>
          </w:p>
        </w:tc>
      </w:tr>
      <w:tr w14:paraId="70A1FE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689" w:type="dxa"/>
            <w:vAlign w:val="center"/>
          </w:tcPr>
          <w:p w14:paraId="5C89A745">
            <w:pPr>
              <w:pStyle w:val="30"/>
              <w:widowControl w:val="0"/>
              <w:bidi w:val="0"/>
              <w:rPr>
                <w:color w:val="auto"/>
                <w:lang w:val="en-US" w:eastAsia="en-US"/>
              </w:rPr>
            </w:pPr>
            <w:r>
              <w:rPr>
                <w:color w:val="auto"/>
                <w:lang w:val="en-US" w:eastAsia="en-US"/>
              </w:rPr>
              <w:t>土壤环境</w:t>
            </w:r>
          </w:p>
        </w:tc>
        <w:tc>
          <w:tcPr>
            <w:tcW w:w="1964" w:type="dxa"/>
            <w:gridSpan w:val="2"/>
            <w:vAlign w:val="center"/>
          </w:tcPr>
          <w:p w14:paraId="1AF9DC78">
            <w:pPr>
              <w:pStyle w:val="30"/>
              <w:widowControl w:val="0"/>
              <w:bidi w:val="0"/>
              <w:rPr>
                <w:color w:val="auto"/>
                <w:lang w:val="en-US" w:eastAsia="en-US"/>
              </w:rPr>
            </w:pPr>
            <w:r>
              <w:rPr>
                <w:color w:val="auto"/>
                <w:lang w:val="en-US" w:eastAsia="en-US"/>
              </w:rPr>
              <w:t>项目所在区域及周边200m范围</w:t>
            </w:r>
          </w:p>
        </w:tc>
        <w:tc>
          <w:tcPr>
            <w:tcW w:w="705" w:type="dxa"/>
            <w:vAlign w:val="center"/>
          </w:tcPr>
          <w:p w14:paraId="15BD56D1">
            <w:pPr>
              <w:pStyle w:val="30"/>
              <w:widowControl w:val="0"/>
              <w:bidi w:val="0"/>
              <w:rPr>
                <w:color w:val="auto"/>
                <w:lang w:val="en-US" w:eastAsia="en-US"/>
              </w:rPr>
            </w:pPr>
            <w:r>
              <w:rPr>
                <w:color w:val="auto"/>
                <w:lang w:val="en-US" w:eastAsia="en-US"/>
              </w:rPr>
              <w:t>/</w:t>
            </w:r>
          </w:p>
        </w:tc>
        <w:tc>
          <w:tcPr>
            <w:tcW w:w="810" w:type="dxa"/>
            <w:vAlign w:val="center"/>
          </w:tcPr>
          <w:p w14:paraId="50733A41">
            <w:pPr>
              <w:pStyle w:val="30"/>
              <w:widowControl w:val="0"/>
              <w:bidi w:val="0"/>
              <w:rPr>
                <w:color w:val="auto"/>
                <w:lang w:val="en-US" w:eastAsia="en-US"/>
              </w:rPr>
            </w:pPr>
            <w:r>
              <w:rPr>
                <w:color w:val="auto"/>
                <w:lang w:val="en-US" w:eastAsia="en-US"/>
              </w:rPr>
              <w:t>/</w:t>
            </w:r>
          </w:p>
        </w:tc>
        <w:tc>
          <w:tcPr>
            <w:tcW w:w="1649" w:type="dxa"/>
            <w:gridSpan w:val="2"/>
            <w:vAlign w:val="center"/>
          </w:tcPr>
          <w:p w14:paraId="60096FE1">
            <w:pPr>
              <w:pStyle w:val="30"/>
              <w:widowControl w:val="0"/>
              <w:bidi w:val="0"/>
              <w:rPr>
                <w:color w:val="auto"/>
                <w:lang w:val="en-US" w:eastAsia="en-US"/>
              </w:rPr>
            </w:pPr>
            <w:r>
              <w:rPr>
                <w:color w:val="auto"/>
                <w:lang w:val="en-US" w:eastAsia="en-US"/>
              </w:rPr>
              <w:t>/</w:t>
            </w:r>
          </w:p>
        </w:tc>
        <w:tc>
          <w:tcPr>
            <w:tcW w:w="1439" w:type="dxa"/>
            <w:vAlign w:val="center"/>
          </w:tcPr>
          <w:p w14:paraId="641DA751">
            <w:pPr>
              <w:pStyle w:val="30"/>
              <w:widowControl w:val="0"/>
              <w:bidi w:val="0"/>
              <w:rPr>
                <w:color w:val="auto"/>
                <w:lang w:val="en-US" w:eastAsia="en-US"/>
              </w:rPr>
            </w:pPr>
            <w:r>
              <w:rPr>
                <w:color w:val="auto"/>
                <w:lang w:val="en-US" w:eastAsia="en-US"/>
              </w:rPr>
              <w:t>（GB36600-2018）中第二类用地筛选值标准</w:t>
            </w:r>
          </w:p>
        </w:tc>
        <w:tc>
          <w:tcPr>
            <w:tcW w:w="770" w:type="dxa"/>
            <w:vAlign w:val="center"/>
          </w:tcPr>
          <w:p w14:paraId="4BDA03D2">
            <w:pPr>
              <w:pStyle w:val="30"/>
              <w:widowControl w:val="0"/>
              <w:bidi w:val="0"/>
              <w:rPr>
                <w:color w:val="auto"/>
                <w:lang w:val="en-US" w:eastAsia="en-US"/>
              </w:rPr>
            </w:pPr>
            <w:r>
              <w:rPr>
                <w:color w:val="auto"/>
                <w:lang w:val="en-US" w:eastAsia="en-US"/>
              </w:rPr>
              <w:t>/</w:t>
            </w:r>
          </w:p>
        </w:tc>
        <w:tc>
          <w:tcPr>
            <w:tcW w:w="1096" w:type="dxa"/>
            <w:vAlign w:val="center"/>
          </w:tcPr>
          <w:p w14:paraId="24E59C1B">
            <w:pPr>
              <w:pStyle w:val="30"/>
              <w:widowControl w:val="0"/>
              <w:bidi w:val="0"/>
              <w:rPr>
                <w:color w:val="auto"/>
                <w:lang w:val="en-US" w:eastAsia="en-US"/>
              </w:rPr>
            </w:pPr>
            <w:r>
              <w:rPr>
                <w:color w:val="auto"/>
                <w:lang w:val="en-US" w:eastAsia="en-US"/>
              </w:rPr>
              <w:t>/</w:t>
            </w:r>
          </w:p>
        </w:tc>
      </w:tr>
    </w:tbl>
    <w:p w14:paraId="083BD73F">
      <w:pPr>
        <w:bidi w:val="0"/>
        <w:rPr>
          <w:rFonts w:ascii="Times New Roman" w:hAnsi="Times New Roman" w:eastAsia="宋体" w:cs="Times New Roman"/>
          <w:snapToGrid w:val="0"/>
          <w:color w:val="auto"/>
          <w:spacing w:val="6"/>
          <w:kern w:val="0"/>
          <w:szCs w:val="21"/>
          <w:lang w:val="en-US" w:eastAsia="en-US" w:bidi="ar-SA"/>
        </w:rPr>
      </w:pPr>
      <w:r>
        <w:rPr>
          <w:color w:val="auto"/>
          <w:sz w:val="21"/>
          <w:szCs w:val="21"/>
          <w:lang w:val="en-US" w:eastAsia="en-US"/>
        </w:rPr>
        <w:t>备注：以厂区西南角为原点（0,0），东西为X轴，南北为Y轴，东、北为正，西、南为负。</w:t>
      </w:r>
    </w:p>
    <w:p w14:paraId="563BA34D">
      <w:pPr>
        <w:bidi w:val="0"/>
        <w:jc w:val="center"/>
        <w:rPr>
          <w:b/>
          <w:bCs/>
        </w:rPr>
      </w:pPr>
      <w:r>
        <w:rPr>
          <w:b/>
          <w:bCs/>
        </w:rPr>
        <w:t>表2.</w:t>
      </w:r>
      <w:r>
        <w:rPr>
          <w:rFonts w:hint="eastAsia"/>
          <w:b/>
          <w:bCs/>
          <w:lang w:val="en-US" w:eastAsia="zh-CN"/>
        </w:rPr>
        <w:t>6</w:t>
      </w:r>
      <w:r>
        <w:rPr>
          <w:b/>
          <w:bCs/>
        </w:rPr>
        <w:t>-2</w:t>
      </w:r>
      <w:r>
        <w:rPr>
          <w:rFonts w:hint="eastAsia"/>
          <w:b/>
          <w:bCs/>
          <w:lang w:val="en-US" w:eastAsia="zh-CN"/>
        </w:rPr>
        <w:t xml:space="preserve">  </w:t>
      </w:r>
      <w:r>
        <w:rPr>
          <w:b/>
          <w:bCs/>
        </w:rPr>
        <w:t>环境风险受体目标</w:t>
      </w:r>
    </w:p>
    <w:tbl>
      <w:tblPr>
        <w:tblStyle w:val="25"/>
        <w:tblW w:w="9121"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70"/>
        <w:gridCol w:w="634"/>
        <w:gridCol w:w="2773"/>
        <w:gridCol w:w="885"/>
        <w:gridCol w:w="1124"/>
        <w:gridCol w:w="1019"/>
        <w:gridCol w:w="1716"/>
      </w:tblGrid>
      <w:tr w14:paraId="05E4F0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tcBorders>
              <w:tl2br w:val="nil"/>
              <w:tr2bl w:val="nil"/>
            </w:tcBorders>
            <w:vAlign w:val="center"/>
          </w:tcPr>
          <w:p w14:paraId="413CD41A">
            <w:pPr>
              <w:pStyle w:val="30"/>
              <w:widowControl w:val="0"/>
              <w:bidi w:val="0"/>
              <w:rPr>
                <w:b/>
                <w:bCs/>
                <w:color w:val="auto"/>
                <w:lang w:val="en-US" w:eastAsia="en-US"/>
              </w:rPr>
            </w:pPr>
            <w:r>
              <w:rPr>
                <w:b/>
                <w:bCs/>
                <w:color w:val="auto"/>
                <w:lang w:val="en-US" w:eastAsia="en-US"/>
              </w:rPr>
              <w:t>环境要素</w:t>
            </w:r>
          </w:p>
        </w:tc>
        <w:tc>
          <w:tcPr>
            <w:tcW w:w="3407" w:type="dxa"/>
            <w:gridSpan w:val="2"/>
            <w:tcBorders>
              <w:tl2br w:val="nil"/>
              <w:tr2bl w:val="nil"/>
            </w:tcBorders>
            <w:vAlign w:val="center"/>
          </w:tcPr>
          <w:p w14:paraId="75F636BF">
            <w:pPr>
              <w:pStyle w:val="30"/>
              <w:widowControl w:val="0"/>
              <w:bidi w:val="0"/>
              <w:rPr>
                <w:b/>
                <w:bCs/>
                <w:color w:val="auto"/>
                <w:lang w:val="en-US" w:eastAsia="en-US"/>
              </w:rPr>
            </w:pPr>
            <w:r>
              <w:rPr>
                <w:b/>
                <w:bCs/>
                <w:color w:val="auto"/>
                <w:lang w:val="en-US" w:eastAsia="en-US"/>
              </w:rPr>
              <w:t>环境保护目标名称</w:t>
            </w:r>
          </w:p>
        </w:tc>
        <w:tc>
          <w:tcPr>
            <w:tcW w:w="885" w:type="dxa"/>
            <w:tcBorders>
              <w:tl2br w:val="nil"/>
              <w:tr2bl w:val="nil"/>
            </w:tcBorders>
            <w:vAlign w:val="center"/>
          </w:tcPr>
          <w:p w14:paraId="1CDF9F0A">
            <w:pPr>
              <w:pStyle w:val="30"/>
              <w:widowControl w:val="0"/>
              <w:bidi w:val="0"/>
              <w:rPr>
                <w:b/>
                <w:bCs/>
                <w:color w:val="auto"/>
                <w:lang w:val="en-US" w:eastAsia="en-US"/>
              </w:rPr>
            </w:pPr>
            <w:r>
              <w:rPr>
                <w:b/>
                <w:bCs/>
                <w:color w:val="auto"/>
                <w:lang w:val="en-US" w:eastAsia="en-US"/>
              </w:rPr>
              <w:t>相对厂址方位</w:t>
            </w:r>
          </w:p>
        </w:tc>
        <w:tc>
          <w:tcPr>
            <w:tcW w:w="1124" w:type="dxa"/>
            <w:tcBorders>
              <w:tl2br w:val="nil"/>
              <w:tr2bl w:val="nil"/>
            </w:tcBorders>
            <w:vAlign w:val="center"/>
          </w:tcPr>
          <w:p w14:paraId="73CDA782">
            <w:pPr>
              <w:pStyle w:val="30"/>
              <w:widowControl w:val="0"/>
              <w:bidi w:val="0"/>
              <w:rPr>
                <w:b/>
                <w:bCs/>
                <w:color w:val="auto"/>
                <w:lang w:val="en-US" w:eastAsia="en-US"/>
              </w:rPr>
            </w:pPr>
            <w:r>
              <w:rPr>
                <w:b/>
                <w:bCs/>
                <w:color w:val="auto"/>
                <w:lang w:val="en-US" w:eastAsia="en-US"/>
              </w:rPr>
              <w:t>相对厂址距离（m）</w:t>
            </w:r>
          </w:p>
        </w:tc>
        <w:tc>
          <w:tcPr>
            <w:tcW w:w="1019" w:type="dxa"/>
            <w:tcBorders>
              <w:tl2br w:val="nil"/>
              <w:tr2bl w:val="nil"/>
            </w:tcBorders>
            <w:vAlign w:val="center"/>
          </w:tcPr>
          <w:p w14:paraId="61B8115C">
            <w:pPr>
              <w:pStyle w:val="30"/>
              <w:widowControl w:val="0"/>
              <w:bidi w:val="0"/>
              <w:rPr>
                <w:b/>
                <w:bCs/>
                <w:color w:val="auto"/>
                <w:lang w:val="en-US" w:eastAsia="en-US"/>
              </w:rPr>
            </w:pPr>
            <w:r>
              <w:rPr>
                <w:b/>
                <w:bCs/>
                <w:color w:val="auto"/>
                <w:lang w:val="en-US" w:eastAsia="en-US"/>
              </w:rPr>
              <w:t>规模</w:t>
            </w:r>
          </w:p>
        </w:tc>
        <w:tc>
          <w:tcPr>
            <w:tcW w:w="1716" w:type="dxa"/>
            <w:tcBorders>
              <w:tl2br w:val="nil"/>
              <w:tr2bl w:val="nil"/>
            </w:tcBorders>
            <w:vAlign w:val="center"/>
          </w:tcPr>
          <w:p w14:paraId="7FE264AD">
            <w:pPr>
              <w:pStyle w:val="30"/>
              <w:widowControl w:val="0"/>
              <w:bidi w:val="0"/>
              <w:rPr>
                <w:b/>
                <w:bCs/>
                <w:color w:val="auto"/>
                <w:lang w:val="en-US" w:eastAsia="en-US"/>
              </w:rPr>
            </w:pPr>
            <w:r>
              <w:rPr>
                <w:b/>
                <w:bCs/>
                <w:color w:val="auto"/>
                <w:lang w:val="en-US" w:eastAsia="en-US"/>
              </w:rPr>
              <w:t>环境功能及保护级别</w:t>
            </w:r>
          </w:p>
        </w:tc>
      </w:tr>
      <w:tr w14:paraId="16E493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restart"/>
            <w:tcBorders>
              <w:tl2br w:val="nil"/>
              <w:tr2bl w:val="nil"/>
            </w:tcBorders>
            <w:vAlign w:val="center"/>
          </w:tcPr>
          <w:p w14:paraId="5523A856">
            <w:pPr>
              <w:pStyle w:val="30"/>
              <w:widowControl w:val="0"/>
              <w:bidi w:val="0"/>
              <w:rPr>
                <w:color w:val="auto"/>
                <w:lang w:val="en-US" w:eastAsia="en-US"/>
              </w:rPr>
            </w:pPr>
            <w:r>
              <w:rPr>
                <w:color w:val="auto"/>
                <w:lang w:val="en-US" w:eastAsia="en-US"/>
              </w:rPr>
              <w:t>环境风险</w:t>
            </w:r>
          </w:p>
        </w:tc>
        <w:tc>
          <w:tcPr>
            <w:tcW w:w="634" w:type="dxa"/>
            <w:tcBorders>
              <w:tl2br w:val="nil"/>
              <w:tr2bl w:val="nil"/>
            </w:tcBorders>
            <w:vAlign w:val="center"/>
          </w:tcPr>
          <w:p w14:paraId="562AE456">
            <w:pPr>
              <w:pStyle w:val="30"/>
              <w:widowControl w:val="0"/>
              <w:bidi w:val="0"/>
              <w:rPr>
                <w:color w:val="auto"/>
                <w:lang w:val="en-US" w:eastAsia="en-US"/>
              </w:rPr>
            </w:pPr>
            <w:r>
              <w:rPr>
                <w:color w:val="auto"/>
                <w:lang w:val="en-US" w:eastAsia="en-US"/>
              </w:rPr>
              <w:t>1</w:t>
            </w:r>
          </w:p>
        </w:tc>
        <w:tc>
          <w:tcPr>
            <w:tcW w:w="2773" w:type="dxa"/>
            <w:tcBorders>
              <w:tl2br w:val="nil"/>
              <w:tr2bl w:val="nil"/>
            </w:tcBorders>
            <w:vAlign w:val="center"/>
          </w:tcPr>
          <w:p w14:paraId="6DC8C4AD">
            <w:pPr>
              <w:pStyle w:val="30"/>
              <w:widowControl w:val="0"/>
              <w:bidi w:val="0"/>
              <w:rPr>
                <w:color w:val="auto"/>
                <w:lang w:val="en-US" w:eastAsia="en-US"/>
              </w:rPr>
            </w:pPr>
            <w:r>
              <w:rPr>
                <w:color w:val="auto"/>
                <w:lang w:val="en-US" w:eastAsia="en-US"/>
              </w:rPr>
              <w:t>郑化村（规划拆迁，规划中科研用地）</w:t>
            </w:r>
          </w:p>
        </w:tc>
        <w:tc>
          <w:tcPr>
            <w:tcW w:w="885" w:type="dxa"/>
            <w:tcBorders>
              <w:tl2br w:val="nil"/>
              <w:tr2bl w:val="nil"/>
            </w:tcBorders>
            <w:vAlign w:val="center"/>
          </w:tcPr>
          <w:p w14:paraId="51BB255A">
            <w:pPr>
              <w:pStyle w:val="30"/>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3ACA3BBB">
            <w:pPr>
              <w:pStyle w:val="30"/>
              <w:widowControl w:val="0"/>
              <w:bidi w:val="0"/>
              <w:rPr>
                <w:color w:val="auto"/>
                <w:lang w:val="en-US" w:eastAsia="en-US"/>
              </w:rPr>
            </w:pPr>
            <w:r>
              <w:rPr>
                <w:color w:val="auto"/>
                <w:lang w:val="en-US" w:eastAsia="en-US"/>
              </w:rPr>
              <w:t>1246</w:t>
            </w:r>
          </w:p>
        </w:tc>
        <w:tc>
          <w:tcPr>
            <w:tcW w:w="1019" w:type="dxa"/>
            <w:tcBorders>
              <w:tl2br w:val="nil"/>
              <w:tr2bl w:val="nil"/>
            </w:tcBorders>
            <w:vAlign w:val="center"/>
          </w:tcPr>
          <w:p w14:paraId="7B9745C8">
            <w:pPr>
              <w:pStyle w:val="30"/>
              <w:widowControl w:val="0"/>
              <w:bidi w:val="0"/>
              <w:rPr>
                <w:color w:val="auto"/>
                <w:lang w:val="en-US" w:eastAsia="en-US"/>
              </w:rPr>
            </w:pPr>
            <w:r>
              <w:rPr>
                <w:color w:val="auto"/>
                <w:lang w:val="en-US" w:eastAsia="en-US"/>
              </w:rPr>
              <w:t>86人</w:t>
            </w:r>
          </w:p>
        </w:tc>
        <w:tc>
          <w:tcPr>
            <w:tcW w:w="1716" w:type="dxa"/>
            <w:vMerge w:val="restart"/>
            <w:tcBorders>
              <w:tl2br w:val="nil"/>
              <w:tr2bl w:val="nil"/>
            </w:tcBorders>
            <w:vAlign w:val="center"/>
          </w:tcPr>
          <w:p w14:paraId="3D7D470D">
            <w:pPr>
              <w:pStyle w:val="30"/>
              <w:widowControl w:val="0"/>
              <w:bidi w:val="0"/>
              <w:rPr>
                <w:color w:val="auto"/>
                <w:lang w:val="en-US" w:eastAsia="en-US"/>
              </w:rPr>
            </w:pPr>
            <w:r>
              <w:rPr>
                <w:color w:val="auto"/>
                <w:lang w:val="en-US" w:eastAsia="en-US"/>
              </w:rPr>
              <w:t>（</w:t>
            </w:r>
            <w:r>
              <w:rPr>
                <w:rFonts w:hint="eastAsia"/>
                <w:color w:val="auto"/>
                <w:lang w:val="en-US" w:eastAsia="zh-CN"/>
              </w:rPr>
              <w:t>GB3095-2026）</w:t>
            </w:r>
            <w:r>
              <w:rPr>
                <w:color w:val="auto"/>
                <w:lang w:val="en-US" w:eastAsia="en-US"/>
              </w:rPr>
              <w:t>中二级标准</w:t>
            </w:r>
          </w:p>
        </w:tc>
      </w:tr>
      <w:tr w14:paraId="15CD96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ABB5DBD">
            <w:pPr>
              <w:pStyle w:val="30"/>
              <w:widowControl w:val="0"/>
              <w:bidi w:val="0"/>
              <w:rPr>
                <w:color w:val="auto"/>
                <w:lang w:val="en-US" w:eastAsia="en-US"/>
              </w:rPr>
            </w:pPr>
          </w:p>
        </w:tc>
        <w:tc>
          <w:tcPr>
            <w:tcW w:w="634" w:type="dxa"/>
            <w:tcBorders>
              <w:tl2br w:val="nil"/>
              <w:tr2bl w:val="nil"/>
            </w:tcBorders>
            <w:vAlign w:val="center"/>
          </w:tcPr>
          <w:p w14:paraId="7CF3BC56">
            <w:pPr>
              <w:pStyle w:val="30"/>
              <w:widowControl w:val="0"/>
              <w:bidi w:val="0"/>
              <w:rPr>
                <w:color w:val="auto"/>
                <w:lang w:val="en-US" w:eastAsia="en-US"/>
              </w:rPr>
            </w:pPr>
            <w:r>
              <w:rPr>
                <w:color w:val="auto"/>
                <w:lang w:val="en-US" w:eastAsia="en-US"/>
              </w:rPr>
              <w:t>2</w:t>
            </w:r>
          </w:p>
        </w:tc>
        <w:tc>
          <w:tcPr>
            <w:tcW w:w="2773" w:type="dxa"/>
            <w:tcBorders>
              <w:tl2br w:val="nil"/>
              <w:tr2bl w:val="nil"/>
            </w:tcBorders>
            <w:vAlign w:val="center"/>
          </w:tcPr>
          <w:p w14:paraId="1620B700">
            <w:pPr>
              <w:pStyle w:val="30"/>
              <w:widowControl w:val="0"/>
              <w:bidi w:val="0"/>
              <w:rPr>
                <w:color w:val="auto"/>
                <w:lang w:val="en-US" w:eastAsia="en-US"/>
              </w:rPr>
            </w:pPr>
            <w:r>
              <w:rPr>
                <w:color w:val="auto"/>
                <w:lang w:val="en-US" w:eastAsia="en-US"/>
              </w:rPr>
              <w:t>大姚</w:t>
            </w:r>
          </w:p>
        </w:tc>
        <w:tc>
          <w:tcPr>
            <w:tcW w:w="885" w:type="dxa"/>
            <w:tcBorders>
              <w:tl2br w:val="nil"/>
              <w:tr2bl w:val="nil"/>
            </w:tcBorders>
            <w:vAlign w:val="center"/>
          </w:tcPr>
          <w:p w14:paraId="2E08FB15">
            <w:pPr>
              <w:pStyle w:val="30"/>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3413A664">
            <w:pPr>
              <w:pStyle w:val="30"/>
              <w:widowControl w:val="0"/>
              <w:bidi w:val="0"/>
              <w:rPr>
                <w:color w:val="auto"/>
                <w:lang w:val="en-US" w:eastAsia="en-US"/>
              </w:rPr>
            </w:pPr>
            <w:r>
              <w:rPr>
                <w:color w:val="auto"/>
                <w:lang w:val="en-US" w:eastAsia="en-US"/>
              </w:rPr>
              <w:t>1841</w:t>
            </w:r>
          </w:p>
        </w:tc>
        <w:tc>
          <w:tcPr>
            <w:tcW w:w="1019" w:type="dxa"/>
            <w:tcBorders>
              <w:tl2br w:val="nil"/>
              <w:tr2bl w:val="nil"/>
            </w:tcBorders>
            <w:vAlign w:val="center"/>
          </w:tcPr>
          <w:p w14:paraId="6E293309">
            <w:pPr>
              <w:pStyle w:val="30"/>
              <w:widowControl w:val="0"/>
              <w:bidi w:val="0"/>
              <w:rPr>
                <w:color w:val="auto"/>
                <w:lang w:val="en-US" w:eastAsia="en-US"/>
              </w:rPr>
            </w:pPr>
            <w:r>
              <w:rPr>
                <w:color w:val="auto"/>
                <w:lang w:val="en-US" w:eastAsia="en-US"/>
              </w:rPr>
              <w:t>109人</w:t>
            </w:r>
          </w:p>
        </w:tc>
        <w:tc>
          <w:tcPr>
            <w:tcW w:w="1716" w:type="dxa"/>
            <w:vMerge w:val="continue"/>
            <w:tcBorders>
              <w:tl2br w:val="nil"/>
              <w:tr2bl w:val="nil"/>
            </w:tcBorders>
            <w:vAlign w:val="center"/>
          </w:tcPr>
          <w:p w14:paraId="2D6BCC0B">
            <w:pPr>
              <w:pStyle w:val="30"/>
              <w:widowControl w:val="0"/>
              <w:bidi w:val="0"/>
              <w:rPr>
                <w:color w:val="auto"/>
                <w:lang w:val="en-US" w:eastAsia="en-US"/>
              </w:rPr>
            </w:pPr>
          </w:p>
        </w:tc>
      </w:tr>
      <w:tr w14:paraId="7A2D13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C3F72C9">
            <w:pPr>
              <w:pStyle w:val="30"/>
              <w:widowControl w:val="0"/>
              <w:bidi w:val="0"/>
              <w:rPr>
                <w:color w:val="auto"/>
                <w:lang w:val="en-US" w:eastAsia="en-US"/>
              </w:rPr>
            </w:pPr>
          </w:p>
        </w:tc>
        <w:tc>
          <w:tcPr>
            <w:tcW w:w="634" w:type="dxa"/>
            <w:tcBorders>
              <w:tl2br w:val="nil"/>
              <w:tr2bl w:val="nil"/>
            </w:tcBorders>
            <w:vAlign w:val="center"/>
          </w:tcPr>
          <w:p w14:paraId="5859EDF7">
            <w:pPr>
              <w:pStyle w:val="30"/>
              <w:widowControl w:val="0"/>
              <w:bidi w:val="0"/>
              <w:rPr>
                <w:color w:val="auto"/>
                <w:lang w:val="en-US" w:eastAsia="en-US"/>
              </w:rPr>
            </w:pPr>
            <w:r>
              <w:rPr>
                <w:color w:val="auto"/>
                <w:lang w:val="en-US" w:eastAsia="en-US"/>
              </w:rPr>
              <w:t>3</w:t>
            </w:r>
          </w:p>
        </w:tc>
        <w:tc>
          <w:tcPr>
            <w:tcW w:w="2773" w:type="dxa"/>
            <w:tcBorders>
              <w:tl2br w:val="nil"/>
              <w:tr2bl w:val="nil"/>
            </w:tcBorders>
            <w:vAlign w:val="center"/>
          </w:tcPr>
          <w:p w14:paraId="31CF7F80">
            <w:pPr>
              <w:pStyle w:val="30"/>
              <w:widowControl w:val="0"/>
              <w:bidi w:val="0"/>
              <w:rPr>
                <w:color w:val="auto"/>
                <w:lang w:val="en-US" w:eastAsia="en-US"/>
              </w:rPr>
            </w:pPr>
            <w:r>
              <w:rPr>
                <w:color w:val="auto"/>
                <w:lang w:val="en-US" w:eastAsia="en-US"/>
              </w:rPr>
              <w:t>篆沟姚</w:t>
            </w:r>
          </w:p>
        </w:tc>
        <w:tc>
          <w:tcPr>
            <w:tcW w:w="885" w:type="dxa"/>
            <w:tcBorders>
              <w:tl2br w:val="nil"/>
              <w:tr2bl w:val="nil"/>
            </w:tcBorders>
            <w:vAlign w:val="center"/>
          </w:tcPr>
          <w:p w14:paraId="6591EA20">
            <w:pPr>
              <w:pStyle w:val="30"/>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70442648">
            <w:pPr>
              <w:pStyle w:val="30"/>
              <w:widowControl w:val="0"/>
              <w:bidi w:val="0"/>
              <w:rPr>
                <w:color w:val="auto"/>
                <w:lang w:val="en-US" w:eastAsia="en-US"/>
              </w:rPr>
            </w:pPr>
            <w:r>
              <w:rPr>
                <w:color w:val="auto"/>
                <w:lang w:val="en-US" w:eastAsia="en-US"/>
              </w:rPr>
              <w:t>1922</w:t>
            </w:r>
          </w:p>
        </w:tc>
        <w:tc>
          <w:tcPr>
            <w:tcW w:w="1019" w:type="dxa"/>
            <w:tcBorders>
              <w:tl2br w:val="nil"/>
              <w:tr2bl w:val="nil"/>
            </w:tcBorders>
            <w:vAlign w:val="center"/>
          </w:tcPr>
          <w:p w14:paraId="4C54021B">
            <w:pPr>
              <w:pStyle w:val="30"/>
              <w:widowControl w:val="0"/>
              <w:bidi w:val="0"/>
              <w:rPr>
                <w:color w:val="auto"/>
                <w:lang w:val="en-US" w:eastAsia="en-US"/>
              </w:rPr>
            </w:pPr>
            <w:r>
              <w:rPr>
                <w:color w:val="auto"/>
                <w:lang w:val="en-US" w:eastAsia="en-US"/>
              </w:rPr>
              <w:t>56人</w:t>
            </w:r>
          </w:p>
        </w:tc>
        <w:tc>
          <w:tcPr>
            <w:tcW w:w="1716" w:type="dxa"/>
            <w:vMerge w:val="continue"/>
            <w:tcBorders>
              <w:tl2br w:val="nil"/>
              <w:tr2bl w:val="nil"/>
            </w:tcBorders>
            <w:vAlign w:val="center"/>
          </w:tcPr>
          <w:p w14:paraId="7FFEE5B6">
            <w:pPr>
              <w:pStyle w:val="30"/>
              <w:widowControl w:val="0"/>
              <w:bidi w:val="0"/>
              <w:rPr>
                <w:color w:val="auto"/>
                <w:lang w:val="en-US" w:eastAsia="en-US"/>
              </w:rPr>
            </w:pPr>
          </w:p>
        </w:tc>
      </w:tr>
      <w:tr w14:paraId="1E097E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8B39164">
            <w:pPr>
              <w:pStyle w:val="30"/>
              <w:widowControl w:val="0"/>
              <w:bidi w:val="0"/>
              <w:rPr>
                <w:color w:val="auto"/>
                <w:lang w:val="en-US" w:eastAsia="en-US"/>
              </w:rPr>
            </w:pPr>
          </w:p>
        </w:tc>
        <w:tc>
          <w:tcPr>
            <w:tcW w:w="634" w:type="dxa"/>
            <w:tcBorders>
              <w:tl2br w:val="nil"/>
              <w:tr2bl w:val="nil"/>
            </w:tcBorders>
            <w:vAlign w:val="center"/>
          </w:tcPr>
          <w:p w14:paraId="2CC230AF">
            <w:pPr>
              <w:pStyle w:val="30"/>
              <w:widowControl w:val="0"/>
              <w:bidi w:val="0"/>
              <w:rPr>
                <w:color w:val="auto"/>
                <w:lang w:val="en-US" w:eastAsia="en-US"/>
              </w:rPr>
            </w:pPr>
            <w:r>
              <w:rPr>
                <w:color w:val="auto"/>
                <w:lang w:val="en-US" w:eastAsia="en-US"/>
              </w:rPr>
              <w:t>4</w:t>
            </w:r>
          </w:p>
        </w:tc>
        <w:tc>
          <w:tcPr>
            <w:tcW w:w="2773" w:type="dxa"/>
            <w:tcBorders>
              <w:tl2br w:val="nil"/>
              <w:tr2bl w:val="nil"/>
            </w:tcBorders>
            <w:vAlign w:val="center"/>
          </w:tcPr>
          <w:p w14:paraId="31B67187">
            <w:pPr>
              <w:pStyle w:val="30"/>
              <w:widowControl w:val="0"/>
              <w:bidi w:val="0"/>
              <w:rPr>
                <w:color w:val="auto"/>
                <w:lang w:val="en-US" w:eastAsia="en-US"/>
              </w:rPr>
            </w:pPr>
            <w:r>
              <w:rPr>
                <w:color w:val="auto"/>
                <w:lang w:val="en-US" w:eastAsia="en-US"/>
              </w:rPr>
              <w:t>团结</w:t>
            </w:r>
          </w:p>
        </w:tc>
        <w:tc>
          <w:tcPr>
            <w:tcW w:w="885" w:type="dxa"/>
            <w:tcBorders>
              <w:tl2br w:val="nil"/>
              <w:tr2bl w:val="nil"/>
            </w:tcBorders>
            <w:vAlign w:val="center"/>
          </w:tcPr>
          <w:p w14:paraId="2D4B16F1">
            <w:pPr>
              <w:pStyle w:val="30"/>
              <w:widowControl w:val="0"/>
              <w:bidi w:val="0"/>
              <w:rPr>
                <w:color w:val="auto"/>
                <w:lang w:val="en-US" w:eastAsia="en-US"/>
              </w:rPr>
            </w:pPr>
            <w:r>
              <w:rPr>
                <w:color w:val="auto"/>
                <w:lang w:val="en-US" w:eastAsia="en-US"/>
              </w:rPr>
              <w:t>W</w:t>
            </w:r>
          </w:p>
        </w:tc>
        <w:tc>
          <w:tcPr>
            <w:tcW w:w="1124" w:type="dxa"/>
            <w:tcBorders>
              <w:tl2br w:val="nil"/>
              <w:tr2bl w:val="nil"/>
            </w:tcBorders>
            <w:vAlign w:val="center"/>
          </w:tcPr>
          <w:p w14:paraId="2E92EAD4">
            <w:pPr>
              <w:pStyle w:val="30"/>
              <w:widowControl w:val="0"/>
              <w:bidi w:val="0"/>
              <w:rPr>
                <w:color w:val="auto"/>
                <w:lang w:val="en-US" w:eastAsia="en-US"/>
              </w:rPr>
            </w:pPr>
            <w:r>
              <w:rPr>
                <w:color w:val="auto"/>
                <w:lang w:val="en-US" w:eastAsia="en-US"/>
              </w:rPr>
              <w:t>1936</w:t>
            </w:r>
          </w:p>
        </w:tc>
        <w:tc>
          <w:tcPr>
            <w:tcW w:w="1019" w:type="dxa"/>
            <w:tcBorders>
              <w:tl2br w:val="nil"/>
              <w:tr2bl w:val="nil"/>
            </w:tcBorders>
            <w:vAlign w:val="center"/>
          </w:tcPr>
          <w:p w14:paraId="5279D5A6">
            <w:pPr>
              <w:pStyle w:val="30"/>
              <w:widowControl w:val="0"/>
              <w:bidi w:val="0"/>
              <w:rPr>
                <w:color w:val="auto"/>
                <w:lang w:val="en-US" w:eastAsia="en-US"/>
              </w:rPr>
            </w:pPr>
            <w:r>
              <w:rPr>
                <w:color w:val="auto"/>
                <w:lang w:val="en-US" w:eastAsia="en-US"/>
              </w:rPr>
              <w:t>95人</w:t>
            </w:r>
          </w:p>
        </w:tc>
        <w:tc>
          <w:tcPr>
            <w:tcW w:w="1716" w:type="dxa"/>
            <w:vMerge w:val="continue"/>
            <w:tcBorders>
              <w:tl2br w:val="nil"/>
              <w:tr2bl w:val="nil"/>
            </w:tcBorders>
            <w:vAlign w:val="center"/>
          </w:tcPr>
          <w:p w14:paraId="465579E7">
            <w:pPr>
              <w:pStyle w:val="30"/>
              <w:widowControl w:val="0"/>
              <w:bidi w:val="0"/>
              <w:rPr>
                <w:color w:val="auto"/>
                <w:lang w:val="en-US" w:eastAsia="en-US"/>
              </w:rPr>
            </w:pPr>
          </w:p>
        </w:tc>
      </w:tr>
      <w:tr w14:paraId="35A55E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47362E7">
            <w:pPr>
              <w:pStyle w:val="30"/>
              <w:widowControl w:val="0"/>
              <w:bidi w:val="0"/>
              <w:rPr>
                <w:color w:val="auto"/>
                <w:lang w:val="en-US" w:eastAsia="en-US"/>
              </w:rPr>
            </w:pPr>
          </w:p>
        </w:tc>
        <w:tc>
          <w:tcPr>
            <w:tcW w:w="634" w:type="dxa"/>
            <w:tcBorders>
              <w:tl2br w:val="nil"/>
              <w:tr2bl w:val="nil"/>
            </w:tcBorders>
            <w:vAlign w:val="center"/>
          </w:tcPr>
          <w:p w14:paraId="443B3855">
            <w:pPr>
              <w:pStyle w:val="30"/>
              <w:widowControl w:val="0"/>
              <w:bidi w:val="0"/>
              <w:rPr>
                <w:color w:val="auto"/>
                <w:lang w:val="en-US" w:eastAsia="en-US"/>
              </w:rPr>
            </w:pPr>
            <w:r>
              <w:rPr>
                <w:color w:val="auto"/>
                <w:lang w:val="en-US" w:eastAsia="en-US"/>
              </w:rPr>
              <w:t>5</w:t>
            </w:r>
          </w:p>
        </w:tc>
        <w:tc>
          <w:tcPr>
            <w:tcW w:w="2773" w:type="dxa"/>
            <w:tcBorders>
              <w:tl2br w:val="nil"/>
              <w:tr2bl w:val="nil"/>
            </w:tcBorders>
            <w:vAlign w:val="center"/>
          </w:tcPr>
          <w:p w14:paraId="63208765">
            <w:pPr>
              <w:pStyle w:val="30"/>
              <w:widowControl w:val="0"/>
              <w:bidi w:val="0"/>
              <w:rPr>
                <w:color w:val="auto"/>
                <w:lang w:val="en-US" w:eastAsia="en-US"/>
              </w:rPr>
            </w:pPr>
            <w:r>
              <w:rPr>
                <w:color w:val="auto"/>
                <w:lang w:val="en-US" w:eastAsia="en-US"/>
              </w:rPr>
              <w:t>李贵二村</w:t>
            </w:r>
          </w:p>
        </w:tc>
        <w:tc>
          <w:tcPr>
            <w:tcW w:w="885" w:type="dxa"/>
            <w:tcBorders>
              <w:tl2br w:val="nil"/>
              <w:tr2bl w:val="nil"/>
            </w:tcBorders>
            <w:vAlign w:val="center"/>
          </w:tcPr>
          <w:p w14:paraId="458A96E9">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0FB0BEDF">
            <w:pPr>
              <w:pStyle w:val="30"/>
              <w:widowControl w:val="0"/>
              <w:bidi w:val="0"/>
              <w:rPr>
                <w:color w:val="auto"/>
                <w:lang w:val="en-US" w:eastAsia="en-US"/>
              </w:rPr>
            </w:pPr>
            <w:r>
              <w:rPr>
                <w:color w:val="auto"/>
                <w:lang w:val="en-US" w:eastAsia="en-US"/>
              </w:rPr>
              <w:t>2073</w:t>
            </w:r>
          </w:p>
        </w:tc>
        <w:tc>
          <w:tcPr>
            <w:tcW w:w="1019" w:type="dxa"/>
            <w:tcBorders>
              <w:tl2br w:val="nil"/>
              <w:tr2bl w:val="nil"/>
            </w:tcBorders>
            <w:vAlign w:val="center"/>
          </w:tcPr>
          <w:p w14:paraId="7E9A371E">
            <w:pPr>
              <w:pStyle w:val="30"/>
              <w:widowControl w:val="0"/>
              <w:bidi w:val="0"/>
              <w:rPr>
                <w:color w:val="auto"/>
                <w:lang w:val="en-US" w:eastAsia="en-US"/>
              </w:rPr>
            </w:pPr>
            <w:r>
              <w:rPr>
                <w:color w:val="auto"/>
                <w:lang w:val="en-US" w:eastAsia="en-US"/>
              </w:rPr>
              <w:t>313人</w:t>
            </w:r>
          </w:p>
        </w:tc>
        <w:tc>
          <w:tcPr>
            <w:tcW w:w="1716" w:type="dxa"/>
            <w:vMerge w:val="continue"/>
            <w:tcBorders>
              <w:tl2br w:val="nil"/>
              <w:tr2bl w:val="nil"/>
            </w:tcBorders>
            <w:vAlign w:val="center"/>
          </w:tcPr>
          <w:p w14:paraId="5D548FE6">
            <w:pPr>
              <w:pStyle w:val="30"/>
              <w:widowControl w:val="0"/>
              <w:bidi w:val="0"/>
              <w:rPr>
                <w:color w:val="auto"/>
                <w:lang w:val="en-US" w:eastAsia="en-US"/>
              </w:rPr>
            </w:pPr>
          </w:p>
        </w:tc>
      </w:tr>
      <w:tr w14:paraId="2F585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6811CA4">
            <w:pPr>
              <w:pStyle w:val="30"/>
              <w:widowControl w:val="0"/>
              <w:bidi w:val="0"/>
              <w:rPr>
                <w:color w:val="auto"/>
                <w:lang w:val="en-US" w:eastAsia="en-US"/>
              </w:rPr>
            </w:pPr>
          </w:p>
        </w:tc>
        <w:tc>
          <w:tcPr>
            <w:tcW w:w="634" w:type="dxa"/>
            <w:tcBorders>
              <w:tl2br w:val="nil"/>
              <w:tr2bl w:val="nil"/>
            </w:tcBorders>
            <w:vAlign w:val="center"/>
          </w:tcPr>
          <w:p w14:paraId="13D3125A">
            <w:pPr>
              <w:pStyle w:val="30"/>
              <w:widowControl w:val="0"/>
              <w:bidi w:val="0"/>
              <w:rPr>
                <w:color w:val="auto"/>
                <w:lang w:val="en-US" w:eastAsia="en-US"/>
              </w:rPr>
            </w:pPr>
            <w:r>
              <w:rPr>
                <w:color w:val="auto"/>
                <w:lang w:val="en-US" w:eastAsia="en-US"/>
              </w:rPr>
              <w:t>6</w:t>
            </w:r>
          </w:p>
        </w:tc>
        <w:tc>
          <w:tcPr>
            <w:tcW w:w="2773" w:type="dxa"/>
            <w:tcBorders>
              <w:tl2br w:val="nil"/>
              <w:tr2bl w:val="nil"/>
            </w:tcBorders>
            <w:vAlign w:val="center"/>
          </w:tcPr>
          <w:p w14:paraId="274A9CF4">
            <w:pPr>
              <w:pStyle w:val="30"/>
              <w:widowControl w:val="0"/>
              <w:bidi w:val="0"/>
              <w:rPr>
                <w:color w:val="auto"/>
                <w:lang w:val="en-US" w:eastAsia="en-US"/>
              </w:rPr>
            </w:pPr>
            <w:r>
              <w:rPr>
                <w:color w:val="auto"/>
                <w:lang w:val="en-US" w:eastAsia="en-US"/>
              </w:rPr>
              <w:t>北岗村</w:t>
            </w:r>
          </w:p>
        </w:tc>
        <w:tc>
          <w:tcPr>
            <w:tcW w:w="885" w:type="dxa"/>
            <w:tcBorders>
              <w:tl2br w:val="nil"/>
              <w:tr2bl w:val="nil"/>
            </w:tcBorders>
            <w:vAlign w:val="center"/>
          </w:tcPr>
          <w:p w14:paraId="11B0737C">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962C2AA">
            <w:pPr>
              <w:pStyle w:val="30"/>
              <w:widowControl w:val="0"/>
              <w:bidi w:val="0"/>
              <w:rPr>
                <w:color w:val="auto"/>
                <w:lang w:val="en-US" w:eastAsia="en-US"/>
              </w:rPr>
            </w:pPr>
            <w:r>
              <w:rPr>
                <w:color w:val="auto"/>
                <w:lang w:val="en-US" w:eastAsia="en-US"/>
              </w:rPr>
              <w:t>1997</w:t>
            </w:r>
          </w:p>
        </w:tc>
        <w:tc>
          <w:tcPr>
            <w:tcW w:w="1019" w:type="dxa"/>
            <w:tcBorders>
              <w:tl2br w:val="nil"/>
              <w:tr2bl w:val="nil"/>
            </w:tcBorders>
            <w:vAlign w:val="center"/>
          </w:tcPr>
          <w:p w14:paraId="60A96E5E">
            <w:pPr>
              <w:pStyle w:val="30"/>
              <w:widowControl w:val="0"/>
              <w:bidi w:val="0"/>
              <w:rPr>
                <w:color w:val="auto"/>
                <w:lang w:val="en-US" w:eastAsia="en-US"/>
              </w:rPr>
            </w:pPr>
            <w:r>
              <w:rPr>
                <w:color w:val="auto"/>
                <w:lang w:val="en-US" w:eastAsia="en-US"/>
              </w:rPr>
              <w:t>281人</w:t>
            </w:r>
          </w:p>
        </w:tc>
        <w:tc>
          <w:tcPr>
            <w:tcW w:w="1716" w:type="dxa"/>
            <w:vMerge w:val="continue"/>
            <w:tcBorders>
              <w:tl2br w:val="nil"/>
              <w:tr2bl w:val="nil"/>
            </w:tcBorders>
            <w:vAlign w:val="center"/>
          </w:tcPr>
          <w:p w14:paraId="00A81625">
            <w:pPr>
              <w:pStyle w:val="30"/>
              <w:widowControl w:val="0"/>
              <w:bidi w:val="0"/>
              <w:rPr>
                <w:color w:val="auto"/>
                <w:lang w:val="en-US" w:eastAsia="en-US"/>
              </w:rPr>
            </w:pPr>
          </w:p>
        </w:tc>
      </w:tr>
      <w:tr w14:paraId="492ACB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EBDD41E">
            <w:pPr>
              <w:pStyle w:val="30"/>
              <w:widowControl w:val="0"/>
              <w:bidi w:val="0"/>
              <w:rPr>
                <w:color w:val="auto"/>
                <w:lang w:val="en-US" w:eastAsia="en-US"/>
              </w:rPr>
            </w:pPr>
          </w:p>
        </w:tc>
        <w:tc>
          <w:tcPr>
            <w:tcW w:w="634" w:type="dxa"/>
            <w:tcBorders>
              <w:tl2br w:val="nil"/>
              <w:tr2bl w:val="nil"/>
            </w:tcBorders>
            <w:vAlign w:val="center"/>
          </w:tcPr>
          <w:p w14:paraId="60E36C88">
            <w:pPr>
              <w:pStyle w:val="30"/>
              <w:widowControl w:val="0"/>
              <w:bidi w:val="0"/>
              <w:rPr>
                <w:color w:val="auto"/>
                <w:lang w:val="en-US" w:eastAsia="en-US"/>
              </w:rPr>
            </w:pPr>
            <w:r>
              <w:rPr>
                <w:color w:val="auto"/>
                <w:lang w:val="en-US" w:eastAsia="en-US"/>
              </w:rPr>
              <w:t>7</w:t>
            </w:r>
          </w:p>
        </w:tc>
        <w:tc>
          <w:tcPr>
            <w:tcW w:w="2773" w:type="dxa"/>
            <w:tcBorders>
              <w:tl2br w:val="nil"/>
              <w:tr2bl w:val="nil"/>
            </w:tcBorders>
            <w:vAlign w:val="center"/>
          </w:tcPr>
          <w:p w14:paraId="4D72F8C6">
            <w:pPr>
              <w:pStyle w:val="30"/>
              <w:widowControl w:val="0"/>
              <w:bidi w:val="0"/>
              <w:rPr>
                <w:color w:val="auto"/>
                <w:lang w:val="en-US" w:eastAsia="en-US"/>
              </w:rPr>
            </w:pPr>
            <w:r>
              <w:rPr>
                <w:color w:val="auto"/>
                <w:lang w:val="en-US" w:eastAsia="en-US"/>
              </w:rPr>
              <w:t>庄房</w:t>
            </w:r>
          </w:p>
        </w:tc>
        <w:tc>
          <w:tcPr>
            <w:tcW w:w="885" w:type="dxa"/>
            <w:tcBorders>
              <w:tl2br w:val="nil"/>
              <w:tr2bl w:val="nil"/>
            </w:tcBorders>
            <w:vAlign w:val="center"/>
          </w:tcPr>
          <w:p w14:paraId="23D2B6F7">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623F56F7">
            <w:pPr>
              <w:pStyle w:val="30"/>
              <w:widowControl w:val="0"/>
              <w:bidi w:val="0"/>
              <w:rPr>
                <w:color w:val="auto"/>
                <w:lang w:val="en-US" w:eastAsia="en-US"/>
              </w:rPr>
            </w:pPr>
            <w:r>
              <w:rPr>
                <w:color w:val="auto"/>
                <w:lang w:val="en-US" w:eastAsia="en-US"/>
              </w:rPr>
              <w:t>2390</w:t>
            </w:r>
          </w:p>
        </w:tc>
        <w:tc>
          <w:tcPr>
            <w:tcW w:w="1019" w:type="dxa"/>
            <w:tcBorders>
              <w:tl2br w:val="nil"/>
              <w:tr2bl w:val="nil"/>
            </w:tcBorders>
            <w:vAlign w:val="center"/>
          </w:tcPr>
          <w:p w14:paraId="7EDAACB2">
            <w:pPr>
              <w:pStyle w:val="30"/>
              <w:widowControl w:val="0"/>
              <w:bidi w:val="0"/>
              <w:rPr>
                <w:color w:val="auto"/>
                <w:lang w:val="en-US" w:eastAsia="en-US"/>
              </w:rPr>
            </w:pPr>
            <w:r>
              <w:rPr>
                <w:color w:val="auto"/>
                <w:lang w:val="en-US" w:eastAsia="en-US"/>
              </w:rPr>
              <w:t>54人</w:t>
            </w:r>
          </w:p>
        </w:tc>
        <w:tc>
          <w:tcPr>
            <w:tcW w:w="1716" w:type="dxa"/>
            <w:vMerge w:val="continue"/>
            <w:tcBorders>
              <w:tl2br w:val="nil"/>
              <w:tr2bl w:val="nil"/>
            </w:tcBorders>
            <w:vAlign w:val="center"/>
          </w:tcPr>
          <w:p w14:paraId="15620ADA">
            <w:pPr>
              <w:pStyle w:val="30"/>
              <w:widowControl w:val="0"/>
              <w:bidi w:val="0"/>
              <w:rPr>
                <w:color w:val="auto"/>
                <w:lang w:val="en-US" w:eastAsia="en-US"/>
              </w:rPr>
            </w:pPr>
          </w:p>
        </w:tc>
      </w:tr>
      <w:tr w14:paraId="7B44E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7E2FB6C">
            <w:pPr>
              <w:pStyle w:val="30"/>
              <w:widowControl w:val="0"/>
              <w:bidi w:val="0"/>
              <w:rPr>
                <w:color w:val="auto"/>
                <w:lang w:val="en-US" w:eastAsia="en-US"/>
              </w:rPr>
            </w:pPr>
          </w:p>
        </w:tc>
        <w:tc>
          <w:tcPr>
            <w:tcW w:w="634" w:type="dxa"/>
            <w:tcBorders>
              <w:tl2br w:val="nil"/>
              <w:tr2bl w:val="nil"/>
            </w:tcBorders>
            <w:vAlign w:val="center"/>
          </w:tcPr>
          <w:p w14:paraId="1443EAFC">
            <w:pPr>
              <w:pStyle w:val="30"/>
              <w:widowControl w:val="0"/>
              <w:bidi w:val="0"/>
              <w:rPr>
                <w:color w:val="auto"/>
                <w:lang w:val="en-US" w:eastAsia="en-US"/>
              </w:rPr>
            </w:pPr>
            <w:r>
              <w:rPr>
                <w:color w:val="auto"/>
                <w:lang w:val="en-US" w:eastAsia="en-US"/>
              </w:rPr>
              <w:t>8</w:t>
            </w:r>
          </w:p>
        </w:tc>
        <w:tc>
          <w:tcPr>
            <w:tcW w:w="2773" w:type="dxa"/>
            <w:tcBorders>
              <w:tl2br w:val="nil"/>
              <w:tr2bl w:val="nil"/>
            </w:tcBorders>
            <w:vAlign w:val="center"/>
          </w:tcPr>
          <w:p w14:paraId="7A9E03F6">
            <w:pPr>
              <w:pStyle w:val="30"/>
              <w:widowControl w:val="0"/>
              <w:bidi w:val="0"/>
              <w:rPr>
                <w:color w:val="auto"/>
                <w:lang w:val="en-US" w:eastAsia="en-US"/>
              </w:rPr>
            </w:pPr>
            <w:r>
              <w:rPr>
                <w:color w:val="auto"/>
                <w:lang w:val="en-US" w:eastAsia="en-US"/>
              </w:rPr>
              <w:t>祠堂郢（规划拆迁，规划中</w:t>
            </w:r>
          </w:p>
          <w:p w14:paraId="4DEBB90C">
            <w:pPr>
              <w:pStyle w:val="30"/>
              <w:widowControl w:val="0"/>
              <w:bidi w:val="0"/>
              <w:rPr>
                <w:color w:val="auto"/>
                <w:lang w:val="en-US" w:eastAsia="en-US"/>
              </w:rPr>
            </w:pPr>
            <w:r>
              <w:rPr>
                <w:color w:val="auto"/>
                <w:lang w:val="en-US" w:eastAsia="en-US"/>
              </w:rPr>
              <w:t>工业用地）</w:t>
            </w:r>
          </w:p>
        </w:tc>
        <w:tc>
          <w:tcPr>
            <w:tcW w:w="885" w:type="dxa"/>
            <w:tcBorders>
              <w:tl2br w:val="nil"/>
              <w:tr2bl w:val="nil"/>
            </w:tcBorders>
            <w:vAlign w:val="center"/>
          </w:tcPr>
          <w:p w14:paraId="73530912">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774CB7CF">
            <w:pPr>
              <w:pStyle w:val="30"/>
              <w:widowControl w:val="0"/>
              <w:bidi w:val="0"/>
              <w:rPr>
                <w:color w:val="auto"/>
                <w:lang w:val="en-US" w:eastAsia="en-US"/>
              </w:rPr>
            </w:pPr>
            <w:r>
              <w:rPr>
                <w:color w:val="auto"/>
                <w:lang w:val="en-US" w:eastAsia="en-US"/>
              </w:rPr>
              <w:t>1302</w:t>
            </w:r>
          </w:p>
        </w:tc>
        <w:tc>
          <w:tcPr>
            <w:tcW w:w="1019" w:type="dxa"/>
            <w:tcBorders>
              <w:tl2br w:val="nil"/>
              <w:tr2bl w:val="nil"/>
            </w:tcBorders>
            <w:vAlign w:val="center"/>
          </w:tcPr>
          <w:p w14:paraId="53C77E1F">
            <w:pPr>
              <w:pStyle w:val="30"/>
              <w:widowControl w:val="0"/>
              <w:bidi w:val="0"/>
              <w:rPr>
                <w:color w:val="auto"/>
                <w:lang w:val="en-US" w:eastAsia="en-US"/>
              </w:rPr>
            </w:pPr>
            <w:r>
              <w:rPr>
                <w:color w:val="auto"/>
                <w:lang w:val="en-US" w:eastAsia="en-US"/>
              </w:rPr>
              <w:t>81人</w:t>
            </w:r>
          </w:p>
        </w:tc>
        <w:tc>
          <w:tcPr>
            <w:tcW w:w="1716" w:type="dxa"/>
            <w:vMerge w:val="continue"/>
            <w:tcBorders>
              <w:tl2br w:val="nil"/>
              <w:tr2bl w:val="nil"/>
            </w:tcBorders>
            <w:vAlign w:val="center"/>
          </w:tcPr>
          <w:p w14:paraId="635C4706">
            <w:pPr>
              <w:pStyle w:val="30"/>
              <w:widowControl w:val="0"/>
              <w:bidi w:val="0"/>
              <w:rPr>
                <w:color w:val="auto"/>
                <w:lang w:val="en-US" w:eastAsia="en-US"/>
              </w:rPr>
            </w:pPr>
          </w:p>
        </w:tc>
      </w:tr>
      <w:tr w14:paraId="760D66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8E9204E">
            <w:pPr>
              <w:pStyle w:val="30"/>
              <w:widowControl w:val="0"/>
              <w:bidi w:val="0"/>
              <w:rPr>
                <w:color w:val="auto"/>
                <w:lang w:val="en-US" w:eastAsia="en-US"/>
              </w:rPr>
            </w:pPr>
          </w:p>
        </w:tc>
        <w:tc>
          <w:tcPr>
            <w:tcW w:w="634" w:type="dxa"/>
            <w:tcBorders>
              <w:tl2br w:val="nil"/>
              <w:tr2bl w:val="nil"/>
            </w:tcBorders>
            <w:vAlign w:val="center"/>
          </w:tcPr>
          <w:p w14:paraId="6453F89E">
            <w:pPr>
              <w:pStyle w:val="30"/>
              <w:widowControl w:val="0"/>
              <w:bidi w:val="0"/>
              <w:rPr>
                <w:color w:val="auto"/>
                <w:lang w:val="en-US" w:eastAsia="en-US"/>
              </w:rPr>
            </w:pPr>
            <w:r>
              <w:rPr>
                <w:color w:val="auto"/>
                <w:lang w:val="en-US" w:eastAsia="en-US"/>
              </w:rPr>
              <w:t>9</w:t>
            </w:r>
          </w:p>
        </w:tc>
        <w:tc>
          <w:tcPr>
            <w:tcW w:w="2773" w:type="dxa"/>
            <w:tcBorders>
              <w:tl2br w:val="nil"/>
              <w:tr2bl w:val="nil"/>
            </w:tcBorders>
            <w:vAlign w:val="center"/>
          </w:tcPr>
          <w:p w14:paraId="706AFE50">
            <w:pPr>
              <w:pStyle w:val="30"/>
              <w:widowControl w:val="0"/>
              <w:bidi w:val="0"/>
              <w:rPr>
                <w:color w:val="auto"/>
                <w:lang w:val="en-US" w:eastAsia="en-US"/>
              </w:rPr>
            </w:pPr>
            <w:r>
              <w:rPr>
                <w:color w:val="auto"/>
                <w:lang w:val="en-US" w:eastAsia="en-US"/>
              </w:rPr>
              <w:t>大李村</w:t>
            </w:r>
          </w:p>
        </w:tc>
        <w:tc>
          <w:tcPr>
            <w:tcW w:w="885" w:type="dxa"/>
            <w:tcBorders>
              <w:tl2br w:val="nil"/>
              <w:tr2bl w:val="nil"/>
            </w:tcBorders>
            <w:vAlign w:val="center"/>
          </w:tcPr>
          <w:p w14:paraId="5734BC3B">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7D53C271">
            <w:pPr>
              <w:pStyle w:val="30"/>
              <w:widowControl w:val="0"/>
              <w:bidi w:val="0"/>
              <w:rPr>
                <w:color w:val="auto"/>
                <w:lang w:val="en-US" w:eastAsia="en-US"/>
              </w:rPr>
            </w:pPr>
            <w:r>
              <w:rPr>
                <w:color w:val="auto"/>
                <w:lang w:val="en-US" w:eastAsia="en-US"/>
              </w:rPr>
              <w:t>2052</w:t>
            </w:r>
          </w:p>
        </w:tc>
        <w:tc>
          <w:tcPr>
            <w:tcW w:w="1019" w:type="dxa"/>
            <w:tcBorders>
              <w:tl2br w:val="nil"/>
              <w:tr2bl w:val="nil"/>
            </w:tcBorders>
            <w:vAlign w:val="center"/>
          </w:tcPr>
          <w:p w14:paraId="33C22B96">
            <w:pPr>
              <w:pStyle w:val="30"/>
              <w:widowControl w:val="0"/>
              <w:bidi w:val="0"/>
              <w:rPr>
                <w:color w:val="auto"/>
                <w:lang w:val="en-US" w:eastAsia="en-US"/>
              </w:rPr>
            </w:pPr>
            <w:r>
              <w:rPr>
                <w:color w:val="auto"/>
                <w:lang w:val="en-US" w:eastAsia="en-US"/>
              </w:rPr>
              <w:t>121人</w:t>
            </w:r>
          </w:p>
        </w:tc>
        <w:tc>
          <w:tcPr>
            <w:tcW w:w="1716" w:type="dxa"/>
            <w:vMerge w:val="continue"/>
            <w:tcBorders>
              <w:tl2br w:val="nil"/>
              <w:tr2bl w:val="nil"/>
            </w:tcBorders>
            <w:vAlign w:val="center"/>
          </w:tcPr>
          <w:p w14:paraId="227FBE8F">
            <w:pPr>
              <w:pStyle w:val="30"/>
              <w:widowControl w:val="0"/>
              <w:bidi w:val="0"/>
              <w:rPr>
                <w:color w:val="auto"/>
                <w:lang w:val="en-US" w:eastAsia="en-US"/>
              </w:rPr>
            </w:pPr>
          </w:p>
        </w:tc>
      </w:tr>
      <w:tr w14:paraId="304838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F070174">
            <w:pPr>
              <w:pStyle w:val="30"/>
              <w:widowControl w:val="0"/>
              <w:bidi w:val="0"/>
              <w:rPr>
                <w:color w:val="auto"/>
                <w:lang w:val="en-US" w:eastAsia="en-US"/>
              </w:rPr>
            </w:pPr>
          </w:p>
        </w:tc>
        <w:tc>
          <w:tcPr>
            <w:tcW w:w="634" w:type="dxa"/>
            <w:tcBorders>
              <w:tl2br w:val="nil"/>
              <w:tr2bl w:val="nil"/>
            </w:tcBorders>
            <w:vAlign w:val="center"/>
          </w:tcPr>
          <w:p w14:paraId="5A161F6F">
            <w:pPr>
              <w:pStyle w:val="30"/>
              <w:widowControl w:val="0"/>
              <w:bidi w:val="0"/>
              <w:rPr>
                <w:color w:val="auto"/>
                <w:lang w:val="en-US" w:eastAsia="en-US"/>
              </w:rPr>
            </w:pPr>
            <w:r>
              <w:rPr>
                <w:color w:val="auto"/>
                <w:lang w:val="en-US" w:eastAsia="en-US"/>
              </w:rPr>
              <w:t>10</w:t>
            </w:r>
          </w:p>
        </w:tc>
        <w:tc>
          <w:tcPr>
            <w:tcW w:w="2773" w:type="dxa"/>
            <w:tcBorders>
              <w:tl2br w:val="nil"/>
              <w:tr2bl w:val="nil"/>
            </w:tcBorders>
            <w:vAlign w:val="center"/>
          </w:tcPr>
          <w:p w14:paraId="5F09F082">
            <w:pPr>
              <w:pStyle w:val="30"/>
              <w:widowControl w:val="0"/>
              <w:bidi w:val="0"/>
              <w:rPr>
                <w:color w:val="auto"/>
                <w:lang w:val="en-US" w:eastAsia="en-US"/>
              </w:rPr>
            </w:pPr>
            <w:r>
              <w:rPr>
                <w:color w:val="auto"/>
                <w:lang w:val="en-US" w:eastAsia="en-US"/>
              </w:rPr>
              <w:t>王葛村</w:t>
            </w:r>
          </w:p>
        </w:tc>
        <w:tc>
          <w:tcPr>
            <w:tcW w:w="885" w:type="dxa"/>
            <w:tcBorders>
              <w:tl2br w:val="nil"/>
              <w:tr2bl w:val="nil"/>
            </w:tcBorders>
            <w:vAlign w:val="center"/>
          </w:tcPr>
          <w:p w14:paraId="0E576615">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6A27BCB8">
            <w:pPr>
              <w:pStyle w:val="30"/>
              <w:widowControl w:val="0"/>
              <w:bidi w:val="0"/>
              <w:rPr>
                <w:color w:val="auto"/>
                <w:lang w:val="en-US" w:eastAsia="en-US"/>
              </w:rPr>
            </w:pPr>
            <w:r>
              <w:rPr>
                <w:color w:val="auto"/>
                <w:lang w:val="en-US" w:eastAsia="en-US"/>
              </w:rPr>
              <w:t>2105</w:t>
            </w:r>
          </w:p>
        </w:tc>
        <w:tc>
          <w:tcPr>
            <w:tcW w:w="1019" w:type="dxa"/>
            <w:tcBorders>
              <w:tl2br w:val="nil"/>
              <w:tr2bl w:val="nil"/>
            </w:tcBorders>
            <w:vAlign w:val="center"/>
          </w:tcPr>
          <w:p w14:paraId="0FA0D5A6">
            <w:pPr>
              <w:pStyle w:val="30"/>
              <w:widowControl w:val="0"/>
              <w:bidi w:val="0"/>
              <w:rPr>
                <w:color w:val="auto"/>
                <w:lang w:val="en-US" w:eastAsia="en-US"/>
              </w:rPr>
            </w:pPr>
            <w:r>
              <w:rPr>
                <w:color w:val="auto"/>
                <w:lang w:val="en-US" w:eastAsia="en-US"/>
              </w:rPr>
              <w:t>159人</w:t>
            </w:r>
          </w:p>
        </w:tc>
        <w:tc>
          <w:tcPr>
            <w:tcW w:w="1716" w:type="dxa"/>
            <w:vMerge w:val="continue"/>
            <w:tcBorders>
              <w:tl2br w:val="nil"/>
              <w:tr2bl w:val="nil"/>
            </w:tcBorders>
            <w:vAlign w:val="center"/>
          </w:tcPr>
          <w:p w14:paraId="02FBD079">
            <w:pPr>
              <w:pStyle w:val="30"/>
              <w:widowControl w:val="0"/>
              <w:bidi w:val="0"/>
              <w:rPr>
                <w:color w:val="auto"/>
                <w:lang w:val="en-US" w:eastAsia="en-US"/>
              </w:rPr>
            </w:pPr>
          </w:p>
        </w:tc>
      </w:tr>
      <w:tr w14:paraId="1CDF92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18377F7">
            <w:pPr>
              <w:pStyle w:val="30"/>
              <w:widowControl w:val="0"/>
              <w:bidi w:val="0"/>
              <w:rPr>
                <w:color w:val="auto"/>
                <w:lang w:val="en-US" w:eastAsia="en-US"/>
              </w:rPr>
            </w:pPr>
          </w:p>
        </w:tc>
        <w:tc>
          <w:tcPr>
            <w:tcW w:w="634" w:type="dxa"/>
            <w:tcBorders>
              <w:tl2br w:val="nil"/>
              <w:tr2bl w:val="nil"/>
            </w:tcBorders>
            <w:vAlign w:val="center"/>
          </w:tcPr>
          <w:p w14:paraId="6FDB9DA6">
            <w:pPr>
              <w:pStyle w:val="30"/>
              <w:widowControl w:val="0"/>
              <w:bidi w:val="0"/>
              <w:rPr>
                <w:color w:val="auto"/>
                <w:lang w:val="en-US" w:eastAsia="en-US"/>
              </w:rPr>
            </w:pPr>
            <w:r>
              <w:rPr>
                <w:color w:val="auto"/>
                <w:lang w:val="en-US" w:eastAsia="en-US"/>
              </w:rPr>
              <w:t>11</w:t>
            </w:r>
          </w:p>
        </w:tc>
        <w:tc>
          <w:tcPr>
            <w:tcW w:w="2773" w:type="dxa"/>
            <w:tcBorders>
              <w:tl2br w:val="nil"/>
              <w:tr2bl w:val="nil"/>
            </w:tcBorders>
            <w:vAlign w:val="center"/>
          </w:tcPr>
          <w:p w14:paraId="7468DC57">
            <w:pPr>
              <w:pStyle w:val="30"/>
              <w:widowControl w:val="0"/>
              <w:bidi w:val="0"/>
              <w:rPr>
                <w:color w:val="auto"/>
                <w:lang w:val="en-US" w:eastAsia="en-US"/>
              </w:rPr>
            </w:pPr>
            <w:r>
              <w:rPr>
                <w:color w:val="auto"/>
                <w:lang w:val="en-US" w:eastAsia="en-US"/>
              </w:rPr>
              <w:t>塘拐村</w:t>
            </w:r>
          </w:p>
        </w:tc>
        <w:tc>
          <w:tcPr>
            <w:tcW w:w="885" w:type="dxa"/>
            <w:tcBorders>
              <w:tl2br w:val="nil"/>
              <w:tr2bl w:val="nil"/>
            </w:tcBorders>
            <w:vAlign w:val="center"/>
          </w:tcPr>
          <w:p w14:paraId="47C9302A">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1622788F">
            <w:pPr>
              <w:pStyle w:val="30"/>
              <w:widowControl w:val="0"/>
              <w:bidi w:val="0"/>
              <w:rPr>
                <w:color w:val="auto"/>
                <w:lang w:val="en-US" w:eastAsia="en-US"/>
              </w:rPr>
            </w:pPr>
            <w:r>
              <w:rPr>
                <w:color w:val="auto"/>
                <w:lang w:val="en-US" w:eastAsia="en-US"/>
              </w:rPr>
              <w:t>2204</w:t>
            </w:r>
          </w:p>
        </w:tc>
        <w:tc>
          <w:tcPr>
            <w:tcW w:w="1019" w:type="dxa"/>
            <w:tcBorders>
              <w:tl2br w:val="nil"/>
              <w:tr2bl w:val="nil"/>
            </w:tcBorders>
            <w:vAlign w:val="center"/>
          </w:tcPr>
          <w:p w14:paraId="7B0F2CF7">
            <w:pPr>
              <w:pStyle w:val="30"/>
              <w:widowControl w:val="0"/>
              <w:bidi w:val="0"/>
              <w:rPr>
                <w:color w:val="auto"/>
                <w:lang w:val="en-US" w:eastAsia="en-US"/>
              </w:rPr>
            </w:pPr>
            <w:r>
              <w:rPr>
                <w:color w:val="auto"/>
                <w:lang w:val="en-US" w:eastAsia="en-US"/>
              </w:rPr>
              <w:t>148人</w:t>
            </w:r>
          </w:p>
        </w:tc>
        <w:tc>
          <w:tcPr>
            <w:tcW w:w="1716" w:type="dxa"/>
            <w:vMerge w:val="continue"/>
            <w:tcBorders>
              <w:tl2br w:val="nil"/>
              <w:tr2bl w:val="nil"/>
            </w:tcBorders>
            <w:vAlign w:val="center"/>
          </w:tcPr>
          <w:p w14:paraId="57668F98">
            <w:pPr>
              <w:pStyle w:val="30"/>
              <w:widowControl w:val="0"/>
              <w:bidi w:val="0"/>
              <w:rPr>
                <w:color w:val="auto"/>
                <w:lang w:val="en-US" w:eastAsia="en-US"/>
              </w:rPr>
            </w:pPr>
          </w:p>
        </w:tc>
      </w:tr>
      <w:tr w14:paraId="37B542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8678ADC">
            <w:pPr>
              <w:pStyle w:val="30"/>
              <w:widowControl w:val="0"/>
              <w:bidi w:val="0"/>
              <w:rPr>
                <w:color w:val="auto"/>
                <w:lang w:val="en-US" w:eastAsia="en-US"/>
              </w:rPr>
            </w:pPr>
          </w:p>
        </w:tc>
        <w:tc>
          <w:tcPr>
            <w:tcW w:w="634" w:type="dxa"/>
            <w:tcBorders>
              <w:tl2br w:val="nil"/>
              <w:tr2bl w:val="nil"/>
            </w:tcBorders>
            <w:vAlign w:val="center"/>
          </w:tcPr>
          <w:p w14:paraId="560E2927">
            <w:pPr>
              <w:pStyle w:val="30"/>
              <w:widowControl w:val="0"/>
              <w:bidi w:val="0"/>
              <w:rPr>
                <w:color w:val="auto"/>
                <w:lang w:val="en-US" w:eastAsia="en-US"/>
              </w:rPr>
            </w:pPr>
            <w:r>
              <w:rPr>
                <w:color w:val="auto"/>
                <w:lang w:val="en-US" w:eastAsia="en-US"/>
              </w:rPr>
              <w:t>12</w:t>
            </w:r>
          </w:p>
        </w:tc>
        <w:tc>
          <w:tcPr>
            <w:tcW w:w="2773" w:type="dxa"/>
            <w:tcBorders>
              <w:tl2br w:val="nil"/>
              <w:tr2bl w:val="nil"/>
            </w:tcBorders>
            <w:vAlign w:val="center"/>
          </w:tcPr>
          <w:p w14:paraId="2D4A59D6">
            <w:pPr>
              <w:pStyle w:val="30"/>
              <w:widowControl w:val="0"/>
              <w:bidi w:val="0"/>
              <w:rPr>
                <w:color w:val="auto"/>
                <w:lang w:val="en-US" w:eastAsia="en-US"/>
              </w:rPr>
            </w:pPr>
            <w:r>
              <w:rPr>
                <w:color w:val="auto"/>
                <w:lang w:val="en-US" w:eastAsia="en-US"/>
              </w:rPr>
              <w:t>骆晋村</w:t>
            </w:r>
          </w:p>
        </w:tc>
        <w:tc>
          <w:tcPr>
            <w:tcW w:w="885" w:type="dxa"/>
            <w:tcBorders>
              <w:tl2br w:val="nil"/>
              <w:tr2bl w:val="nil"/>
            </w:tcBorders>
            <w:vAlign w:val="center"/>
          </w:tcPr>
          <w:p w14:paraId="7657BF8E">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06CFAE0F">
            <w:pPr>
              <w:pStyle w:val="30"/>
              <w:widowControl w:val="0"/>
              <w:bidi w:val="0"/>
              <w:rPr>
                <w:color w:val="auto"/>
                <w:lang w:val="en-US" w:eastAsia="en-US"/>
              </w:rPr>
            </w:pPr>
            <w:r>
              <w:rPr>
                <w:color w:val="auto"/>
                <w:lang w:val="en-US" w:eastAsia="en-US"/>
              </w:rPr>
              <w:t>2381</w:t>
            </w:r>
          </w:p>
        </w:tc>
        <w:tc>
          <w:tcPr>
            <w:tcW w:w="1019" w:type="dxa"/>
            <w:tcBorders>
              <w:tl2br w:val="nil"/>
              <w:tr2bl w:val="nil"/>
            </w:tcBorders>
            <w:vAlign w:val="center"/>
          </w:tcPr>
          <w:p w14:paraId="31AF020F">
            <w:pPr>
              <w:pStyle w:val="30"/>
              <w:widowControl w:val="0"/>
              <w:bidi w:val="0"/>
              <w:rPr>
                <w:color w:val="auto"/>
                <w:lang w:val="en-US" w:eastAsia="en-US"/>
              </w:rPr>
            </w:pPr>
            <w:r>
              <w:rPr>
                <w:color w:val="auto"/>
                <w:lang w:val="en-US" w:eastAsia="en-US"/>
              </w:rPr>
              <w:t>324人</w:t>
            </w:r>
          </w:p>
        </w:tc>
        <w:tc>
          <w:tcPr>
            <w:tcW w:w="1716" w:type="dxa"/>
            <w:vMerge w:val="continue"/>
            <w:tcBorders>
              <w:tl2br w:val="nil"/>
              <w:tr2bl w:val="nil"/>
            </w:tcBorders>
            <w:vAlign w:val="center"/>
          </w:tcPr>
          <w:p w14:paraId="6A2A880C">
            <w:pPr>
              <w:pStyle w:val="30"/>
              <w:widowControl w:val="0"/>
              <w:bidi w:val="0"/>
              <w:rPr>
                <w:color w:val="auto"/>
                <w:lang w:val="en-US" w:eastAsia="en-US"/>
              </w:rPr>
            </w:pPr>
          </w:p>
        </w:tc>
      </w:tr>
      <w:tr w14:paraId="7BB7A7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5F45C24">
            <w:pPr>
              <w:pStyle w:val="30"/>
              <w:widowControl w:val="0"/>
              <w:bidi w:val="0"/>
              <w:rPr>
                <w:color w:val="auto"/>
                <w:lang w:val="en-US" w:eastAsia="en-US"/>
              </w:rPr>
            </w:pPr>
          </w:p>
        </w:tc>
        <w:tc>
          <w:tcPr>
            <w:tcW w:w="634" w:type="dxa"/>
            <w:tcBorders>
              <w:tl2br w:val="nil"/>
              <w:tr2bl w:val="nil"/>
            </w:tcBorders>
            <w:vAlign w:val="center"/>
          </w:tcPr>
          <w:p w14:paraId="4B519740">
            <w:pPr>
              <w:pStyle w:val="30"/>
              <w:widowControl w:val="0"/>
              <w:bidi w:val="0"/>
              <w:rPr>
                <w:color w:val="auto"/>
                <w:lang w:val="en-US" w:eastAsia="en-US"/>
              </w:rPr>
            </w:pPr>
            <w:r>
              <w:rPr>
                <w:color w:val="auto"/>
                <w:lang w:val="en-US" w:eastAsia="en-US"/>
              </w:rPr>
              <w:t>13</w:t>
            </w:r>
          </w:p>
        </w:tc>
        <w:tc>
          <w:tcPr>
            <w:tcW w:w="2773" w:type="dxa"/>
            <w:tcBorders>
              <w:tl2br w:val="nil"/>
              <w:tr2bl w:val="nil"/>
            </w:tcBorders>
            <w:vAlign w:val="center"/>
          </w:tcPr>
          <w:p w14:paraId="44149272">
            <w:pPr>
              <w:pStyle w:val="30"/>
              <w:widowControl w:val="0"/>
              <w:bidi w:val="0"/>
              <w:rPr>
                <w:color w:val="auto"/>
                <w:lang w:val="en-US" w:eastAsia="en-US"/>
              </w:rPr>
            </w:pPr>
            <w:r>
              <w:rPr>
                <w:color w:val="auto"/>
                <w:lang w:val="en-US" w:eastAsia="en-US"/>
              </w:rPr>
              <w:t>横杜村</w:t>
            </w:r>
          </w:p>
        </w:tc>
        <w:tc>
          <w:tcPr>
            <w:tcW w:w="885" w:type="dxa"/>
            <w:tcBorders>
              <w:tl2br w:val="nil"/>
              <w:tr2bl w:val="nil"/>
            </w:tcBorders>
            <w:vAlign w:val="center"/>
          </w:tcPr>
          <w:p w14:paraId="65C5D999">
            <w:pPr>
              <w:pStyle w:val="30"/>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4B95149E">
            <w:pPr>
              <w:pStyle w:val="30"/>
              <w:widowControl w:val="0"/>
              <w:bidi w:val="0"/>
              <w:rPr>
                <w:color w:val="auto"/>
                <w:lang w:val="en-US" w:eastAsia="en-US"/>
              </w:rPr>
            </w:pPr>
            <w:r>
              <w:rPr>
                <w:color w:val="auto"/>
                <w:lang w:val="en-US" w:eastAsia="en-US"/>
              </w:rPr>
              <w:t>2694</w:t>
            </w:r>
          </w:p>
        </w:tc>
        <w:tc>
          <w:tcPr>
            <w:tcW w:w="1019" w:type="dxa"/>
            <w:tcBorders>
              <w:tl2br w:val="nil"/>
              <w:tr2bl w:val="nil"/>
            </w:tcBorders>
            <w:vAlign w:val="center"/>
          </w:tcPr>
          <w:p w14:paraId="13826B6D">
            <w:pPr>
              <w:pStyle w:val="30"/>
              <w:widowControl w:val="0"/>
              <w:bidi w:val="0"/>
              <w:rPr>
                <w:color w:val="auto"/>
                <w:lang w:val="en-US" w:eastAsia="en-US"/>
              </w:rPr>
            </w:pPr>
            <w:r>
              <w:rPr>
                <w:color w:val="auto"/>
                <w:lang w:val="en-US" w:eastAsia="en-US"/>
              </w:rPr>
              <w:t>26人</w:t>
            </w:r>
          </w:p>
        </w:tc>
        <w:tc>
          <w:tcPr>
            <w:tcW w:w="1716" w:type="dxa"/>
            <w:vMerge w:val="continue"/>
            <w:tcBorders>
              <w:tl2br w:val="nil"/>
              <w:tr2bl w:val="nil"/>
            </w:tcBorders>
            <w:vAlign w:val="center"/>
          </w:tcPr>
          <w:p w14:paraId="1514768B">
            <w:pPr>
              <w:pStyle w:val="30"/>
              <w:widowControl w:val="0"/>
              <w:bidi w:val="0"/>
              <w:rPr>
                <w:color w:val="auto"/>
                <w:lang w:val="en-US" w:eastAsia="en-US"/>
              </w:rPr>
            </w:pPr>
          </w:p>
        </w:tc>
      </w:tr>
      <w:tr w14:paraId="00483B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27297BA">
            <w:pPr>
              <w:pStyle w:val="30"/>
              <w:widowControl w:val="0"/>
              <w:bidi w:val="0"/>
              <w:rPr>
                <w:color w:val="auto"/>
                <w:lang w:val="en-US" w:eastAsia="en-US"/>
              </w:rPr>
            </w:pPr>
          </w:p>
        </w:tc>
        <w:tc>
          <w:tcPr>
            <w:tcW w:w="634" w:type="dxa"/>
            <w:tcBorders>
              <w:tl2br w:val="nil"/>
              <w:tr2bl w:val="nil"/>
            </w:tcBorders>
            <w:vAlign w:val="center"/>
          </w:tcPr>
          <w:p w14:paraId="76433D6A">
            <w:pPr>
              <w:pStyle w:val="30"/>
              <w:widowControl w:val="0"/>
              <w:bidi w:val="0"/>
              <w:rPr>
                <w:color w:val="auto"/>
                <w:lang w:val="en-US" w:eastAsia="en-US"/>
              </w:rPr>
            </w:pPr>
            <w:r>
              <w:rPr>
                <w:color w:val="auto"/>
                <w:lang w:val="en-US" w:eastAsia="en-US"/>
              </w:rPr>
              <w:t>14</w:t>
            </w:r>
          </w:p>
        </w:tc>
        <w:tc>
          <w:tcPr>
            <w:tcW w:w="2773" w:type="dxa"/>
            <w:tcBorders>
              <w:tl2br w:val="nil"/>
              <w:tr2bl w:val="nil"/>
            </w:tcBorders>
            <w:vAlign w:val="center"/>
          </w:tcPr>
          <w:p w14:paraId="6EBB19A2">
            <w:pPr>
              <w:pStyle w:val="30"/>
              <w:widowControl w:val="0"/>
              <w:bidi w:val="0"/>
              <w:rPr>
                <w:color w:val="auto"/>
                <w:lang w:val="en-US" w:eastAsia="en-US"/>
              </w:rPr>
            </w:pPr>
            <w:r>
              <w:rPr>
                <w:color w:val="auto"/>
                <w:lang w:val="en-US" w:eastAsia="en-US"/>
              </w:rPr>
              <w:t>新庄</w:t>
            </w:r>
          </w:p>
        </w:tc>
        <w:tc>
          <w:tcPr>
            <w:tcW w:w="885" w:type="dxa"/>
            <w:tcBorders>
              <w:tl2br w:val="nil"/>
              <w:tr2bl w:val="nil"/>
            </w:tcBorders>
            <w:vAlign w:val="center"/>
          </w:tcPr>
          <w:p w14:paraId="301DD1C2">
            <w:pPr>
              <w:pStyle w:val="30"/>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7F410506">
            <w:pPr>
              <w:pStyle w:val="30"/>
              <w:widowControl w:val="0"/>
              <w:bidi w:val="0"/>
              <w:rPr>
                <w:color w:val="auto"/>
                <w:lang w:val="en-US" w:eastAsia="en-US"/>
              </w:rPr>
            </w:pPr>
            <w:r>
              <w:rPr>
                <w:color w:val="auto"/>
                <w:lang w:val="en-US" w:eastAsia="en-US"/>
              </w:rPr>
              <w:t>2992</w:t>
            </w:r>
          </w:p>
        </w:tc>
        <w:tc>
          <w:tcPr>
            <w:tcW w:w="1019" w:type="dxa"/>
            <w:tcBorders>
              <w:tl2br w:val="nil"/>
              <w:tr2bl w:val="nil"/>
            </w:tcBorders>
            <w:vAlign w:val="center"/>
          </w:tcPr>
          <w:p w14:paraId="085BE970">
            <w:pPr>
              <w:pStyle w:val="30"/>
              <w:widowControl w:val="0"/>
              <w:bidi w:val="0"/>
              <w:rPr>
                <w:color w:val="auto"/>
                <w:lang w:val="en-US" w:eastAsia="en-US"/>
              </w:rPr>
            </w:pPr>
            <w:r>
              <w:rPr>
                <w:color w:val="auto"/>
                <w:lang w:val="en-US" w:eastAsia="en-US"/>
              </w:rPr>
              <w:t>26人</w:t>
            </w:r>
          </w:p>
        </w:tc>
        <w:tc>
          <w:tcPr>
            <w:tcW w:w="1716" w:type="dxa"/>
            <w:vMerge w:val="continue"/>
            <w:tcBorders>
              <w:tl2br w:val="nil"/>
              <w:tr2bl w:val="nil"/>
            </w:tcBorders>
            <w:vAlign w:val="center"/>
          </w:tcPr>
          <w:p w14:paraId="3F3163E4">
            <w:pPr>
              <w:pStyle w:val="30"/>
              <w:widowControl w:val="0"/>
              <w:bidi w:val="0"/>
              <w:rPr>
                <w:color w:val="auto"/>
                <w:lang w:val="en-US" w:eastAsia="en-US"/>
              </w:rPr>
            </w:pPr>
          </w:p>
        </w:tc>
      </w:tr>
      <w:tr w14:paraId="0A7EEA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E12AE47">
            <w:pPr>
              <w:pStyle w:val="30"/>
              <w:widowControl w:val="0"/>
              <w:bidi w:val="0"/>
              <w:rPr>
                <w:color w:val="auto"/>
                <w:lang w:val="en-US" w:eastAsia="en-US"/>
              </w:rPr>
            </w:pPr>
          </w:p>
        </w:tc>
        <w:tc>
          <w:tcPr>
            <w:tcW w:w="634" w:type="dxa"/>
            <w:tcBorders>
              <w:tl2br w:val="nil"/>
              <w:tr2bl w:val="nil"/>
            </w:tcBorders>
            <w:vAlign w:val="center"/>
          </w:tcPr>
          <w:p w14:paraId="708481C2">
            <w:pPr>
              <w:pStyle w:val="30"/>
              <w:widowControl w:val="0"/>
              <w:bidi w:val="0"/>
              <w:rPr>
                <w:color w:val="auto"/>
                <w:lang w:val="en-US" w:eastAsia="en-US"/>
              </w:rPr>
            </w:pPr>
            <w:r>
              <w:rPr>
                <w:color w:val="auto"/>
                <w:lang w:val="en-US" w:eastAsia="en-US"/>
              </w:rPr>
              <w:t>15</w:t>
            </w:r>
          </w:p>
        </w:tc>
        <w:tc>
          <w:tcPr>
            <w:tcW w:w="2773" w:type="dxa"/>
            <w:tcBorders>
              <w:tl2br w:val="nil"/>
              <w:tr2bl w:val="nil"/>
            </w:tcBorders>
            <w:vAlign w:val="center"/>
          </w:tcPr>
          <w:p w14:paraId="1B6D2B8A">
            <w:pPr>
              <w:pStyle w:val="30"/>
              <w:widowControl w:val="0"/>
              <w:bidi w:val="0"/>
              <w:rPr>
                <w:color w:val="auto"/>
                <w:lang w:val="en-US" w:eastAsia="en-US"/>
              </w:rPr>
            </w:pPr>
            <w:r>
              <w:rPr>
                <w:color w:val="auto"/>
                <w:lang w:val="en-US" w:eastAsia="en-US"/>
              </w:rPr>
              <w:t>竹塘村</w:t>
            </w:r>
          </w:p>
        </w:tc>
        <w:tc>
          <w:tcPr>
            <w:tcW w:w="885" w:type="dxa"/>
            <w:tcBorders>
              <w:tl2br w:val="nil"/>
              <w:tr2bl w:val="nil"/>
            </w:tcBorders>
            <w:vAlign w:val="center"/>
          </w:tcPr>
          <w:p w14:paraId="7EA83A08">
            <w:pPr>
              <w:pStyle w:val="30"/>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1982C988">
            <w:pPr>
              <w:pStyle w:val="30"/>
              <w:widowControl w:val="0"/>
              <w:bidi w:val="0"/>
              <w:rPr>
                <w:color w:val="auto"/>
                <w:lang w:val="en-US" w:eastAsia="en-US"/>
              </w:rPr>
            </w:pPr>
            <w:r>
              <w:rPr>
                <w:color w:val="auto"/>
                <w:lang w:val="en-US" w:eastAsia="en-US"/>
              </w:rPr>
              <w:t>3380</w:t>
            </w:r>
          </w:p>
        </w:tc>
        <w:tc>
          <w:tcPr>
            <w:tcW w:w="1019" w:type="dxa"/>
            <w:tcBorders>
              <w:tl2br w:val="nil"/>
              <w:tr2bl w:val="nil"/>
            </w:tcBorders>
            <w:vAlign w:val="center"/>
          </w:tcPr>
          <w:p w14:paraId="62570C49">
            <w:pPr>
              <w:pStyle w:val="30"/>
              <w:widowControl w:val="0"/>
              <w:bidi w:val="0"/>
              <w:rPr>
                <w:color w:val="auto"/>
                <w:lang w:val="en-US" w:eastAsia="en-US"/>
              </w:rPr>
            </w:pPr>
            <w:r>
              <w:rPr>
                <w:color w:val="auto"/>
                <w:lang w:val="en-US" w:eastAsia="en-US"/>
              </w:rPr>
              <w:t>747人</w:t>
            </w:r>
          </w:p>
        </w:tc>
        <w:tc>
          <w:tcPr>
            <w:tcW w:w="1716" w:type="dxa"/>
            <w:vMerge w:val="continue"/>
            <w:tcBorders>
              <w:tl2br w:val="nil"/>
              <w:tr2bl w:val="nil"/>
            </w:tcBorders>
            <w:vAlign w:val="center"/>
          </w:tcPr>
          <w:p w14:paraId="40A48840">
            <w:pPr>
              <w:pStyle w:val="30"/>
              <w:widowControl w:val="0"/>
              <w:bidi w:val="0"/>
              <w:rPr>
                <w:color w:val="auto"/>
                <w:lang w:val="en-US" w:eastAsia="en-US"/>
              </w:rPr>
            </w:pPr>
          </w:p>
        </w:tc>
      </w:tr>
      <w:tr w14:paraId="2CB5D7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9604DBE">
            <w:pPr>
              <w:pStyle w:val="30"/>
              <w:widowControl w:val="0"/>
              <w:bidi w:val="0"/>
              <w:rPr>
                <w:color w:val="auto"/>
                <w:lang w:val="en-US" w:eastAsia="en-US"/>
              </w:rPr>
            </w:pPr>
          </w:p>
        </w:tc>
        <w:tc>
          <w:tcPr>
            <w:tcW w:w="634" w:type="dxa"/>
            <w:tcBorders>
              <w:tl2br w:val="nil"/>
              <w:tr2bl w:val="nil"/>
            </w:tcBorders>
            <w:vAlign w:val="center"/>
          </w:tcPr>
          <w:p w14:paraId="65A22030">
            <w:pPr>
              <w:pStyle w:val="30"/>
              <w:widowControl w:val="0"/>
              <w:bidi w:val="0"/>
              <w:rPr>
                <w:color w:val="auto"/>
                <w:lang w:val="en-US" w:eastAsia="en-US"/>
              </w:rPr>
            </w:pPr>
            <w:r>
              <w:rPr>
                <w:color w:val="auto"/>
                <w:lang w:val="en-US" w:eastAsia="en-US"/>
              </w:rPr>
              <w:t>16</w:t>
            </w:r>
          </w:p>
        </w:tc>
        <w:tc>
          <w:tcPr>
            <w:tcW w:w="2773" w:type="dxa"/>
            <w:tcBorders>
              <w:tl2br w:val="nil"/>
              <w:tr2bl w:val="nil"/>
            </w:tcBorders>
            <w:vAlign w:val="center"/>
          </w:tcPr>
          <w:p w14:paraId="3B9A542D">
            <w:pPr>
              <w:pStyle w:val="30"/>
              <w:widowControl w:val="0"/>
              <w:bidi w:val="0"/>
              <w:rPr>
                <w:color w:val="auto"/>
                <w:lang w:val="en-US" w:eastAsia="en-US"/>
              </w:rPr>
            </w:pPr>
            <w:r>
              <w:rPr>
                <w:color w:val="auto"/>
                <w:lang w:val="en-US" w:eastAsia="en-US"/>
              </w:rPr>
              <w:t>小周家</w:t>
            </w:r>
          </w:p>
        </w:tc>
        <w:tc>
          <w:tcPr>
            <w:tcW w:w="885" w:type="dxa"/>
            <w:tcBorders>
              <w:tl2br w:val="nil"/>
              <w:tr2bl w:val="nil"/>
            </w:tcBorders>
            <w:vAlign w:val="center"/>
          </w:tcPr>
          <w:p w14:paraId="43110756">
            <w:pPr>
              <w:pStyle w:val="30"/>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7CFA9F96">
            <w:pPr>
              <w:pStyle w:val="30"/>
              <w:widowControl w:val="0"/>
              <w:bidi w:val="0"/>
              <w:rPr>
                <w:color w:val="auto"/>
                <w:lang w:val="en-US" w:eastAsia="en-US"/>
              </w:rPr>
            </w:pPr>
            <w:r>
              <w:rPr>
                <w:color w:val="auto"/>
                <w:lang w:val="en-US" w:eastAsia="en-US"/>
              </w:rPr>
              <w:t>3904</w:t>
            </w:r>
          </w:p>
        </w:tc>
        <w:tc>
          <w:tcPr>
            <w:tcW w:w="1019" w:type="dxa"/>
            <w:tcBorders>
              <w:tl2br w:val="nil"/>
              <w:tr2bl w:val="nil"/>
            </w:tcBorders>
            <w:vAlign w:val="center"/>
          </w:tcPr>
          <w:p w14:paraId="15DCAC5D">
            <w:pPr>
              <w:pStyle w:val="30"/>
              <w:widowControl w:val="0"/>
              <w:bidi w:val="0"/>
              <w:rPr>
                <w:color w:val="auto"/>
                <w:lang w:val="en-US" w:eastAsia="en-US"/>
              </w:rPr>
            </w:pPr>
            <w:r>
              <w:rPr>
                <w:color w:val="auto"/>
                <w:lang w:val="en-US" w:eastAsia="en-US"/>
              </w:rPr>
              <w:t>36人</w:t>
            </w:r>
          </w:p>
        </w:tc>
        <w:tc>
          <w:tcPr>
            <w:tcW w:w="1716" w:type="dxa"/>
            <w:vMerge w:val="continue"/>
            <w:tcBorders>
              <w:tl2br w:val="nil"/>
              <w:tr2bl w:val="nil"/>
            </w:tcBorders>
            <w:vAlign w:val="center"/>
          </w:tcPr>
          <w:p w14:paraId="736787E1">
            <w:pPr>
              <w:pStyle w:val="30"/>
              <w:widowControl w:val="0"/>
              <w:bidi w:val="0"/>
              <w:rPr>
                <w:color w:val="auto"/>
                <w:lang w:val="en-US" w:eastAsia="en-US"/>
              </w:rPr>
            </w:pPr>
          </w:p>
        </w:tc>
      </w:tr>
      <w:tr w14:paraId="2C5663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1F1A242">
            <w:pPr>
              <w:pStyle w:val="30"/>
              <w:widowControl w:val="0"/>
              <w:bidi w:val="0"/>
              <w:rPr>
                <w:color w:val="auto"/>
                <w:lang w:val="en-US" w:eastAsia="en-US"/>
              </w:rPr>
            </w:pPr>
          </w:p>
        </w:tc>
        <w:tc>
          <w:tcPr>
            <w:tcW w:w="634" w:type="dxa"/>
            <w:tcBorders>
              <w:tl2br w:val="nil"/>
              <w:tr2bl w:val="nil"/>
            </w:tcBorders>
            <w:vAlign w:val="center"/>
          </w:tcPr>
          <w:p w14:paraId="47C19547">
            <w:pPr>
              <w:pStyle w:val="30"/>
              <w:widowControl w:val="0"/>
              <w:bidi w:val="0"/>
              <w:rPr>
                <w:color w:val="auto"/>
                <w:lang w:val="en-US" w:eastAsia="en-US"/>
              </w:rPr>
            </w:pPr>
            <w:r>
              <w:rPr>
                <w:color w:val="auto"/>
                <w:lang w:val="en-US" w:eastAsia="en-US"/>
              </w:rPr>
              <w:t>17</w:t>
            </w:r>
          </w:p>
        </w:tc>
        <w:tc>
          <w:tcPr>
            <w:tcW w:w="2773" w:type="dxa"/>
            <w:tcBorders>
              <w:tl2br w:val="nil"/>
              <w:tr2bl w:val="nil"/>
            </w:tcBorders>
            <w:vAlign w:val="center"/>
          </w:tcPr>
          <w:p w14:paraId="6B2A29F6">
            <w:pPr>
              <w:pStyle w:val="30"/>
              <w:widowControl w:val="0"/>
              <w:bidi w:val="0"/>
              <w:rPr>
                <w:color w:val="auto"/>
                <w:lang w:val="en-US" w:eastAsia="en-US"/>
              </w:rPr>
            </w:pPr>
            <w:r>
              <w:rPr>
                <w:color w:val="auto"/>
                <w:lang w:val="en-US" w:eastAsia="en-US"/>
              </w:rPr>
              <w:t>朝西姚</w:t>
            </w:r>
          </w:p>
        </w:tc>
        <w:tc>
          <w:tcPr>
            <w:tcW w:w="885" w:type="dxa"/>
            <w:tcBorders>
              <w:tl2br w:val="nil"/>
              <w:tr2bl w:val="nil"/>
            </w:tcBorders>
            <w:vAlign w:val="center"/>
          </w:tcPr>
          <w:p w14:paraId="66C3455A">
            <w:pPr>
              <w:pStyle w:val="30"/>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160AC31C">
            <w:pPr>
              <w:pStyle w:val="30"/>
              <w:widowControl w:val="0"/>
              <w:bidi w:val="0"/>
              <w:rPr>
                <w:color w:val="auto"/>
                <w:lang w:val="en-US" w:eastAsia="en-US"/>
              </w:rPr>
            </w:pPr>
            <w:r>
              <w:rPr>
                <w:color w:val="auto"/>
                <w:lang w:val="en-US" w:eastAsia="en-US"/>
              </w:rPr>
              <w:t>4338</w:t>
            </w:r>
          </w:p>
        </w:tc>
        <w:tc>
          <w:tcPr>
            <w:tcW w:w="1019" w:type="dxa"/>
            <w:tcBorders>
              <w:tl2br w:val="nil"/>
              <w:tr2bl w:val="nil"/>
            </w:tcBorders>
            <w:vAlign w:val="center"/>
          </w:tcPr>
          <w:p w14:paraId="70F782AC">
            <w:pPr>
              <w:pStyle w:val="30"/>
              <w:widowControl w:val="0"/>
              <w:bidi w:val="0"/>
              <w:rPr>
                <w:color w:val="auto"/>
                <w:lang w:val="en-US" w:eastAsia="en-US"/>
              </w:rPr>
            </w:pPr>
            <w:r>
              <w:rPr>
                <w:color w:val="auto"/>
                <w:lang w:val="en-US" w:eastAsia="en-US"/>
              </w:rPr>
              <w:t>3165人</w:t>
            </w:r>
          </w:p>
        </w:tc>
        <w:tc>
          <w:tcPr>
            <w:tcW w:w="1716" w:type="dxa"/>
            <w:vMerge w:val="continue"/>
            <w:tcBorders>
              <w:tl2br w:val="nil"/>
              <w:tr2bl w:val="nil"/>
            </w:tcBorders>
            <w:vAlign w:val="center"/>
          </w:tcPr>
          <w:p w14:paraId="4D04FA74">
            <w:pPr>
              <w:pStyle w:val="30"/>
              <w:widowControl w:val="0"/>
              <w:bidi w:val="0"/>
              <w:rPr>
                <w:color w:val="auto"/>
                <w:lang w:val="en-US" w:eastAsia="en-US"/>
              </w:rPr>
            </w:pPr>
          </w:p>
        </w:tc>
      </w:tr>
      <w:tr w14:paraId="0D0554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B5D5B0A">
            <w:pPr>
              <w:pStyle w:val="30"/>
              <w:widowControl w:val="0"/>
              <w:bidi w:val="0"/>
              <w:rPr>
                <w:color w:val="auto"/>
                <w:lang w:val="en-US" w:eastAsia="en-US"/>
              </w:rPr>
            </w:pPr>
          </w:p>
        </w:tc>
        <w:tc>
          <w:tcPr>
            <w:tcW w:w="634" w:type="dxa"/>
            <w:tcBorders>
              <w:tl2br w:val="nil"/>
              <w:tr2bl w:val="nil"/>
            </w:tcBorders>
            <w:vAlign w:val="center"/>
          </w:tcPr>
          <w:p w14:paraId="7A7A9D28">
            <w:pPr>
              <w:pStyle w:val="30"/>
              <w:widowControl w:val="0"/>
              <w:bidi w:val="0"/>
              <w:rPr>
                <w:color w:val="auto"/>
                <w:lang w:val="en-US" w:eastAsia="en-US"/>
              </w:rPr>
            </w:pPr>
            <w:r>
              <w:rPr>
                <w:color w:val="auto"/>
                <w:lang w:val="en-US" w:eastAsia="en-US"/>
              </w:rPr>
              <w:t>18</w:t>
            </w:r>
          </w:p>
        </w:tc>
        <w:tc>
          <w:tcPr>
            <w:tcW w:w="2773" w:type="dxa"/>
            <w:tcBorders>
              <w:tl2br w:val="nil"/>
              <w:tr2bl w:val="nil"/>
            </w:tcBorders>
            <w:vAlign w:val="center"/>
          </w:tcPr>
          <w:p w14:paraId="7826A90D">
            <w:pPr>
              <w:pStyle w:val="30"/>
              <w:widowControl w:val="0"/>
              <w:bidi w:val="0"/>
              <w:rPr>
                <w:color w:val="auto"/>
                <w:lang w:val="en-US" w:eastAsia="en-US"/>
              </w:rPr>
            </w:pPr>
            <w:r>
              <w:rPr>
                <w:color w:val="auto"/>
                <w:lang w:val="en-US" w:eastAsia="en-US"/>
              </w:rPr>
              <w:t>小王村</w:t>
            </w:r>
          </w:p>
        </w:tc>
        <w:tc>
          <w:tcPr>
            <w:tcW w:w="885" w:type="dxa"/>
            <w:tcBorders>
              <w:tl2br w:val="nil"/>
              <w:tr2bl w:val="nil"/>
            </w:tcBorders>
            <w:vAlign w:val="center"/>
          </w:tcPr>
          <w:p w14:paraId="0730D3F8">
            <w:pPr>
              <w:pStyle w:val="30"/>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71B8A564">
            <w:pPr>
              <w:pStyle w:val="30"/>
              <w:widowControl w:val="0"/>
              <w:bidi w:val="0"/>
              <w:rPr>
                <w:color w:val="auto"/>
                <w:lang w:val="en-US" w:eastAsia="en-US"/>
              </w:rPr>
            </w:pPr>
            <w:r>
              <w:rPr>
                <w:color w:val="auto"/>
                <w:lang w:val="en-US" w:eastAsia="en-US"/>
              </w:rPr>
              <w:t>4452</w:t>
            </w:r>
          </w:p>
        </w:tc>
        <w:tc>
          <w:tcPr>
            <w:tcW w:w="1019" w:type="dxa"/>
            <w:tcBorders>
              <w:tl2br w:val="nil"/>
              <w:tr2bl w:val="nil"/>
            </w:tcBorders>
            <w:vAlign w:val="center"/>
          </w:tcPr>
          <w:p w14:paraId="003B6B0A">
            <w:pPr>
              <w:pStyle w:val="30"/>
              <w:widowControl w:val="0"/>
              <w:bidi w:val="0"/>
              <w:rPr>
                <w:color w:val="auto"/>
                <w:lang w:val="en-US" w:eastAsia="en-US"/>
              </w:rPr>
            </w:pPr>
            <w:r>
              <w:rPr>
                <w:color w:val="auto"/>
                <w:lang w:val="en-US" w:eastAsia="en-US"/>
              </w:rPr>
              <w:t>63人</w:t>
            </w:r>
          </w:p>
        </w:tc>
        <w:tc>
          <w:tcPr>
            <w:tcW w:w="1716" w:type="dxa"/>
            <w:vMerge w:val="continue"/>
            <w:tcBorders>
              <w:tl2br w:val="nil"/>
              <w:tr2bl w:val="nil"/>
            </w:tcBorders>
            <w:vAlign w:val="center"/>
          </w:tcPr>
          <w:p w14:paraId="38CF37B1">
            <w:pPr>
              <w:pStyle w:val="30"/>
              <w:widowControl w:val="0"/>
              <w:bidi w:val="0"/>
              <w:rPr>
                <w:color w:val="auto"/>
                <w:lang w:val="en-US" w:eastAsia="en-US"/>
              </w:rPr>
            </w:pPr>
          </w:p>
        </w:tc>
      </w:tr>
      <w:tr w14:paraId="293191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0280C931">
            <w:pPr>
              <w:pStyle w:val="30"/>
              <w:widowControl w:val="0"/>
              <w:bidi w:val="0"/>
              <w:rPr>
                <w:color w:val="auto"/>
                <w:lang w:val="en-US" w:eastAsia="en-US"/>
              </w:rPr>
            </w:pPr>
          </w:p>
        </w:tc>
        <w:tc>
          <w:tcPr>
            <w:tcW w:w="634" w:type="dxa"/>
            <w:tcBorders>
              <w:tl2br w:val="nil"/>
              <w:tr2bl w:val="nil"/>
            </w:tcBorders>
            <w:vAlign w:val="center"/>
          </w:tcPr>
          <w:p w14:paraId="7C123E7F">
            <w:pPr>
              <w:pStyle w:val="30"/>
              <w:widowControl w:val="0"/>
              <w:bidi w:val="0"/>
              <w:rPr>
                <w:color w:val="auto"/>
                <w:lang w:val="en-US" w:eastAsia="en-US"/>
              </w:rPr>
            </w:pPr>
            <w:r>
              <w:rPr>
                <w:color w:val="auto"/>
                <w:lang w:val="en-US" w:eastAsia="en-US"/>
              </w:rPr>
              <w:t>19</w:t>
            </w:r>
          </w:p>
        </w:tc>
        <w:tc>
          <w:tcPr>
            <w:tcW w:w="2773" w:type="dxa"/>
            <w:tcBorders>
              <w:tl2br w:val="nil"/>
              <w:tr2bl w:val="nil"/>
            </w:tcBorders>
            <w:vAlign w:val="center"/>
          </w:tcPr>
          <w:p w14:paraId="27EC8180">
            <w:pPr>
              <w:pStyle w:val="30"/>
              <w:widowControl w:val="0"/>
              <w:bidi w:val="0"/>
              <w:rPr>
                <w:color w:val="auto"/>
                <w:lang w:val="en-US" w:eastAsia="en-US"/>
              </w:rPr>
            </w:pPr>
            <w:r>
              <w:rPr>
                <w:color w:val="auto"/>
                <w:lang w:val="en-US" w:eastAsia="en-US"/>
              </w:rPr>
              <w:t>合王村</w:t>
            </w:r>
          </w:p>
        </w:tc>
        <w:tc>
          <w:tcPr>
            <w:tcW w:w="885" w:type="dxa"/>
            <w:tcBorders>
              <w:tl2br w:val="nil"/>
              <w:tr2bl w:val="nil"/>
            </w:tcBorders>
            <w:vAlign w:val="center"/>
          </w:tcPr>
          <w:p w14:paraId="69908F6B">
            <w:pPr>
              <w:pStyle w:val="30"/>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0172AE6D">
            <w:pPr>
              <w:pStyle w:val="30"/>
              <w:widowControl w:val="0"/>
              <w:bidi w:val="0"/>
              <w:rPr>
                <w:color w:val="auto"/>
                <w:lang w:val="en-US" w:eastAsia="en-US"/>
              </w:rPr>
            </w:pPr>
            <w:r>
              <w:rPr>
                <w:color w:val="auto"/>
                <w:lang w:val="en-US" w:eastAsia="en-US"/>
              </w:rPr>
              <w:t>4812</w:t>
            </w:r>
          </w:p>
        </w:tc>
        <w:tc>
          <w:tcPr>
            <w:tcW w:w="1019" w:type="dxa"/>
            <w:tcBorders>
              <w:tl2br w:val="nil"/>
              <w:tr2bl w:val="nil"/>
            </w:tcBorders>
            <w:vAlign w:val="center"/>
          </w:tcPr>
          <w:p w14:paraId="637A8C82">
            <w:pPr>
              <w:pStyle w:val="30"/>
              <w:widowControl w:val="0"/>
              <w:bidi w:val="0"/>
              <w:rPr>
                <w:color w:val="auto"/>
                <w:lang w:val="en-US" w:eastAsia="en-US"/>
              </w:rPr>
            </w:pPr>
            <w:r>
              <w:rPr>
                <w:color w:val="auto"/>
                <w:lang w:val="en-US" w:eastAsia="en-US"/>
              </w:rPr>
              <w:t>90人</w:t>
            </w:r>
          </w:p>
        </w:tc>
        <w:tc>
          <w:tcPr>
            <w:tcW w:w="1716" w:type="dxa"/>
            <w:vMerge w:val="continue"/>
            <w:tcBorders>
              <w:tl2br w:val="nil"/>
              <w:tr2bl w:val="nil"/>
            </w:tcBorders>
            <w:vAlign w:val="center"/>
          </w:tcPr>
          <w:p w14:paraId="050B79D8">
            <w:pPr>
              <w:pStyle w:val="30"/>
              <w:widowControl w:val="0"/>
              <w:bidi w:val="0"/>
              <w:rPr>
                <w:color w:val="auto"/>
                <w:lang w:val="en-US" w:eastAsia="en-US"/>
              </w:rPr>
            </w:pPr>
          </w:p>
        </w:tc>
      </w:tr>
      <w:tr w14:paraId="0BF43B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0F76AD5">
            <w:pPr>
              <w:pStyle w:val="30"/>
              <w:widowControl w:val="0"/>
              <w:bidi w:val="0"/>
              <w:rPr>
                <w:color w:val="auto"/>
                <w:lang w:val="en-US" w:eastAsia="en-US"/>
              </w:rPr>
            </w:pPr>
          </w:p>
        </w:tc>
        <w:tc>
          <w:tcPr>
            <w:tcW w:w="634" w:type="dxa"/>
            <w:tcBorders>
              <w:tl2br w:val="nil"/>
              <w:tr2bl w:val="nil"/>
            </w:tcBorders>
            <w:vAlign w:val="center"/>
          </w:tcPr>
          <w:p w14:paraId="70A6746B">
            <w:pPr>
              <w:pStyle w:val="30"/>
              <w:widowControl w:val="0"/>
              <w:bidi w:val="0"/>
              <w:rPr>
                <w:color w:val="auto"/>
                <w:lang w:val="en-US" w:eastAsia="en-US"/>
              </w:rPr>
            </w:pPr>
            <w:r>
              <w:rPr>
                <w:color w:val="auto"/>
                <w:lang w:val="en-US" w:eastAsia="en-US"/>
              </w:rPr>
              <w:t>20</w:t>
            </w:r>
          </w:p>
        </w:tc>
        <w:tc>
          <w:tcPr>
            <w:tcW w:w="2773" w:type="dxa"/>
            <w:tcBorders>
              <w:tl2br w:val="nil"/>
              <w:tr2bl w:val="nil"/>
            </w:tcBorders>
            <w:vAlign w:val="center"/>
          </w:tcPr>
          <w:p w14:paraId="099AE3F6">
            <w:pPr>
              <w:pStyle w:val="30"/>
              <w:widowControl w:val="0"/>
              <w:bidi w:val="0"/>
              <w:rPr>
                <w:color w:val="auto"/>
                <w:lang w:val="en-US" w:eastAsia="en-US"/>
              </w:rPr>
            </w:pPr>
            <w:r>
              <w:rPr>
                <w:color w:val="auto"/>
                <w:lang w:val="en-US" w:eastAsia="en-US"/>
              </w:rPr>
              <w:t>王端二</w:t>
            </w:r>
          </w:p>
        </w:tc>
        <w:tc>
          <w:tcPr>
            <w:tcW w:w="885" w:type="dxa"/>
            <w:tcBorders>
              <w:tl2br w:val="nil"/>
              <w:tr2bl w:val="nil"/>
            </w:tcBorders>
            <w:vAlign w:val="center"/>
          </w:tcPr>
          <w:p w14:paraId="76F8893C">
            <w:pPr>
              <w:pStyle w:val="30"/>
              <w:widowControl w:val="0"/>
              <w:bidi w:val="0"/>
              <w:rPr>
                <w:color w:val="auto"/>
                <w:lang w:val="en-US" w:eastAsia="en-US"/>
              </w:rPr>
            </w:pPr>
            <w:r>
              <w:rPr>
                <w:color w:val="auto"/>
                <w:lang w:val="en-US" w:eastAsia="en-US"/>
              </w:rPr>
              <w:t>S</w:t>
            </w:r>
          </w:p>
        </w:tc>
        <w:tc>
          <w:tcPr>
            <w:tcW w:w="1124" w:type="dxa"/>
            <w:tcBorders>
              <w:tl2br w:val="nil"/>
              <w:tr2bl w:val="nil"/>
            </w:tcBorders>
            <w:vAlign w:val="center"/>
          </w:tcPr>
          <w:p w14:paraId="0B4A39A7">
            <w:pPr>
              <w:pStyle w:val="30"/>
              <w:widowControl w:val="0"/>
              <w:bidi w:val="0"/>
              <w:rPr>
                <w:color w:val="auto"/>
                <w:lang w:val="en-US" w:eastAsia="en-US"/>
              </w:rPr>
            </w:pPr>
            <w:r>
              <w:rPr>
                <w:color w:val="auto"/>
                <w:lang w:val="en-US" w:eastAsia="en-US"/>
              </w:rPr>
              <w:t>3738</w:t>
            </w:r>
          </w:p>
        </w:tc>
        <w:tc>
          <w:tcPr>
            <w:tcW w:w="1019" w:type="dxa"/>
            <w:tcBorders>
              <w:tl2br w:val="nil"/>
              <w:tr2bl w:val="nil"/>
            </w:tcBorders>
            <w:vAlign w:val="center"/>
          </w:tcPr>
          <w:p w14:paraId="1FD5F93E">
            <w:pPr>
              <w:pStyle w:val="30"/>
              <w:widowControl w:val="0"/>
              <w:bidi w:val="0"/>
              <w:rPr>
                <w:color w:val="auto"/>
                <w:lang w:val="en-US" w:eastAsia="en-US"/>
              </w:rPr>
            </w:pPr>
            <w:r>
              <w:rPr>
                <w:color w:val="auto"/>
                <w:lang w:val="en-US" w:eastAsia="en-US"/>
              </w:rPr>
              <w:t>120人</w:t>
            </w:r>
          </w:p>
        </w:tc>
        <w:tc>
          <w:tcPr>
            <w:tcW w:w="1716" w:type="dxa"/>
            <w:vMerge w:val="continue"/>
            <w:tcBorders>
              <w:tl2br w:val="nil"/>
              <w:tr2bl w:val="nil"/>
            </w:tcBorders>
            <w:vAlign w:val="center"/>
          </w:tcPr>
          <w:p w14:paraId="6164C8EF">
            <w:pPr>
              <w:pStyle w:val="30"/>
              <w:widowControl w:val="0"/>
              <w:bidi w:val="0"/>
              <w:rPr>
                <w:color w:val="auto"/>
                <w:lang w:val="en-US" w:eastAsia="en-US"/>
              </w:rPr>
            </w:pPr>
          </w:p>
        </w:tc>
      </w:tr>
      <w:tr w14:paraId="7CFFB8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2F4540F">
            <w:pPr>
              <w:pStyle w:val="30"/>
              <w:widowControl w:val="0"/>
              <w:bidi w:val="0"/>
              <w:rPr>
                <w:color w:val="auto"/>
                <w:lang w:val="en-US" w:eastAsia="en-US"/>
              </w:rPr>
            </w:pPr>
          </w:p>
        </w:tc>
        <w:tc>
          <w:tcPr>
            <w:tcW w:w="634" w:type="dxa"/>
            <w:tcBorders>
              <w:tl2br w:val="nil"/>
              <w:tr2bl w:val="nil"/>
            </w:tcBorders>
            <w:vAlign w:val="center"/>
          </w:tcPr>
          <w:p w14:paraId="39913515">
            <w:pPr>
              <w:pStyle w:val="30"/>
              <w:widowControl w:val="0"/>
              <w:bidi w:val="0"/>
              <w:rPr>
                <w:color w:val="auto"/>
                <w:lang w:val="en-US" w:eastAsia="en-US"/>
              </w:rPr>
            </w:pPr>
            <w:r>
              <w:rPr>
                <w:color w:val="auto"/>
                <w:lang w:val="en-US" w:eastAsia="en-US"/>
              </w:rPr>
              <w:t>21</w:t>
            </w:r>
          </w:p>
        </w:tc>
        <w:tc>
          <w:tcPr>
            <w:tcW w:w="2773" w:type="dxa"/>
            <w:tcBorders>
              <w:tl2br w:val="nil"/>
              <w:tr2bl w:val="nil"/>
            </w:tcBorders>
            <w:vAlign w:val="center"/>
          </w:tcPr>
          <w:p w14:paraId="702CE8FE">
            <w:pPr>
              <w:pStyle w:val="30"/>
              <w:widowControl w:val="0"/>
              <w:bidi w:val="0"/>
              <w:rPr>
                <w:color w:val="auto"/>
                <w:lang w:val="en-US" w:eastAsia="en-US"/>
              </w:rPr>
            </w:pPr>
            <w:r>
              <w:rPr>
                <w:color w:val="auto"/>
                <w:lang w:val="en-US" w:eastAsia="en-US"/>
              </w:rPr>
              <w:t>徐跃村</w:t>
            </w:r>
          </w:p>
        </w:tc>
        <w:tc>
          <w:tcPr>
            <w:tcW w:w="885" w:type="dxa"/>
            <w:tcBorders>
              <w:tl2br w:val="nil"/>
              <w:tr2bl w:val="nil"/>
            </w:tcBorders>
            <w:vAlign w:val="center"/>
          </w:tcPr>
          <w:p w14:paraId="5F7F37CF">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902C117">
            <w:pPr>
              <w:pStyle w:val="30"/>
              <w:widowControl w:val="0"/>
              <w:bidi w:val="0"/>
              <w:rPr>
                <w:color w:val="auto"/>
                <w:lang w:val="en-US" w:eastAsia="en-US"/>
              </w:rPr>
            </w:pPr>
            <w:r>
              <w:rPr>
                <w:color w:val="auto"/>
                <w:lang w:val="en-US" w:eastAsia="en-US"/>
              </w:rPr>
              <w:t>2706</w:t>
            </w:r>
          </w:p>
        </w:tc>
        <w:tc>
          <w:tcPr>
            <w:tcW w:w="1019" w:type="dxa"/>
            <w:tcBorders>
              <w:tl2br w:val="nil"/>
              <w:tr2bl w:val="nil"/>
            </w:tcBorders>
            <w:vAlign w:val="center"/>
          </w:tcPr>
          <w:p w14:paraId="7C38F823">
            <w:pPr>
              <w:pStyle w:val="30"/>
              <w:widowControl w:val="0"/>
              <w:bidi w:val="0"/>
              <w:rPr>
                <w:color w:val="auto"/>
                <w:lang w:val="en-US" w:eastAsia="en-US"/>
              </w:rPr>
            </w:pPr>
            <w:r>
              <w:rPr>
                <w:color w:val="auto"/>
                <w:lang w:val="en-US" w:eastAsia="en-US"/>
              </w:rPr>
              <w:t>266人</w:t>
            </w:r>
          </w:p>
        </w:tc>
        <w:tc>
          <w:tcPr>
            <w:tcW w:w="1716" w:type="dxa"/>
            <w:vMerge w:val="continue"/>
            <w:tcBorders>
              <w:tl2br w:val="nil"/>
              <w:tr2bl w:val="nil"/>
            </w:tcBorders>
            <w:vAlign w:val="center"/>
          </w:tcPr>
          <w:p w14:paraId="397CB4C9">
            <w:pPr>
              <w:pStyle w:val="30"/>
              <w:widowControl w:val="0"/>
              <w:bidi w:val="0"/>
              <w:rPr>
                <w:color w:val="auto"/>
                <w:lang w:val="en-US" w:eastAsia="en-US"/>
              </w:rPr>
            </w:pPr>
          </w:p>
        </w:tc>
      </w:tr>
      <w:tr w14:paraId="136E97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0E39EDE7">
            <w:pPr>
              <w:pStyle w:val="30"/>
              <w:widowControl w:val="0"/>
              <w:bidi w:val="0"/>
              <w:rPr>
                <w:color w:val="auto"/>
                <w:lang w:val="en-US" w:eastAsia="en-US"/>
              </w:rPr>
            </w:pPr>
          </w:p>
        </w:tc>
        <w:tc>
          <w:tcPr>
            <w:tcW w:w="634" w:type="dxa"/>
            <w:tcBorders>
              <w:tl2br w:val="nil"/>
              <w:tr2bl w:val="nil"/>
            </w:tcBorders>
            <w:vAlign w:val="center"/>
          </w:tcPr>
          <w:p w14:paraId="2477402E">
            <w:pPr>
              <w:pStyle w:val="30"/>
              <w:widowControl w:val="0"/>
              <w:bidi w:val="0"/>
              <w:rPr>
                <w:color w:val="auto"/>
                <w:lang w:val="en-US" w:eastAsia="en-US"/>
              </w:rPr>
            </w:pPr>
            <w:r>
              <w:rPr>
                <w:color w:val="auto"/>
                <w:lang w:val="en-US" w:eastAsia="en-US"/>
              </w:rPr>
              <w:t>22</w:t>
            </w:r>
          </w:p>
        </w:tc>
        <w:tc>
          <w:tcPr>
            <w:tcW w:w="2773" w:type="dxa"/>
            <w:tcBorders>
              <w:tl2br w:val="nil"/>
              <w:tr2bl w:val="nil"/>
            </w:tcBorders>
            <w:vAlign w:val="center"/>
          </w:tcPr>
          <w:p w14:paraId="3C8001B6">
            <w:pPr>
              <w:pStyle w:val="30"/>
              <w:widowControl w:val="0"/>
              <w:bidi w:val="0"/>
              <w:rPr>
                <w:color w:val="auto"/>
                <w:lang w:val="en-US" w:eastAsia="en-US"/>
              </w:rPr>
            </w:pPr>
            <w:r>
              <w:rPr>
                <w:color w:val="auto"/>
                <w:lang w:val="en-US" w:eastAsia="en-US"/>
              </w:rPr>
              <w:t>龙岗村</w:t>
            </w:r>
          </w:p>
        </w:tc>
        <w:tc>
          <w:tcPr>
            <w:tcW w:w="885" w:type="dxa"/>
            <w:tcBorders>
              <w:tl2br w:val="nil"/>
              <w:tr2bl w:val="nil"/>
            </w:tcBorders>
            <w:vAlign w:val="center"/>
          </w:tcPr>
          <w:p w14:paraId="4B42B989">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0ED9B863">
            <w:pPr>
              <w:pStyle w:val="30"/>
              <w:widowControl w:val="0"/>
              <w:bidi w:val="0"/>
              <w:rPr>
                <w:color w:val="auto"/>
                <w:lang w:val="en-US" w:eastAsia="en-US"/>
              </w:rPr>
            </w:pPr>
            <w:r>
              <w:rPr>
                <w:color w:val="auto"/>
                <w:lang w:val="en-US" w:eastAsia="en-US"/>
              </w:rPr>
              <w:t>4019</w:t>
            </w:r>
          </w:p>
        </w:tc>
        <w:tc>
          <w:tcPr>
            <w:tcW w:w="1019" w:type="dxa"/>
            <w:tcBorders>
              <w:tl2br w:val="nil"/>
              <w:tr2bl w:val="nil"/>
            </w:tcBorders>
            <w:vAlign w:val="center"/>
          </w:tcPr>
          <w:p w14:paraId="04B817E8">
            <w:pPr>
              <w:pStyle w:val="30"/>
              <w:widowControl w:val="0"/>
              <w:bidi w:val="0"/>
              <w:rPr>
                <w:color w:val="auto"/>
                <w:lang w:val="en-US" w:eastAsia="en-US"/>
              </w:rPr>
            </w:pPr>
            <w:r>
              <w:rPr>
                <w:color w:val="auto"/>
                <w:lang w:val="en-US" w:eastAsia="en-US"/>
              </w:rPr>
              <w:t>693人</w:t>
            </w:r>
          </w:p>
        </w:tc>
        <w:tc>
          <w:tcPr>
            <w:tcW w:w="1716" w:type="dxa"/>
            <w:vMerge w:val="continue"/>
            <w:tcBorders>
              <w:tl2br w:val="nil"/>
              <w:tr2bl w:val="nil"/>
            </w:tcBorders>
            <w:vAlign w:val="center"/>
          </w:tcPr>
          <w:p w14:paraId="4DB2A478">
            <w:pPr>
              <w:pStyle w:val="30"/>
              <w:widowControl w:val="0"/>
              <w:bidi w:val="0"/>
              <w:rPr>
                <w:color w:val="auto"/>
                <w:lang w:val="en-US" w:eastAsia="en-US"/>
              </w:rPr>
            </w:pPr>
          </w:p>
        </w:tc>
      </w:tr>
      <w:tr w14:paraId="3208D5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71F11E2">
            <w:pPr>
              <w:pStyle w:val="30"/>
              <w:widowControl w:val="0"/>
              <w:bidi w:val="0"/>
              <w:rPr>
                <w:color w:val="auto"/>
                <w:lang w:val="en-US" w:eastAsia="en-US"/>
              </w:rPr>
            </w:pPr>
          </w:p>
        </w:tc>
        <w:tc>
          <w:tcPr>
            <w:tcW w:w="634" w:type="dxa"/>
            <w:tcBorders>
              <w:tl2br w:val="nil"/>
              <w:tr2bl w:val="nil"/>
            </w:tcBorders>
            <w:vAlign w:val="center"/>
          </w:tcPr>
          <w:p w14:paraId="13B1BFC4">
            <w:pPr>
              <w:pStyle w:val="30"/>
              <w:widowControl w:val="0"/>
              <w:bidi w:val="0"/>
              <w:rPr>
                <w:color w:val="auto"/>
                <w:lang w:val="en-US" w:eastAsia="en-US"/>
              </w:rPr>
            </w:pPr>
            <w:r>
              <w:rPr>
                <w:color w:val="auto"/>
                <w:lang w:val="en-US" w:eastAsia="en-US"/>
              </w:rPr>
              <w:t>23</w:t>
            </w:r>
          </w:p>
        </w:tc>
        <w:tc>
          <w:tcPr>
            <w:tcW w:w="2773" w:type="dxa"/>
            <w:tcBorders>
              <w:tl2br w:val="nil"/>
              <w:tr2bl w:val="nil"/>
            </w:tcBorders>
            <w:vAlign w:val="center"/>
          </w:tcPr>
          <w:p w14:paraId="2D86EE79">
            <w:pPr>
              <w:pStyle w:val="30"/>
              <w:widowControl w:val="0"/>
              <w:bidi w:val="0"/>
              <w:rPr>
                <w:color w:val="auto"/>
                <w:lang w:val="en-US" w:eastAsia="en-US"/>
              </w:rPr>
            </w:pPr>
            <w:r>
              <w:rPr>
                <w:color w:val="auto"/>
                <w:lang w:val="en-US" w:eastAsia="en-US"/>
              </w:rPr>
              <w:t>张缪</w:t>
            </w:r>
          </w:p>
        </w:tc>
        <w:tc>
          <w:tcPr>
            <w:tcW w:w="885" w:type="dxa"/>
            <w:tcBorders>
              <w:tl2br w:val="nil"/>
              <w:tr2bl w:val="nil"/>
            </w:tcBorders>
            <w:vAlign w:val="center"/>
          </w:tcPr>
          <w:p w14:paraId="6CAF93BA">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57AFCB55">
            <w:pPr>
              <w:pStyle w:val="30"/>
              <w:widowControl w:val="0"/>
              <w:bidi w:val="0"/>
              <w:rPr>
                <w:color w:val="auto"/>
                <w:lang w:val="en-US" w:eastAsia="en-US"/>
              </w:rPr>
            </w:pPr>
            <w:r>
              <w:rPr>
                <w:color w:val="auto"/>
                <w:lang w:val="en-US" w:eastAsia="en-US"/>
              </w:rPr>
              <w:t>4268</w:t>
            </w:r>
          </w:p>
        </w:tc>
        <w:tc>
          <w:tcPr>
            <w:tcW w:w="1019" w:type="dxa"/>
            <w:tcBorders>
              <w:tl2br w:val="nil"/>
              <w:tr2bl w:val="nil"/>
            </w:tcBorders>
            <w:vAlign w:val="center"/>
          </w:tcPr>
          <w:p w14:paraId="592FD172">
            <w:pPr>
              <w:pStyle w:val="30"/>
              <w:widowControl w:val="0"/>
              <w:bidi w:val="0"/>
              <w:rPr>
                <w:color w:val="auto"/>
                <w:lang w:val="en-US" w:eastAsia="en-US"/>
              </w:rPr>
            </w:pPr>
            <w:r>
              <w:rPr>
                <w:color w:val="auto"/>
                <w:lang w:val="en-US" w:eastAsia="en-US"/>
              </w:rPr>
              <w:t>180人</w:t>
            </w:r>
          </w:p>
        </w:tc>
        <w:tc>
          <w:tcPr>
            <w:tcW w:w="1716" w:type="dxa"/>
            <w:vMerge w:val="continue"/>
            <w:tcBorders>
              <w:tl2br w:val="nil"/>
              <w:tr2bl w:val="nil"/>
            </w:tcBorders>
            <w:vAlign w:val="center"/>
          </w:tcPr>
          <w:p w14:paraId="3AE002B6">
            <w:pPr>
              <w:pStyle w:val="30"/>
              <w:widowControl w:val="0"/>
              <w:bidi w:val="0"/>
              <w:rPr>
                <w:color w:val="auto"/>
                <w:lang w:val="en-US" w:eastAsia="en-US"/>
              </w:rPr>
            </w:pPr>
          </w:p>
        </w:tc>
      </w:tr>
      <w:tr w14:paraId="62D940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26BA3AA">
            <w:pPr>
              <w:pStyle w:val="30"/>
              <w:widowControl w:val="0"/>
              <w:bidi w:val="0"/>
              <w:rPr>
                <w:color w:val="auto"/>
                <w:lang w:val="en-US" w:eastAsia="en-US"/>
              </w:rPr>
            </w:pPr>
          </w:p>
        </w:tc>
        <w:tc>
          <w:tcPr>
            <w:tcW w:w="634" w:type="dxa"/>
            <w:tcBorders>
              <w:tl2br w:val="nil"/>
              <w:tr2bl w:val="nil"/>
            </w:tcBorders>
            <w:vAlign w:val="center"/>
          </w:tcPr>
          <w:p w14:paraId="2C2B5A77">
            <w:pPr>
              <w:pStyle w:val="30"/>
              <w:widowControl w:val="0"/>
              <w:bidi w:val="0"/>
              <w:rPr>
                <w:color w:val="auto"/>
                <w:lang w:val="en-US" w:eastAsia="en-US"/>
              </w:rPr>
            </w:pPr>
            <w:r>
              <w:rPr>
                <w:color w:val="auto"/>
                <w:lang w:val="en-US" w:eastAsia="en-US"/>
              </w:rPr>
              <w:t>24</w:t>
            </w:r>
          </w:p>
        </w:tc>
        <w:tc>
          <w:tcPr>
            <w:tcW w:w="2773" w:type="dxa"/>
            <w:tcBorders>
              <w:tl2br w:val="nil"/>
              <w:tr2bl w:val="nil"/>
            </w:tcBorders>
            <w:vAlign w:val="center"/>
          </w:tcPr>
          <w:p w14:paraId="7DABE6E7">
            <w:pPr>
              <w:pStyle w:val="30"/>
              <w:widowControl w:val="0"/>
              <w:bidi w:val="0"/>
              <w:rPr>
                <w:color w:val="auto"/>
                <w:lang w:val="en-US" w:eastAsia="en-US"/>
              </w:rPr>
            </w:pPr>
            <w:r>
              <w:rPr>
                <w:color w:val="auto"/>
                <w:lang w:val="en-US" w:eastAsia="en-US"/>
              </w:rPr>
              <w:t>王首七</w:t>
            </w:r>
          </w:p>
        </w:tc>
        <w:tc>
          <w:tcPr>
            <w:tcW w:w="885" w:type="dxa"/>
            <w:tcBorders>
              <w:tl2br w:val="nil"/>
              <w:tr2bl w:val="nil"/>
            </w:tcBorders>
            <w:vAlign w:val="center"/>
          </w:tcPr>
          <w:p w14:paraId="03F3D211">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6690230B">
            <w:pPr>
              <w:pStyle w:val="30"/>
              <w:widowControl w:val="0"/>
              <w:bidi w:val="0"/>
              <w:rPr>
                <w:color w:val="auto"/>
                <w:lang w:val="en-US" w:eastAsia="en-US"/>
              </w:rPr>
            </w:pPr>
            <w:r>
              <w:rPr>
                <w:color w:val="auto"/>
                <w:lang w:val="en-US" w:eastAsia="en-US"/>
              </w:rPr>
              <w:t>3202</w:t>
            </w:r>
          </w:p>
        </w:tc>
        <w:tc>
          <w:tcPr>
            <w:tcW w:w="1019" w:type="dxa"/>
            <w:tcBorders>
              <w:tl2br w:val="nil"/>
              <w:tr2bl w:val="nil"/>
            </w:tcBorders>
            <w:vAlign w:val="center"/>
          </w:tcPr>
          <w:p w14:paraId="12104398">
            <w:pPr>
              <w:pStyle w:val="30"/>
              <w:widowControl w:val="0"/>
              <w:bidi w:val="0"/>
              <w:rPr>
                <w:color w:val="auto"/>
                <w:lang w:val="en-US" w:eastAsia="en-US"/>
              </w:rPr>
            </w:pPr>
            <w:r>
              <w:rPr>
                <w:color w:val="auto"/>
                <w:lang w:val="en-US" w:eastAsia="en-US"/>
              </w:rPr>
              <w:t>140人</w:t>
            </w:r>
          </w:p>
        </w:tc>
        <w:tc>
          <w:tcPr>
            <w:tcW w:w="1716" w:type="dxa"/>
            <w:vMerge w:val="continue"/>
            <w:tcBorders>
              <w:tl2br w:val="nil"/>
              <w:tr2bl w:val="nil"/>
            </w:tcBorders>
            <w:vAlign w:val="center"/>
          </w:tcPr>
          <w:p w14:paraId="384ED37E">
            <w:pPr>
              <w:pStyle w:val="30"/>
              <w:widowControl w:val="0"/>
              <w:bidi w:val="0"/>
              <w:rPr>
                <w:color w:val="auto"/>
                <w:lang w:val="en-US" w:eastAsia="en-US"/>
              </w:rPr>
            </w:pPr>
          </w:p>
        </w:tc>
      </w:tr>
      <w:tr w14:paraId="07753E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062F0A37">
            <w:pPr>
              <w:pStyle w:val="30"/>
              <w:widowControl w:val="0"/>
              <w:bidi w:val="0"/>
              <w:rPr>
                <w:color w:val="auto"/>
                <w:lang w:val="en-US" w:eastAsia="en-US"/>
              </w:rPr>
            </w:pPr>
          </w:p>
        </w:tc>
        <w:tc>
          <w:tcPr>
            <w:tcW w:w="634" w:type="dxa"/>
            <w:tcBorders>
              <w:tl2br w:val="nil"/>
              <w:tr2bl w:val="nil"/>
            </w:tcBorders>
            <w:vAlign w:val="center"/>
          </w:tcPr>
          <w:p w14:paraId="5E2B2D4A">
            <w:pPr>
              <w:pStyle w:val="30"/>
              <w:widowControl w:val="0"/>
              <w:bidi w:val="0"/>
              <w:rPr>
                <w:color w:val="auto"/>
                <w:lang w:val="en-US" w:eastAsia="en-US"/>
              </w:rPr>
            </w:pPr>
            <w:r>
              <w:rPr>
                <w:color w:val="auto"/>
                <w:lang w:val="en-US" w:eastAsia="en-US"/>
              </w:rPr>
              <w:t>25</w:t>
            </w:r>
          </w:p>
        </w:tc>
        <w:tc>
          <w:tcPr>
            <w:tcW w:w="2773" w:type="dxa"/>
            <w:tcBorders>
              <w:tl2br w:val="nil"/>
              <w:tr2bl w:val="nil"/>
            </w:tcBorders>
            <w:vAlign w:val="center"/>
          </w:tcPr>
          <w:p w14:paraId="1C8F9978">
            <w:pPr>
              <w:pStyle w:val="30"/>
              <w:widowControl w:val="0"/>
              <w:bidi w:val="0"/>
              <w:rPr>
                <w:color w:val="auto"/>
                <w:lang w:val="en-US" w:eastAsia="en-US"/>
              </w:rPr>
            </w:pPr>
            <w:r>
              <w:rPr>
                <w:color w:val="auto"/>
                <w:lang w:val="en-US" w:eastAsia="en-US"/>
              </w:rPr>
              <w:t>首南</w:t>
            </w:r>
          </w:p>
        </w:tc>
        <w:tc>
          <w:tcPr>
            <w:tcW w:w="885" w:type="dxa"/>
            <w:tcBorders>
              <w:tl2br w:val="nil"/>
              <w:tr2bl w:val="nil"/>
            </w:tcBorders>
            <w:vAlign w:val="center"/>
          </w:tcPr>
          <w:p w14:paraId="4BD907E7">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052D1671">
            <w:pPr>
              <w:pStyle w:val="30"/>
              <w:widowControl w:val="0"/>
              <w:bidi w:val="0"/>
              <w:rPr>
                <w:color w:val="auto"/>
                <w:lang w:val="en-US" w:eastAsia="en-US"/>
              </w:rPr>
            </w:pPr>
            <w:r>
              <w:rPr>
                <w:color w:val="auto"/>
                <w:lang w:val="en-US" w:eastAsia="en-US"/>
              </w:rPr>
              <w:t>2960</w:t>
            </w:r>
          </w:p>
        </w:tc>
        <w:tc>
          <w:tcPr>
            <w:tcW w:w="1019" w:type="dxa"/>
            <w:tcBorders>
              <w:tl2br w:val="nil"/>
              <w:tr2bl w:val="nil"/>
            </w:tcBorders>
            <w:vAlign w:val="center"/>
          </w:tcPr>
          <w:p w14:paraId="5551B9AC">
            <w:pPr>
              <w:pStyle w:val="30"/>
              <w:widowControl w:val="0"/>
              <w:bidi w:val="0"/>
              <w:rPr>
                <w:color w:val="auto"/>
                <w:lang w:val="en-US" w:eastAsia="en-US"/>
              </w:rPr>
            </w:pPr>
            <w:r>
              <w:rPr>
                <w:color w:val="auto"/>
                <w:lang w:val="en-US" w:eastAsia="en-US"/>
              </w:rPr>
              <w:t>182人</w:t>
            </w:r>
          </w:p>
        </w:tc>
        <w:tc>
          <w:tcPr>
            <w:tcW w:w="1716" w:type="dxa"/>
            <w:vMerge w:val="continue"/>
            <w:tcBorders>
              <w:tl2br w:val="nil"/>
              <w:tr2bl w:val="nil"/>
            </w:tcBorders>
            <w:vAlign w:val="center"/>
          </w:tcPr>
          <w:p w14:paraId="51674813">
            <w:pPr>
              <w:pStyle w:val="30"/>
              <w:widowControl w:val="0"/>
              <w:bidi w:val="0"/>
              <w:rPr>
                <w:color w:val="auto"/>
                <w:lang w:val="en-US" w:eastAsia="en-US"/>
              </w:rPr>
            </w:pPr>
          </w:p>
        </w:tc>
      </w:tr>
      <w:tr w14:paraId="3F1978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CB39A14">
            <w:pPr>
              <w:pStyle w:val="30"/>
              <w:widowControl w:val="0"/>
              <w:bidi w:val="0"/>
              <w:rPr>
                <w:color w:val="auto"/>
                <w:lang w:val="en-US" w:eastAsia="en-US"/>
              </w:rPr>
            </w:pPr>
          </w:p>
        </w:tc>
        <w:tc>
          <w:tcPr>
            <w:tcW w:w="634" w:type="dxa"/>
            <w:tcBorders>
              <w:tl2br w:val="nil"/>
              <w:tr2bl w:val="nil"/>
            </w:tcBorders>
            <w:vAlign w:val="center"/>
          </w:tcPr>
          <w:p w14:paraId="071ED47C">
            <w:pPr>
              <w:pStyle w:val="30"/>
              <w:widowControl w:val="0"/>
              <w:bidi w:val="0"/>
              <w:rPr>
                <w:color w:val="auto"/>
                <w:lang w:val="en-US" w:eastAsia="en-US"/>
              </w:rPr>
            </w:pPr>
            <w:r>
              <w:rPr>
                <w:color w:val="auto"/>
                <w:lang w:val="en-US" w:eastAsia="en-US"/>
              </w:rPr>
              <w:t>26</w:t>
            </w:r>
          </w:p>
        </w:tc>
        <w:tc>
          <w:tcPr>
            <w:tcW w:w="2773" w:type="dxa"/>
            <w:tcBorders>
              <w:tl2br w:val="nil"/>
              <w:tr2bl w:val="nil"/>
            </w:tcBorders>
            <w:vAlign w:val="center"/>
          </w:tcPr>
          <w:p w14:paraId="49223E09">
            <w:pPr>
              <w:pStyle w:val="30"/>
              <w:widowControl w:val="0"/>
              <w:bidi w:val="0"/>
              <w:rPr>
                <w:color w:val="auto"/>
                <w:lang w:val="en-US" w:eastAsia="en-US"/>
              </w:rPr>
            </w:pPr>
            <w:r>
              <w:rPr>
                <w:color w:val="auto"/>
                <w:lang w:val="en-US" w:eastAsia="en-US"/>
              </w:rPr>
              <w:t>小刘村</w:t>
            </w:r>
          </w:p>
        </w:tc>
        <w:tc>
          <w:tcPr>
            <w:tcW w:w="885" w:type="dxa"/>
            <w:tcBorders>
              <w:tl2br w:val="nil"/>
              <w:tr2bl w:val="nil"/>
            </w:tcBorders>
            <w:vAlign w:val="center"/>
          </w:tcPr>
          <w:p w14:paraId="46660D80">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0664D43D">
            <w:pPr>
              <w:pStyle w:val="30"/>
              <w:widowControl w:val="0"/>
              <w:bidi w:val="0"/>
              <w:rPr>
                <w:color w:val="auto"/>
                <w:lang w:val="en-US" w:eastAsia="en-US"/>
              </w:rPr>
            </w:pPr>
            <w:r>
              <w:rPr>
                <w:color w:val="auto"/>
                <w:lang w:val="en-US" w:eastAsia="en-US"/>
              </w:rPr>
              <w:t>3825</w:t>
            </w:r>
          </w:p>
        </w:tc>
        <w:tc>
          <w:tcPr>
            <w:tcW w:w="1019" w:type="dxa"/>
            <w:tcBorders>
              <w:tl2br w:val="nil"/>
              <w:tr2bl w:val="nil"/>
            </w:tcBorders>
            <w:vAlign w:val="center"/>
          </w:tcPr>
          <w:p w14:paraId="463DAC66">
            <w:pPr>
              <w:pStyle w:val="30"/>
              <w:widowControl w:val="0"/>
              <w:bidi w:val="0"/>
              <w:rPr>
                <w:color w:val="auto"/>
                <w:lang w:val="en-US" w:eastAsia="en-US"/>
              </w:rPr>
            </w:pPr>
            <w:r>
              <w:rPr>
                <w:color w:val="auto"/>
                <w:lang w:val="en-US" w:eastAsia="en-US"/>
              </w:rPr>
              <w:t>146人</w:t>
            </w:r>
          </w:p>
        </w:tc>
        <w:tc>
          <w:tcPr>
            <w:tcW w:w="1716" w:type="dxa"/>
            <w:vMerge w:val="continue"/>
            <w:tcBorders>
              <w:tl2br w:val="nil"/>
              <w:tr2bl w:val="nil"/>
            </w:tcBorders>
            <w:vAlign w:val="center"/>
          </w:tcPr>
          <w:p w14:paraId="454DB155">
            <w:pPr>
              <w:pStyle w:val="30"/>
              <w:widowControl w:val="0"/>
              <w:bidi w:val="0"/>
              <w:rPr>
                <w:color w:val="auto"/>
                <w:lang w:val="en-US" w:eastAsia="en-US"/>
              </w:rPr>
            </w:pPr>
          </w:p>
        </w:tc>
      </w:tr>
      <w:tr w14:paraId="615E3C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C50301B">
            <w:pPr>
              <w:pStyle w:val="30"/>
              <w:widowControl w:val="0"/>
              <w:bidi w:val="0"/>
              <w:rPr>
                <w:color w:val="auto"/>
                <w:lang w:val="en-US" w:eastAsia="en-US"/>
              </w:rPr>
            </w:pPr>
          </w:p>
        </w:tc>
        <w:tc>
          <w:tcPr>
            <w:tcW w:w="634" w:type="dxa"/>
            <w:tcBorders>
              <w:tl2br w:val="nil"/>
              <w:tr2bl w:val="nil"/>
            </w:tcBorders>
            <w:vAlign w:val="center"/>
          </w:tcPr>
          <w:p w14:paraId="5186AD7A">
            <w:pPr>
              <w:pStyle w:val="30"/>
              <w:widowControl w:val="0"/>
              <w:bidi w:val="0"/>
              <w:rPr>
                <w:color w:val="auto"/>
                <w:lang w:val="en-US" w:eastAsia="en-US"/>
              </w:rPr>
            </w:pPr>
            <w:r>
              <w:rPr>
                <w:color w:val="auto"/>
                <w:lang w:val="en-US" w:eastAsia="en-US"/>
              </w:rPr>
              <w:t>27</w:t>
            </w:r>
          </w:p>
        </w:tc>
        <w:tc>
          <w:tcPr>
            <w:tcW w:w="2773" w:type="dxa"/>
            <w:tcBorders>
              <w:tl2br w:val="nil"/>
              <w:tr2bl w:val="nil"/>
            </w:tcBorders>
            <w:vAlign w:val="center"/>
          </w:tcPr>
          <w:p w14:paraId="40DD5E6D">
            <w:pPr>
              <w:pStyle w:val="30"/>
              <w:widowControl w:val="0"/>
              <w:bidi w:val="0"/>
              <w:rPr>
                <w:color w:val="auto"/>
                <w:lang w:val="en-US" w:eastAsia="en-US"/>
              </w:rPr>
            </w:pPr>
            <w:r>
              <w:rPr>
                <w:color w:val="auto"/>
                <w:lang w:val="en-US" w:eastAsia="en-US"/>
              </w:rPr>
              <w:t>涧南刘</w:t>
            </w:r>
          </w:p>
        </w:tc>
        <w:tc>
          <w:tcPr>
            <w:tcW w:w="885" w:type="dxa"/>
            <w:tcBorders>
              <w:tl2br w:val="nil"/>
              <w:tr2bl w:val="nil"/>
            </w:tcBorders>
            <w:vAlign w:val="center"/>
          </w:tcPr>
          <w:p w14:paraId="07B326BE">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6FDDA60">
            <w:pPr>
              <w:pStyle w:val="30"/>
              <w:widowControl w:val="0"/>
              <w:bidi w:val="0"/>
              <w:rPr>
                <w:color w:val="auto"/>
                <w:lang w:val="en-US" w:eastAsia="en-US"/>
              </w:rPr>
            </w:pPr>
            <w:r>
              <w:rPr>
                <w:color w:val="auto"/>
                <w:lang w:val="en-US" w:eastAsia="en-US"/>
              </w:rPr>
              <w:t>4400</w:t>
            </w:r>
          </w:p>
        </w:tc>
        <w:tc>
          <w:tcPr>
            <w:tcW w:w="1019" w:type="dxa"/>
            <w:tcBorders>
              <w:tl2br w:val="nil"/>
              <w:tr2bl w:val="nil"/>
            </w:tcBorders>
            <w:vAlign w:val="center"/>
          </w:tcPr>
          <w:p w14:paraId="6B12F928">
            <w:pPr>
              <w:pStyle w:val="30"/>
              <w:widowControl w:val="0"/>
              <w:bidi w:val="0"/>
              <w:rPr>
                <w:color w:val="auto"/>
                <w:lang w:val="en-US" w:eastAsia="en-US"/>
              </w:rPr>
            </w:pPr>
            <w:r>
              <w:rPr>
                <w:color w:val="auto"/>
                <w:lang w:val="en-US" w:eastAsia="en-US"/>
              </w:rPr>
              <w:t>188人</w:t>
            </w:r>
          </w:p>
        </w:tc>
        <w:tc>
          <w:tcPr>
            <w:tcW w:w="1716" w:type="dxa"/>
            <w:vMerge w:val="continue"/>
            <w:tcBorders>
              <w:tl2br w:val="nil"/>
              <w:tr2bl w:val="nil"/>
            </w:tcBorders>
            <w:vAlign w:val="center"/>
          </w:tcPr>
          <w:p w14:paraId="64DBCB3F">
            <w:pPr>
              <w:pStyle w:val="30"/>
              <w:widowControl w:val="0"/>
              <w:bidi w:val="0"/>
              <w:rPr>
                <w:color w:val="auto"/>
                <w:lang w:val="en-US" w:eastAsia="en-US"/>
              </w:rPr>
            </w:pPr>
          </w:p>
        </w:tc>
      </w:tr>
      <w:tr w14:paraId="6A5040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727A375">
            <w:pPr>
              <w:pStyle w:val="30"/>
              <w:widowControl w:val="0"/>
              <w:bidi w:val="0"/>
              <w:rPr>
                <w:color w:val="auto"/>
                <w:lang w:val="en-US" w:eastAsia="en-US"/>
              </w:rPr>
            </w:pPr>
          </w:p>
        </w:tc>
        <w:tc>
          <w:tcPr>
            <w:tcW w:w="634" w:type="dxa"/>
            <w:tcBorders>
              <w:tl2br w:val="nil"/>
              <w:tr2bl w:val="nil"/>
            </w:tcBorders>
            <w:vAlign w:val="center"/>
          </w:tcPr>
          <w:p w14:paraId="271E3FBA">
            <w:pPr>
              <w:pStyle w:val="30"/>
              <w:widowControl w:val="0"/>
              <w:bidi w:val="0"/>
              <w:rPr>
                <w:color w:val="auto"/>
                <w:lang w:val="en-US" w:eastAsia="en-US"/>
              </w:rPr>
            </w:pPr>
            <w:r>
              <w:rPr>
                <w:color w:val="auto"/>
                <w:lang w:val="en-US" w:eastAsia="en-US"/>
              </w:rPr>
              <w:t>28</w:t>
            </w:r>
          </w:p>
        </w:tc>
        <w:tc>
          <w:tcPr>
            <w:tcW w:w="2773" w:type="dxa"/>
            <w:tcBorders>
              <w:tl2br w:val="nil"/>
              <w:tr2bl w:val="nil"/>
            </w:tcBorders>
            <w:vAlign w:val="center"/>
          </w:tcPr>
          <w:p w14:paraId="32E7C90C">
            <w:pPr>
              <w:pStyle w:val="30"/>
              <w:widowControl w:val="0"/>
              <w:bidi w:val="0"/>
              <w:rPr>
                <w:color w:val="auto"/>
                <w:lang w:val="en-US" w:eastAsia="en-US"/>
              </w:rPr>
            </w:pPr>
            <w:r>
              <w:rPr>
                <w:color w:val="auto"/>
                <w:lang w:val="en-US" w:eastAsia="en-US"/>
              </w:rPr>
              <w:t>小欧</w:t>
            </w:r>
          </w:p>
        </w:tc>
        <w:tc>
          <w:tcPr>
            <w:tcW w:w="885" w:type="dxa"/>
            <w:tcBorders>
              <w:tl2br w:val="nil"/>
              <w:tr2bl w:val="nil"/>
            </w:tcBorders>
            <w:vAlign w:val="center"/>
          </w:tcPr>
          <w:p w14:paraId="6CADA868">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EFF6473">
            <w:pPr>
              <w:pStyle w:val="30"/>
              <w:widowControl w:val="0"/>
              <w:bidi w:val="0"/>
              <w:rPr>
                <w:color w:val="auto"/>
                <w:lang w:val="en-US" w:eastAsia="en-US"/>
              </w:rPr>
            </w:pPr>
            <w:r>
              <w:rPr>
                <w:color w:val="auto"/>
                <w:lang w:val="en-US" w:eastAsia="en-US"/>
              </w:rPr>
              <w:t>4453</w:t>
            </w:r>
          </w:p>
        </w:tc>
        <w:tc>
          <w:tcPr>
            <w:tcW w:w="1019" w:type="dxa"/>
            <w:tcBorders>
              <w:tl2br w:val="nil"/>
              <w:tr2bl w:val="nil"/>
            </w:tcBorders>
            <w:vAlign w:val="center"/>
          </w:tcPr>
          <w:p w14:paraId="3130D83C">
            <w:pPr>
              <w:pStyle w:val="30"/>
              <w:widowControl w:val="0"/>
              <w:bidi w:val="0"/>
              <w:rPr>
                <w:color w:val="auto"/>
                <w:lang w:val="en-US" w:eastAsia="en-US"/>
              </w:rPr>
            </w:pPr>
            <w:r>
              <w:rPr>
                <w:color w:val="auto"/>
                <w:lang w:val="en-US" w:eastAsia="en-US"/>
              </w:rPr>
              <w:t>180人</w:t>
            </w:r>
          </w:p>
        </w:tc>
        <w:tc>
          <w:tcPr>
            <w:tcW w:w="1716" w:type="dxa"/>
            <w:vMerge w:val="continue"/>
            <w:tcBorders>
              <w:tl2br w:val="nil"/>
              <w:tr2bl w:val="nil"/>
            </w:tcBorders>
            <w:vAlign w:val="center"/>
          </w:tcPr>
          <w:p w14:paraId="49BD05B1">
            <w:pPr>
              <w:pStyle w:val="30"/>
              <w:widowControl w:val="0"/>
              <w:bidi w:val="0"/>
              <w:rPr>
                <w:color w:val="auto"/>
                <w:lang w:val="en-US" w:eastAsia="en-US"/>
              </w:rPr>
            </w:pPr>
          </w:p>
        </w:tc>
      </w:tr>
      <w:tr w14:paraId="253024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000BF29">
            <w:pPr>
              <w:pStyle w:val="30"/>
              <w:widowControl w:val="0"/>
              <w:bidi w:val="0"/>
              <w:rPr>
                <w:color w:val="auto"/>
                <w:lang w:val="en-US" w:eastAsia="en-US"/>
              </w:rPr>
            </w:pPr>
          </w:p>
        </w:tc>
        <w:tc>
          <w:tcPr>
            <w:tcW w:w="634" w:type="dxa"/>
            <w:tcBorders>
              <w:tl2br w:val="nil"/>
              <w:tr2bl w:val="nil"/>
            </w:tcBorders>
            <w:vAlign w:val="center"/>
          </w:tcPr>
          <w:p w14:paraId="7A615F04">
            <w:pPr>
              <w:pStyle w:val="30"/>
              <w:widowControl w:val="0"/>
              <w:bidi w:val="0"/>
              <w:rPr>
                <w:color w:val="auto"/>
                <w:lang w:val="en-US" w:eastAsia="en-US"/>
              </w:rPr>
            </w:pPr>
            <w:r>
              <w:rPr>
                <w:color w:val="auto"/>
                <w:lang w:val="en-US" w:eastAsia="en-US"/>
              </w:rPr>
              <w:t>29</w:t>
            </w:r>
          </w:p>
        </w:tc>
        <w:tc>
          <w:tcPr>
            <w:tcW w:w="2773" w:type="dxa"/>
            <w:tcBorders>
              <w:tl2br w:val="nil"/>
              <w:tr2bl w:val="nil"/>
            </w:tcBorders>
            <w:vAlign w:val="center"/>
          </w:tcPr>
          <w:p w14:paraId="7B08CD98">
            <w:pPr>
              <w:pStyle w:val="30"/>
              <w:widowControl w:val="0"/>
              <w:bidi w:val="0"/>
              <w:rPr>
                <w:color w:val="auto"/>
                <w:lang w:val="en-US" w:eastAsia="en-US"/>
              </w:rPr>
            </w:pPr>
            <w:r>
              <w:rPr>
                <w:color w:val="auto"/>
                <w:lang w:val="en-US" w:eastAsia="en-US"/>
              </w:rPr>
              <w:t>涧南村</w:t>
            </w:r>
          </w:p>
        </w:tc>
        <w:tc>
          <w:tcPr>
            <w:tcW w:w="885" w:type="dxa"/>
            <w:tcBorders>
              <w:tl2br w:val="nil"/>
              <w:tr2bl w:val="nil"/>
            </w:tcBorders>
            <w:vAlign w:val="center"/>
          </w:tcPr>
          <w:p w14:paraId="76803785">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59C73F4">
            <w:pPr>
              <w:pStyle w:val="30"/>
              <w:widowControl w:val="0"/>
              <w:bidi w:val="0"/>
              <w:rPr>
                <w:color w:val="auto"/>
                <w:lang w:val="en-US" w:eastAsia="en-US"/>
              </w:rPr>
            </w:pPr>
            <w:r>
              <w:rPr>
                <w:color w:val="auto"/>
                <w:lang w:val="en-US" w:eastAsia="en-US"/>
              </w:rPr>
              <w:t>4588</w:t>
            </w:r>
          </w:p>
        </w:tc>
        <w:tc>
          <w:tcPr>
            <w:tcW w:w="1019" w:type="dxa"/>
            <w:tcBorders>
              <w:tl2br w:val="nil"/>
              <w:tr2bl w:val="nil"/>
            </w:tcBorders>
            <w:vAlign w:val="center"/>
          </w:tcPr>
          <w:p w14:paraId="134C3119">
            <w:pPr>
              <w:pStyle w:val="30"/>
              <w:widowControl w:val="0"/>
              <w:bidi w:val="0"/>
              <w:rPr>
                <w:color w:val="auto"/>
                <w:lang w:val="en-US" w:eastAsia="en-US"/>
              </w:rPr>
            </w:pPr>
            <w:r>
              <w:rPr>
                <w:color w:val="auto"/>
                <w:lang w:val="en-US" w:eastAsia="en-US"/>
              </w:rPr>
              <w:t>276人</w:t>
            </w:r>
          </w:p>
        </w:tc>
        <w:tc>
          <w:tcPr>
            <w:tcW w:w="1716" w:type="dxa"/>
            <w:vMerge w:val="continue"/>
            <w:tcBorders>
              <w:tl2br w:val="nil"/>
              <w:tr2bl w:val="nil"/>
            </w:tcBorders>
            <w:vAlign w:val="center"/>
          </w:tcPr>
          <w:p w14:paraId="7229F3D7">
            <w:pPr>
              <w:pStyle w:val="30"/>
              <w:widowControl w:val="0"/>
              <w:bidi w:val="0"/>
              <w:rPr>
                <w:color w:val="auto"/>
                <w:lang w:val="en-US" w:eastAsia="en-US"/>
              </w:rPr>
            </w:pPr>
          </w:p>
        </w:tc>
      </w:tr>
      <w:tr w14:paraId="664AB4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517AF87">
            <w:pPr>
              <w:pStyle w:val="30"/>
              <w:widowControl w:val="0"/>
              <w:bidi w:val="0"/>
              <w:rPr>
                <w:color w:val="auto"/>
                <w:lang w:val="en-US" w:eastAsia="en-US"/>
              </w:rPr>
            </w:pPr>
          </w:p>
        </w:tc>
        <w:tc>
          <w:tcPr>
            <w:tcW w:w="634" w:type="dxa"/>
            <w:tcBorders>
              <w:tl2br w:val="nil"/>
              <w:tr2bl w:val="nil"/>
            </w:tcBorders>
            <w:vAlign w:val="center"/>
          </w:tcPr>
          <w:p w14:paraId="0A9E4B41">
            <w:pPr>
              <w:pStyle w:val="30"/>
              <w:widowControl w:val="0"/>
              <w:bidi w:val="0"/>
              <w:rPr>
                <w:color w:val="auto"/>
                <w:lang w:val="en-US" w:eastAsia="en-US"/>
              </w:rPr>
            </w:pPr>
            <w:r>
              <w:rPr>
                <w:color w:val="auto"/>
                <w:lang w:val="en-US" w:eastAsia="en-US"/>
              </w:rPr>
              <w:t>30</w:t>
            </w:r>
          </w:p>
        </w:tc>
        <w:tc>
          <w:tcPr>
            <w:tcW w:w="2773" w:type="dxa"/>
            <w:tcBorders>
              <w:tl2br w:val="nil"/>
              <w:tr2bl w:val="nil"/>
            </w:tcBorders>
            <w:vAlign w:val="center"/>
          </w:tcPr>
          <w:p w14:paraId="28B1F919">
            <w:pPr>
              <w:pStyle w:val="30"/>
              <w:widowControl w:val="0"/>
              <w:bidi w:val="0"/>
              <w:rPr>
                <w:color w:val="auto"/>
                <w:lang w:val="en-US" w:eastAsia="en-US"/>
              </w:rPr>
            </w:pPr>
            <w:r>
              <w:rPr>
                <w:color w:val="auto"/>
                <w:lang w:val="en-US" w:eastAsia="en-US"/>
              </w:rPr>
              <w:t>西王村</w:t>
            </w:r>
          </w:p>
        </w:tc>
        <w:tc>
          <w:tcPr>
            <w:tcW w:w="885" w:type="dxa"/>
            <w:tcBorders>
              <w:tl2br w:val="nil"/>
              <w:tr2bl w:val="nil"/>
            </w:tcBorders>
            <w:vAlign w:val="center"/>
          </w:tcPr>
          <w:p w14:paraId="5A80551C">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1F80A9F5">
            <w:pPr>
              <w:pStyle w:val="30"/>
              <w:widowControl w:val="0"/>
              <w:bidi w:val="0"/>
              <w:rPr>
                <w:color w:val="auto"/>
                <w:lang w:val="en-US" w:eastAsia="en-US"/>
              </w:rPr>
            </w:pPr>
            <w:r>
              <w:rPr>
                <w:color w:val="auto"/>
                <w:lang w:val="en-US" w:eastAsia="en-US"/>
              </w:rPr>
              <w:t>3900</w:t>
            </w:r>
          </w:p>
        </w:tc>
        <w:tc>
          <w:tcPr>
            <w:tcW w:w="1019" w:type="dxa"/>
            <w:tcBorders>
              <w:tl2br w:val="nil"/>
              <w:tr2bl w:val="nil"/>
            </w:tcBorders>
            <w:vAlign w:val="center"/>
          </w:tcPr>
          <w:p w14:paraId="6A6C946C">
            <w:pPr>
              <w:pStyle w:val="30"/>
              <w:widowControl w:val="0"/>
              <w:bidi w:val="0"/>
              <w:rPr>
                <w:color w:val="auto"/>
                <w:lang w:val="en-US" w:eastAsia="en-US"/>
              </w:rPr>
            </w:pPr>
            <w:r>
              <w:rPr>
                <w:color w:val="auto"/>
                <w:lang w:val="en-US" w:eastAsia="en-US"/>
              </w:rPr>
              <w:t>354人</w:t>
            </w:r>
          </w:p>
        </w:tc>
        <w:tc>
          <w:tcPr>
            <w:tcW w:w="1716" w:type="dxa"/>
            <w:vMerge w:val="continue"/>
            <w:tcBorders>
              <w:tl2br w:val="nil"/>
              <w:tr2bl w:val="nil"/>
            </w:tcBorders>
            <w:vAlign w:val="center"/>
          </w:tcPr>
          <w:p w14:paraId="0EE80C2A">
            <w:pPr>
              <w:pStyle w:val="30"/>
              <w:widowControl w:val="0"/>
              <w:bidi w:val="0"/>
              <w:rPr>
                <w:color w:val="auto"/>
                <w:lang w:val="en-US" w:eastAsia="en-US"/>
              </w:rPr>
            </w:pPr>
          </w:p>
        </w:tc>
      </w:tr>
      <w:tr w14:paraId="6F4398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78F067F">
            <w:pPr>
              <w:pStyle w:val="30"/>
              <w:widowControl w:val="0"/>
              <w:bidi w:val="0"/>
              <w:rPr>
                <w:color w:val="auto"/>
                <w:lang w:val="en-US" w:eastAsia="en-US"/>
              </w:rPr>
            </w:pPr>
          </w:p>
        </w:tc>
        <w:tc>
          <w:tcPr>
            <w:tcW w:w="634" w:type="dxa"/>
            <w:tcBorders>
              <w:tl2br w:val="nil"/>
              <w:tr2bl w:val="nil"/>
            </w:tcBorders>
            <w:vAlign w:val="center"/>
          </w:tcPr>
          <w:p w14:paraId="2B72F08F">
            <w:pPr>
              <w:pStyle w:val="30"/>
              <w:widowControl w:val="0"/>
              <w:bidi w:val="0"/>
              <w:rPr>
                <w:color w:val="auto"/>
                <w:lang w:val="en-US" w:eastAsia="en-US"/>
              </w:rPr>
            </w:pPr>
            <w:r>
              <w:rPr>
                <w:color w:val="auto"/>
                <w:lang w:val="en-US" w:eastAsia="en-US"/>
              </w:rPr>
              <w:t>31</w:t>
            </w:r>
          </w:p>
        </w:tc>
        <w:tc>
          <w:tcPr>
            <w:tcW w:w="2773" w:type="dxa"/>
            <w:tcBorders>
              <w:tl2br w:val="nil"/>
              <w:tr2bl w:val="nil"/>
            </w:tcBorders>
            <w:vAlign w:val="center"/>
          </w:tcPr>
          <w:p w14:paraId="67B1D9D5">
            <w:pPr>
              <w:pStyle w:val="30"/>
              <w:widowControl w:val="0"/>
              <w:bidi w:val="0"/>
              <w:rPr>
                <w:color w:val="auto"/>
                <w:lang w:val="en-US" w:eastAsia="en-US"/>
              </w:rPr>
            </w:pPr>
            <w:r>
              <w:rPr>
                <w:color w:val="auto"/>
                <w:lang w:val="en-US" w:eastAsia="en-US"/>
              </w:rPr>
              <w:t>塘北</w:t>
            </w:r>
          </w:p>
        </w:tc>
        <w:tc>
          <w:tcPr>
            <w:tcW w:w="885" w:type="dxa"/>
            <w:tcBorders>
              <w:tl2br w:val="nil"/>
              <w:tr2bl w:val="nil"/>
            </w:tcBorders>
            <w:vAlign w:val="center"/>
          </w:tcPr>
          <w:p w14:paraId="0DADC9EE">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1648212B">
            <w:pPr>
              <w:pStyle w:val="30"/>
              <w:widowControl w:val="0"/>
              <w:bidi w:val="0"/>
              <w:rPr>
                <w:color w:val="auto"/>
                <w:lang w:val="en-US" w:eastAsia="en-US"/>
              </w:rPr>
            </w:pPr>
            <w:r>
              <w:rPr>
                <w:color w:val="auto"/>
                <w:lang w:val="en-US" w:eastAsia="en-US"/>
              </w:rPr>
              <w:t>3098</w:t>
            </w:r>
          </w:p>
        </w:tc>
        <w:tc>
          <w:tcPr>
            <w:tcW w:w="1019" w:type="dxa"/>
            <w:tcBorders>
              <w:tl2br w:val="nil"/>
              <w:tr2bl w:val="nil"/>
            </w:tcBorders>
            <w:vAlign w:val="center"/>
          </w:tcPr>
          <w:p w14:paraId="7CB339BE">
            <w:pPr>
              <w:pStyle w:val="30"/>
              <w:widowControl w:val="0"/>
              <w:bidi w:val="0"/>
              <w:rPr>
                <w:color w:val="auto"/>
                <w:lang w:val="en-US" w:eastAsia="en-US"/>
              </w:rPr>
            </w:pPr>
            <w:r>
              <w:rPr>
                <w:color w:val="auto"/>
                <w:lang w:val="en-US" w:eastAsia="en-US"/>
              </w:rPr>
              <w:t>324人</w:t>
            </w:r>
          </w:p>
        </w:tc>
        <w:tc>
          <w:tcPr>
            <w:tcW w:w="1716" w:type="dxa"/>
            <w:vMerge w:val="continue"/>
            <w:tcBorders>
              <w:tl2br w:val="nil"/>
              <w:tr2bl w:val="nil"/>
            </w:tcBorders>
            <w:vAlign w:val="center"/>
          </w:tcPr>
          <w:p w14:paraId="3077F109">
            <w:pPr>
              <w:pStyle w:val="30"/>
              <w:widowControl w:val="0"/>
              <w:bidi w:val="0"/>
              <w:rPr>
                <w:color w:val="auto"/>
                <w:lang w:val="en-US" w:eastAsia="en-US"/>
              </w:rPr>
            </w:pPr>
          </w:p>
        </w:tc>
      </w:tr>
      <w:tr w14:paraId="406072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562C3B9">
            <w:pPr>
              <w:pStyle w:val="30"/>
              <w:widowControl w:val="0"/>
              <w:bidi w:val="0"/>
              <w:rPr>
                <w:color w:val="auto"/>
                <w:lang w:val="en-US" w:eastAsia="en-US"/>
              </w:rPr>
            </w:pPr>
          </w:p>
        </w:tc>
        <w:tc>
          <w:tcPr>
            <w:tcW w:w="634" w:type="dxa"/>
            <w:tcBorders>
              <w:tl2br w:val="nil"/>
              <w:tr2bl w:val="nil"/>
            </w:tcBorders>
            <w:vAlign w:val="center"/>
          </w:tcPr>
          <w:p w14:paraId="5F3BF7F9">
            <w:pPr>
              <w:pStyle w:val="30"/>
              <w:widowControl w:val="0"/>
              <w:bidi w:val="0"/>
              <w:rPr>
                <w:color w:val="auto"/>
                <w:lang w:val="en-US" w:eastAsia="en-US"/>
              </w:rPr>
            </w:pPr>
            <w:r>
              <w:rPr>
                <w:color w:val="auto"/>
                <w:lang w:val="en-US" w:eastAsia="en-US"/>
              </w:rPr>
              <w:t>32</w:t>
            </w:r>
          </w:p>
        </w:tc>
        <w:tc>
          <w:tcPr>
            <w:tcW w:w="2773" w:type="dxa"/>
            <w:tcBorders>
              <w:tl2br w:val="nil"/>
              <w:tr2bl w:val="nil"/>
            </w:tcBorders>
            <w:vAlign w:val="center"/>
          </w:tcPr>
          <w:p w14:paraId="06D99FCB">
            <w:pPr>
              <w:pStyle w:val="30"/>
              <w:widowControl w:val="0"/>
              <w:bidi w:val="0"/>
              <w:rPr>
                <w:color w:val="auto"/>
                <w:lang w:val="en-US" w:eastAsia="en-US"/>
              </w:rPr>
            </w:pPr>
            <w:r>
              <w:rPr>
                <w:color w:val="auto"/>
                <w:lang w:val="en-US" w:eastAsia="en-US"/>
              </w:rPr>
              <w:t>桥南村</w:t>
            </w:r>
          </w:p>
        </w:tc>
        <w:tc>
          <w:tcPr>
            <w:tcW w:w="885" w:type="dxa"/>
            <w:tcBorders>
              <w:tl2br w:val="nil"/>
              <w:tr2bl w:val="nil"/>
            </w:tcBorders>
            <w:vAlign w:val="center"/>
          </w:tcPr>
          <w:p w14:paraId="7B03B984">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66E4E7CF">
            <w:pPr>
              <w:pStyle w:val="30"/>
              <w:widowControl w:val="0"/>
              <w:bidi w:val="0"/>
              <w:rPr>
                <w:color w:val="auto"/>
                <w:lang w:val="en-US" w:eastAsia="en-US"/>
              </w:rPr>
            </w:pPr>
            <w:r>
              <w:rPr>
                <w:color w:val="auto"/>
                <w:lang w:val="en-US" w:eastAsia="en-US"/>
              </w:rPr>
              <w:t>4125</w:t>
            </w:r>
          </w:p>
        </w:tc>
        <w:tc>
          <w:tcPr>
            <w:tcW w:w="1019" w:type="dxa"/>
            <w:tcBorders>
              <w:tl2br w:val="nil"/>
              <w:tr2bl w:val="nil"/>
            </w:tcBorders>
            <w:vAlign w:val="center"/>
          </w:tcPr>
          <w:p w14:paraId="120F6080">
            <w:pPr>
              <w:pStyle w:val="30"/>
              <w:widowControl w:val="0"/>
              <w:bidi w:val="0"/>
              <w:rPr>
                <w:color w:val="auto"/>
                <w:lang w:val="en-US" w:eastAsia="en-US"/>
              </w:rPr>
            </w:pPr>
            <w:r>
              <w:rPr>
                <w:color w:val="auto"/>
                <w:lang w:val="en-US" w:eastAsia="en-US"/>
              </w:rPr>
              <w:t>28人</w:t>
            </w:r>
          </w:p>
        </w:tc>
        <w:tc>
          <w:tcPr>
            <w:tcW w:w="1716" w:type="dxa"/>
            <w:vMerge w:val="continue"/>
            <w:tcBorders>
              <w:tl2br w:val="nil"/>
              <w:tr2bl w:val="nil"/>
            </w:tcBorders>
            <w:vAlign w:val="center"/>
          </w:tcPr>
          <w:p w14:paraId="494867B8">
            <w:pPr>
              <w:pStyle w:val="30"/>
              <w:widowControl w:val="0"/>
              <w:bidi w:val="0"/>
              <w:rPr>
                <w:color w:val="auto"/>
                <w:lang w:val="en-US" w:eastAsia="en-US"/>
              </w:rPr>
            </w:pPr>
          </w:p>
        </w:tc>
      </w:tr>
      <w:tr w14:paraId="4D5DFB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C6A6454">
            <w:pPr>
              <w:pStyle w:val="30"/>
              <w:widowControl w:val="0"/>
              <w:bidi w:val="0"/>
              <w:rPr>
                <w:color w:val="auto"/>
                <w:lang w:val="en-US" w:eastAsia="en-US"/>
              </w:rPr>
            </w:pPr>
          </w:p>
        </w:tc>
        <w:tc>
          <w:tcPr>
            <w:tcW w:w="634" w:type="dxa"/>
            <w:tcBorders>
              <w:tl2br w:val="nil"/>
              <w:tr2bl w:val="nil"/>
            </w:tcBorders>
            <w:vAlign w:val="center"/>
          </w:tcPr>
          <w:p w14:paraId="55877F0F">
            <w:pPr>
              <w:pStyle w:val="30"/>
              <w:widowControl w:val="0"/>
              <w:bidi w:val="0"/>
              <w:rPr>
                <w:color w:val="auto"/>
                <w:lang w:val="en-US" w:eastAsia="en-US"/>
              </w:rPr>
            </w:pPr>
            <w:r>
              <w:rPr>
                <w:color w:val="auto"/>
                <w:lang w:val="en-US" w:eastAsia="en-US"/>
              </w:rPr>
              <w:t>33</w:t>
            </w:r>
          </w:p>
        </w:tc>
        <w:tc>
          <w:tcPr>
            <w:tcW w:w="2773" w:type="dxa"/>
            <w:tcBorders>
              <w:tl2br w:val="nil"/>
              <w:tr2bl w:val="nil"/>
            </w:tcBorders>
            <w:vAlign w:val="center"/>
          </w:tcPr>
          <w:p w14:paraId="16E9DB64">
            <w:pPr>
              <w:pStyle w:val="30"/>
              <w:widowControl w:val="0"/>
              <w:bidi w:val="0"/>
              <w:rPr>
                <w:color w:val="auto"/>
                <w:lang w:val="en-US" w:eastAsia="en-US"/>
              </w:rPr>
            </w:pPr>
            <w:r>
              <w:rPr>
                <w:color w:val="auto"/>
                <w:lang w:val="en-US" w:eastAsia="en-US"/>
              </w:rPr>
              <w:t>小薛村</w:t>
            </w:r>
          </w:p>
        </w:tc>
        <w:tc>
          <w:tcPr>
            <w:tcW w:w="885" w:type="dxa"/>
            <w:tcBorders>
              <w:tl2br w:val="nil"/>
              <w:tr2bl w:val="nil"/>
            </w:tcBorders>
            <w:vAlign w:val="center"/>
          </w:tcPr>
          <w:p w14:paraId="5C4BBE73">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4B4CB662">
            <w:pPr>
              <w:pStyle w:val="30"/>
              <w:widowControl w:val="0"/>
              <w:bidi w:val="0"/>
              <w:rPr>
                <w:color w:val="auto"/>
                <w:lang w:val="en-US" w:eastAsia="en-US"/>
              </w:rPr>
            </w:pPr>
            <w:r>
              <w:rPr>
                <w:color w:val="auto"/>
                <w:lang w:val="en-US" w:eastAsia="en-US"/>
              </w:rPr>
              <w:t>3495</w:t>
            </w:r>
          </w:p>
        </w:tc>
        <w:tc>
          <w:tcPr>
            <w:tcW w:w="1019" w:type="dxa"/>
            <w:tcBorders>
              <w:tl2br w:val="nil"/>
              <w:tr2bl w:val="nil"/>
            </w:tcBorders>
            <w:vAlign w:val="center"/>
          </w:tcPr>
          <w:p w14:paraId="73689AF7">
            <w:pPr>
              <w:pStyle w:val="30"/>
              <w:widowControl w:val="0"/>
              <w:bidi w:val="0"/>
              <w:rPr>
                <w:color w:val="auto"/>
                <w:lang w:val="en-US" w:eastAsia="en-US"/>
              </w:rPr>
            </w:pPr>
            <w:r>
              <w:rPr>
                <w:color w:val="auto"/>
                <w:lang w:val="en-US" w:eastAsia="en-US"/>
              </w:rPr>
              <w:t>79人</w:t>
            </w:r>
          </w:p>
        </w:tc>
        <w:tc>
          <w:tcPr>
            <w:tcW w:w="1716" w:type="dxa"/>
            <w:vMerge w:val="continue"/>
            <w:tcBorders>
              <w:tl2br w:val="nil"/>
              <w:tr2bl w:val="nil"/>
            </w:tcBorders>
            <w:vAlign w:val="center"/>
          </w:tcPr>
          <w:p w14:paraId="1062D56B">
            <w:pPr>
              <w:pStyle w:val="30"/>
              <w:widowControl w:val="0"/>
              <w:bidi w:val="0"/>
              <w:rPr>
                <w:color w:val="auto"/>
                <w:lang w:val="en-US" w:eastAsia="en-US"/>
              </w:rPr>
            </w:pPr>
          </w:p>
        </w:tc>
      </w:tr>
      <w:tr w14:paraId="163414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A4669CC">
            <w:pPr>
              <w:pStyle w:val="30"/>
              <w:widowControl w:val="0"/>
              <w:bidi w:val="0"/>
              <w:rPr>
                <w:color w:val="auto"/>
                <w:lang w:val="en-US" w:eastAsia="en-US"/>
              </w:rPr>
            </w:pPr>
          </w:p>
        </w:tc>
        <w:tc>
          <w:tcPr>
            <w:tcW w:w="634" w:type="dxa"/>
            <w:tcBorders>
              <w:tl2br w:val="nil"/>
              <w:tr2bl w:val="nil"/>
            </w:tcBorders>
            <w:vAlign w:val="center"/>
          </w:tcPr>
          <w:p w14:paraId="52F011F3">
            <w:pPr>
              <w:pStyle w:val="30"/>
              <w:widowControl w:val="0"/>
              <w:bidi w:val="0"/>
              <w:rPr>
                <w:color w:val="auto"/>
                <w:lang w:val="en-US" w:eastAsia="en-US"/>
              </w:rPr>
            </w:pPr>
            <w:r>
              <w:rPr>
                <w:color w:val="auto"/>
                <w:lang w:val="en-US" w:eastAsia="en-US"/>
              </w:rPr>
              <w:t>34</w:t>
            </w:r>
          </w:p>
        </w:tc>
        <w:tc>
          <w:tcPr>
            <w:tcW w:w="2773" w:type="dxa"/>
            <w:tcBorders>
              <w:tl2br w:val="nil"/>
              <w:tr2bl w:val="nil"/>
            </w:tcBorders>
            <w:vAlign w:val="center"/>
          </w:tcPr>
          <w:p w14:paraId="4996A00F">
            <w:pPr>
              <w:pStyle w:val="30"/>
              <w:widowControl w:val="0"/>
              <w:bidi w:val="0"/>
              <w:rPr>
                <w:color w:val="auto"/>
                <w:lang w:val="en-US" w:eastAsia="en-US"/>
              </w:rPr>
            </w:pPr>
            <w:r>
              <w:rPr>
                <w:color w:val="auto"/>
                <w:lang w:val="en-US" w:eastAsia="en-US"/>
              </w:rPr>
              <w:t>竹西村</w:t>
            </w:r>
          </w:p>
        </w:tc>
        <w:tc>
          <w:tcPr>
            <w:tcW w:w="885" w:type="dxa"/>
            <w:tcBorders>
              <w:tl2br w:val="nil"/>
              <w:tr2bl w:val="nil"/>
            </w:tcBorders>
            <w:vAlign w:val="center"/>
          </w:tcPr>
          <w:p w14:paraId="2C3DCF15">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5AA5A8D1">
            <w:pPr>
              <w:pStyle w:val="30"/>
              <w:widowControl w:val="0"/>
              <w:bidi w:val="0"/>
              <w:rPr>
                <w:color w:val="auto"/>
                <w:lang w:val="en-US" w:eastAsia="en-US"/>
              </w:rPr>
            </w:pPr>
            <w:r>
              <w:rPr>
                <w:color w:val="auto"/>
                <w:lang w:val="en-US" w:eastAsia="en-US"/>
              </w:rPr>
              <w:t>3104</w:t>
            </w:r>
          </w:p>
        </w:tc>
        <w:tc>
          <w:tcPr>
            <w:tcW w:w="1019" w:type="dxa"/>
            <w:tcBorders>
              <w:tl2br w:val="nil"/>
              <w:tr2bl w:val="nil"/>
            </w:tcBorders>
            <w:vAlign w:val="center"/>
          </w:tcPr>
          <w:p w14:paraId="2845C433">
            <w:pPr>
              <w:pStyle w:val="30"/>
              <w:widowControl w:val="0"/>
              <w:bidi w:val="0"/>
              <w:rPr>
                <w:color w:val="auto"/>
                <w:lang w:val="en-US" w:eastAsia="en-US"/>
              </w:rPr>
            </w:pPr>
            <w:r>
              <w:rPr>
                <w:color w:val="auto"/>
                <w:lang w:val="en-US" w:eastAsia="en-US"/>
              </w:rPr>
              <w:t>117人</w:t>
            </w:r>
          </w:p>
        </w:tc>
        <w:tc>
          <w:tcPr>
            <w:tcW w:w="1716" w:type="dxa"/>
            <w:vMerge w:val="continue"/>
            <w:tcBorders>
              <w:tl2br w:val="nil"/>
              <w:tr2bl w:val="nil"/>
            </w:tcBorders>
            <w:vAlign w:val="center"/>
          </w:tcPr>
          <w:p w14:paraId="2D7388BF">
            <w:pPr>
              <w:pStyle w:val="30"/>
              <w:widowControl w:val="0"/>
              <w:bidi w:val="0"/>
              <w:rPr>
                <w:color w:val="auto"/>
                <w:lang w:val="en-US" w:eastAsia="en-US"/>
              </w:rPr>
            </w:pPr>
          </w:p>
        </w:tc>
      </w:tr>
      <w:tr w14:paraId="67F8A2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C92C7A1">
            <w:pPr>
              <w:pStyle w:val="30"/>
              <w:widowControl w:val="0"/>
              <w:bidi w:val="0"/>
              <w:rPr>
                <w:color w:val="auto"/>
                <w:lang w:val="en-US" w:eastAsia="en-US"/>
              </w:rPr>
            </w:pPr>
          </w:p>
        </w:tc>
        <w:tc>
          <w:tcPr>
            <w:tcW w:w="634" w:type="dxa"/>
            <w:tcBorders>
              <w:tl2br w:val="nil"/>
              <w:tr2bl w:val="nil"/>
            </w:tcBorders>
            <w:vAlign w:val="center"/>
          </w:tcPr>
          <w:p w14:paraId="109313FE">
            <w:pPr>
              <w:pStyle w:val="30"/>
              <w:widowControl w:val="0"/>
              <w:bidi w:val="0"/>
              <w:rPr>
                <w:color w:val="auto"/>
                <w:lang w:val="en-US" w:eastAsia="en-US"/>
              </w:rPr>
            </w:pPr>
            <w:r>
              <w:rPr>
                <w:color w:val="auto"/>
                <w:lang w:val="en-US" w:eastAsia="en-US"/>
              </w:rPr>
              <w:t>35</w:t>
            </w:r>
          </w:p>
        </w:tc>
        <w:tc>
          <w:tcPr>
            <w:tcW w:w="2773" w:type="dxa"/>
            <w:tcBorders>
              <w:tl2br w:val="nil"/>
              <w:tr2bl w:val="nil"/>
            </w:tcBorders>
            <w:vAlign w:val="center"/>
          </w:tcPr>
          <w:p w14:paraId="418F09C1">
            <w:pPr>
              <w:pStyle w:val="30"/>
              <w:widowControl w:val="0"/>
              <w:bidi w:val="0"/>
              <w:rPr>
                <w:color w:val="auto"/>
                <w:lang w:val="en-US" w:eastAsia="en-US"/>
              </w:rPr>
            </w:pPr>
            <w:r>
              <w:rPr>
                <w:color w:val="auto"/>
                <w:lang w:val="en-US" w:eastAsia="en-US"/>
              </w:rPr>
              <w:t>张油坊</w:t>
            </w:r>
          </w:p>
        </w:tc>
        <w:tc>
          <w:tcPr>
            <w:tcW w:w="885" w:type="dxa"/>
            <w:tcBorders>
              <w:tl2br w:val="nil"/>
              <w:tr2bl w:val="nil"/>
            </w:tcBorders>
            <w:vAlign w:val="center"/>
          </w:tcPr>
          <w:p w14:paraId="035C6E0F">
            <w:pPr>
              <w:pStyle w:val="30"/>
              <w:widowControl w:val="0"/>
              <w:bidi w:val="0"/>
              <w:rPr>
                <w:color w:val="auto"/>
                <w:lang w:val="en-US" w:eastAsia="en-US"/>
              </w:rPr>
            </w:pPr>
            <w:r>
              <w:rPr>
                <w:color w:val="auto"/>
                <w:lang w:val="en-US" w:eastAsia="en-US"/>
              </w:rPr>
              <w:t>SW</w:t>
            </w:r>
          </w:p>
        </w:tc>
        <w:tc>
          <w:tcPr>
            <w:tcW w:w="1124" w:type="dxa"/>
            <w:tcBorders>
              <w:tl2br w:val="nil"/>
              <w:tr2bl w:val="nil"/>
            </w:tcBorders>
            <w:vAlign w:val="center"/>
          </w:tcPr>
          <w:p w14:paraId="177E4E9B">
            <w:pPr>
              <w:pStyle w:val="30"/>
              <w:widowControl w:val="0"/>
              <w:bidi w:val="0"/>
              <w:rPr>
                <w:color w:val="auto"/>
                <w:lang w:val="en-US" w:eastAsia="en-US"/>
              </w:rPr>
            </w:pPr>
            <w:r>
              <w:rPr>
                <w:color w:val="auto"/>
                <w:lang w:val="en-US" w:eastAsia="en-US"/>
              </w:rPr>
              <w:t>3733</w:t>
            </w:r>
          </w:p>
        </w:tc>
        <w:tc>
          <w:tcPr>
            <w:tcW w:w="1019" w:type="dxa"/>
            <w:tcBorders>
              <w:tl2br w:val="nil"/>
              <w:tr2bl w:val="nil"/>
            </w:tcBorders>
            <w:vAlign w:val="center"/>
          </w:tcPr>
          <w:p w14:paraId="5A75EF8B">
            <w:pPr>
              <w:pStyle w:val="30"/>
              <w:widowControl w:val="0"/>
              <w:bidi w:val="0"/>
              <w:rPr>
                <w:color w:val="auto"/>
                <w:lang w:val="en-US" w:eastAsia="en-US"/>
              </w:rPr>
            </w:pPr>
            <w:r>
              <w:rPr>
                <w:color w:val="auto"/>
                <w:lang w:val="en-US" w:eastAsia="en-US"/>
              </w:rPr>
              <w:t>88人</w:t>
            </w:r>
          </w:p>
        </w:tc>
        <w:tc>
          <w:tcPr>
            <w:tcW w:w="1716" w:type="dxa"/>
            <w:vMerge w:val="continue"/>
            <w:tcBorders>
              <w:tl2br w:val="nil"/>
              <w:tr2bl w:val="nil"/>
            </w:tcBorders>
            <w:vAlign w:val="center"/>
          </w:tcPr>
          <w:p w14:paraId="3B11AB6E">
            <w:pPr>
              <w:pStyle w:val="30"/>
              <w:widowControl w:val="0"/>
              <w:bidi w:val="0"/>
              <w:rPr>
                <w:color w:val="auto"/>
                <w:lang w:val="en-US" w:eastAsia="en-US"/>
              </w:rPr>
            </w:pPr>
          </w:p>
        </w:tc>
      </w:tr>
      <w:tr w14:paraId="2D4ADD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0753F2F8">
            <w:pPr>
              <w:pStyle w:val="30"/>
              <w:widowControl w:val="0"/>
              <w:bidi w:val="0"/>
              <w:rPr>
                <w:color w:val="auto"/>
                <w:lang w:val="en-US" w:eastAsia="en-US"/>
              </w:rPr>
            </w:pPr>
          </w:p>
        </w:tc>
        <w:tc>
          <w:tcPr>
            <w:tcW w:w="634" w:type="dxa"/>
            <w:tcBorders>
              <w:tl2br w:val="nil"/>
              <w:tr2bl w:val="nil"/>
            </w:tcBorders>
            <w:vAlign w:val="center"/>
          </w:tcPr>
          <w:p w14:paraId="6FE005BF">
            <w:pPr>
              <w:pStyle w:val="30"/>
              <w:widowControl w:val="0"/>
              <w:bidi w:val="0"/>
              <w:rPr>
                <w:color w:val="auto"/>
                <w:lang w:val="en-US" w:eastAsia="en-US"/>
              </w:rPr>
            </w:pPr>
            <w:r>
              <w:rPr>
                <w:color w:val="auto"/>
                <w:lang w:val="en-US" w:eastAsia="en-US"/>
              </w:rPr>
              <w:t>36</w:t>
            </w:r>
          </w:p>
        </w:tc>
        <w:tc>
          <w:tcPr>
            <w:tcW w:w="2773" w:type="dxa"/>
            <w:tcBorders>
              <w:tl2br w:val="nil"/>
              <w:tr2bl w:val="nil"/>
            </w:tcBorders>
            <w:vAlign w:val="center"/>
          </w:tcPr>
          <w:p w14:paraId="46D6A7E3">
            <w:pPr>
              <w:pStyle w:val="30"/>
              <w:widowControl w:val="0"/>
              <w:bidi w:val="0"/>
              <w:rPr>
                <w:color w:val="auto"/>
                <w:lang w:val="en-US" w:eastAsia="en-US"/>
              </w:rPr>
            </w:pPr>
            <w:r>
              <w:rPr>
                <w:color w:val="auto"/>
                <w:lang w:val="en-US" w:eastAsia="en-US"/>
              </w:rPr>
              <w:t>魏陈</w:t>
            </w:r>
          </w:p>
        </w:tc>
        <w:tc>
          <w:tcPr>
            <w:tcW w:w="885" w:type="dxa"/>
            <w:tcBorders>
              <w:tl2br w:val="nil"/>
              <w:tr2bl w:val="nil"/>
            </w:tcBorders>
            <w:vAlign w:val="center"/>
          </w:tcPr>
          <w:p w14:paraId="3DFEF340">
            <w:pPr>
              <w:pStyle w:val="30"/>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2FCAF314">
            <w:pPr>
              <w:pStyle w:val="30"/>
              <w:widowControl w:val="0"/>
              <w:bidi w:val="0"/>
              <w:rPr>
                <w:color w:val="auto"/>
                <w:lang w:val="en-US" w:eastAsia="en-US"/>
              </w:rPr>
            </w:pPr>
            <w:r>
              <w:rPr>
                <w:color w:val="auto"/>
                <w:lang w:val="en-US" w:eastAsia="en-US"/>
              </w:rPr>
              <w:t>3754</w:t>
            </w:r>
          </w:p>
        </w:tc>
        <w:tc>
          <w:tcPr>
            <w:tcW w:w="1019" w:type="dxa"/>
            <w:tcBorders>
              <w:tl2br w:val="nil"/>
              <w:tr2bl w:val="nil"/>
            </w:tcBorders>
            <w:vAlign w:val="center"/>
          </w:tcPr>
          <w:p w14:paraId="6ECD6B08">
            <w:pPr>
              <w:pStyle w:val="30"/>
              <w:widowControl w:val="0"/>
              <w:bidi w:val="0"/>
              <w:rPr>
                <w:color w:val="auto"/>
                <w:lang w:val="en-US" w:eastAsia="en-US"/>
              </w:rPr>
            </w:pPr>
            <w:r>
              <w:rPr>
                <w:color w:val="auto"/>
                <w:lang w:val="en-US" w:eastAsia="en-US"/>
              </w:rPr>
              <w:t>144人</w:t>
            </w:r>
          </w:p>
        </w:tc>
        <w:tc>
          <w:tcPr>
            <w:tcW w:w="1716" w:type="dxa"/>
            <w:vMerge w:val="continue"/>
            <w:tcBorders>
              <w:tl2br w:val="nil"/>
              <w:tr2bl w:val="nil"/>
            </w:tcBorders>
            <w:vAlign w:val="center"/>
          </w:tcPr>
          <w:p w14:paraId="5BAB8493">
            <w:pPr>
              <w:pStyle w:val="30"/>
              <w:widowControl w:val="0"/>
              <w:bidi w:val="0"/>
              <w:rPr>
                <w:color w:val="auto"/>
                <w:lang w:val="en-US" w:eastAsia="en-US"/>
              </w:rPr>
            </w:pPr>
          </w:p>
        </w:tc>
      </w:tr>
      <w:tr w14:paraId="0396FA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F97C0EB">
            <w:pPr>
              <w:pStyle w:val="30"/>
              <w:widowControl w:val="0"/>
              <w:bidi w:val="0"/>
              <w:rPr>
                <w:color w:val="auto"/>
                <w:lang w:val="en-US" w:eastAsia="en-US"/>
              </w:rPr>
            </w:pPr>
          </w:p>
        </w:tc>
        <w:tc>
          <w:tcPr>
            <w:tcW w:w="634" w:type="dxa"/>
            <w:tcBorders>
              <w:tl2br w:val="nil"/>
              <w:tr2bl w:val="nil"/>
            </w:tcBorders>
            <w:vAlign w:val="center"/>
          </w:tcPr>
          <w:p w14:paraId="3CD2684F">
            <w:pPr>
              <w:pStyle w:val="30"/>
              <w:widowControl w:val="0"/>
              <w:bidi w:val="0"/>
              <w:rPr>
                <w:color w:val="auto"/>
                <w:lang w:val="en-US" w:eastAsia="en-US"/>
              </w:rPr>
            </w:pPr>
            <w:r>
              <w:rPr>
                <w:color w:val="auto"/>
                <w:lang w:val="en-US" w:eastAsia="en-US"/>
              </w:rPr>
              <w:t>37</w:t>
            </w:r>
          </w:p>
        </w:tc>
        <w:tc>
          <w:tcPr>
            <w:tcW w:w="2773" w:type="dxa"/>
            <w:tcBorders>
              <w:tl2br w:val="nil"/>
              <w:tr2bl w:val="nil"/>
            </w:tcBorders>
            <w:vAlign w:val="center"/>
          </w:tcPr>
          <w:p w14:paraId="64E4C927">
            <w:pPr>
              <w:pStyle w:val="30"/>
              <w:widowControl w:val="0"/>
              <w:bidi w:val="0"/>
              <w:rPr>
                <w:color w:val="auto"/>
                <w:lang w:val="en-US" w:eastAsia="en-US"/>
              </w:rPr>
            </w:pPr>
            <w:r>
              <w:rPr>
                <w:color w:val="auto"/>
                <w:lang w:val="en-US" w:eastAsia="en-US"/>
              </w:rPr>
              <w:t>碑坊村</w:t>
            </w:r>
          </w:p>
        </w:tc>
        <w:tc>
          <w:tcPr>
            <w:tcW w:w="885" w:type="dxa"/>
            <w:tcBorders>
              <w:tl2br w:val="nil"/>
              <w:tr2bl w:val="nil"/>
            </w:tcBorders>
            <w:vAlign w:val="center"/>
          </w:tcPr>
          <w:p w14:paraId="2792A8D2">
            <w:pPr>
              <w:pStyle w:val="30"/>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224851A5">
            <w:pPr>
              <w:pStyle w:val="30"/>
              <w:widowControl w:val="0"/>
              <w:bidi w:val="0"/>
              <w:rPr>
                <w:color w:val="auto"/>
                <w:lang w:val="en-US" w:eastAsia="en-US"/>
              </w:rPr>
            </w:pPr>
            <w:r>
              <w:rPr>
                <w:color w:val="auto"/>
                <w:lang w:val="en-US" w:eastAsia="en-US"/>
              </w:rPr>
              <w:t>3775</w:t>
            </w:r>
          </w:p>
        </w:tc>
        <w:tc>
          <w:tcPr>
            <w:tcW w:w="1019" w:type="dxa"/>
            <w:tcBorders>
              <w:tl2br w:val="nil"/>
              <w:tr2bl w:val="nil"/>
            </w:tcBorders>
            <w:vAlign w:val="center"/>
          </w:tcPr>
          <w:p w14:paraId="53BE9781">
            <w:pPr>
              <w:pStyle w:val="30"/>
              <w:widowControl w:val="0"/>
              <w:bidi w:val="0"/>
              <w:rPr>
                <w:color w:val="auto"/>
                <w:lang w:val="en-US" w:eastAsia="en-US"/>
              </w:rPr>
            </w:pPr>
            <w:r>
              <w:rPr>
                <w:color w:val="auto"/>
                <w:lang w:val="en-US" w:eastAsia="en-US"/>
              </w:rPr>
              <w:t>147人</w:t>
            </w:r>
          </w:p>
        </w:tc>
        <w:tc>
          <w:tcPr>
            <w:tcW w:w="1716" w:type="dxa"/>
            <w:vMerge w:val="continue"/>
            <w:tcBorders>
              <w:tl2br w:val="nil"/>
              <w:tr2bl w:val="nil"/>
            </w:tcBorders>
            <w:vAlign w:val="center"/>
          </w:tcPr>
          <w:p w14:paraId="27513167">
            <w:pPr>
              <w:pStyle w:val="30"/>
              <w:widowControl w:val="0"/>
              <w:bidi w:val="0"/>
              <w:rPr>
                <w:color w:val="auto"/>
                <w:lang w:val="en-US" w:eastAsia="en-US"/>
              </w:rPr>
            </w:pPr>
          </w:p>
        </w:tc>
      </w:tr>
      <w:tr w14:paraId="0DDC75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5095881">
            <w:pPr>
              <w:pStyle w:val="30"/>
              <w:widowControl w:val="0"/>
              <w:bidi w:val="0"/>
              <w:rPr>
                <w:color w:val="auto"/>
                <w:lang w:val="en-US" w:eastAsia="en-US"/>
              </w:rPr>
            </w:pPr>
          </w:p>
        </w:tc>
        <w:tc>
          <w:tcPr>
            <w:tcW w:w="634" w:type="dxa"/>
            <w:tcBorders>
              <w:tl2br w:val="nil"/>
              <w:tr2bl w:val="nil"/>
            </w:tcBorders>
            <w:vAlign w:val="center"/>
          </w:tcPr>
          <w:p w14:paraId="2DB6B4BA">
            <w:pPr>
              <w:pStyle w:val="30"/>
              <w:widowControl w:val="0"/>
              <w:bidi w:val="0"/>
              <w:rPr>
                <w:color w:val="auto"/>
                <w:lang w:val="en-US" w:eastAsia="en-US"/>
              </w:rPr>
            </w:pPr>
            <w:r>
              <w:rPr>
                <w:color w:val="auto"/>
                <w:lang w:val="en-US" w:eastAsia="en-US"/>
              </w:rPr>
              <w:t>38</w:t>
            </w:r>
          </w:p>
        </w:tc>
        <w:tc>
          <w:tcPr>
            <w:tcW w:w="2773" w:type="dxa"/>
            <w:tcBorders>
              <w:tl2br w:val="nil"/>
              <w:tr2bl w:val="nil"/>
            </w:tcBorders>
            <w:vAlign w:val="center"/>
          </w:tcPr>
          <w:p w14:paraId="3CB6068D">
            <w:pPr>
              <w:pStyle w:val="30"/>
              <w:widowControl w:val="0"/>
              <w:bidi w:val="0"/>
              <w:rPr>
                <w:color w:val="auto"/>
                <w:lang w:val="en-US" w:eastAsia="en-US"/>
              </w:rPr>
            </w:pPr>
            <w:r>
              <w:rPr>
                <w:color w:val="auto"/>
                <w:lang w:val="en-US" w:eastAsia="en-US"/>
              </w:rPr>
              <w:t>袁小郢</w:t>
            </w:r>
          </w:p>
        </w:tc>
        <w:tc>
          <w:tcPr>
            <w:tcW w:w="885" w:type="dxa"/>
            <w:tcBorders>
              <w:tl2br w:val="nil"/>
              <w:tr2bl w:val="nil"/>
            </w:tcBorders>
            <w:vAlign w:val="center"/>
          </w:tcPr>
          <w:p w14:paraId="1C94F059">
            <w:pPr>
              <w:pStyle w:val="30"/>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37AAE7FA">
            <w:pPr>
              <w:pStyle w:val="30"/>
              <w:widowControl w:val="0"/>
              <w:bidi w:val="0"/>
              <w:rPr>
                <w:color w:val="auto"/>
                <w:lang w:val="en-US" w:eastAsia="en-US"/>
              </w:rPr>
            </w:pPr>
            <w:r>
              <w:rPr>
                <w:color w:val="auto"/>
                <w:lang w:val="en-US" w:eastAsia="en-US"/>
              </w:rPr>
              <w:t>4128</w:t>
            </w:r>
          </w:p>
        </w:tc>
        <w:tc>
          <w:tcPr>
            <w:tcW w:w="1019" w:type="dxa"/>
            <w:tcBorders>
              <w:tl2br w:val="nil"/>
              <w:tr2bl w:val="nil"/>
            </w:tcBorders>
            <w:vAlign w:val="center"/>
          </w:tcPr>
          <w:p w14:paraId="28E32F0D">
            <w:pPr>
              <w:pStyle w:val="30"/>
              <w:widowControl w:val="0"/>
              <w:bidi w:val="0"/>
              <w:rPr>
                <w:color w:val="auto"/>
                <w:lang w:val="en-US" w:eastAsia="en-US"/>
              </w:rPr>
            </w:pPr>
            <w:r>
              <w:rPr>
                <w:color w:val="auto"/>
                <w:lang w:val="en-US" w:eastAsia="en-US"/>
              </w:rPr>
              <w:t>48人</w:t>
            </w:r>
          </w:p>
        </w:tc>
        <w:tc>
          <w:tcPr>
            <w:tcW w:w="1716" w:type="dxa"/>
            <w:vMerge w:val="continue"/>
            <w:tcBorders>
              <w:tl2br w:val="nil"/>
              <w:tr2bl w:val="nil"/>
            </w:tcBorders>
            <w:vAlign w:val="center"/>
          </w:tcPr>
          <w:p w14:paraId="29E4C050">
            <w:pPr>
              <w:pStyle w:val="30"/>
              <w:widowControl w:val="0"/>
              <w:bidi w:val="0"/>
              <w:rPr>
                <w:color w:val="auto"/>
                <w:lang w:val="en-US" w:eastAsia="en-US"/>
              </w:rPr>
            </w:pPr>
          </w:p>
        </w:tc>
      </w:tr>
      <w:tr w14:paraId="7A9806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4930227">
            <w:pPr>
              <w:pStyle w:val="30"/>
              <w:widowControl w:val="0"/>
              <w:bidi w:val="0"/>
              <w:rPr>
                <w:color w:val="auto"/>
                <w:lang w:val="en-US" w:eastAsia="en-US"/>
              </w:rPr>
            </w:pPr>
          </w:p>
        </w:tc>
        <w:tc>
          <w:tcPr>
            <w:tcW w:w="634" w:type="dxa"/>
            <w:tcBorders>
              <w:tl2br w:val="nil"/>
              <w:tr2bl w:val="nil"/>
            </w:tcBorders>
            <w:vAlign w:val="center"/>
          </w:tcPr>
          <w:p w14:paraId="597FE2F4">
            <w:pPr>
              <w:pStyle w:val="30"/>
              <w:widowControl w:val="0"/>
              <w:bidi w:val="0"/>
              <w:rPr>
                <w:color w:val="auto"/>
                <w:lang w:val="en-US" w:eastAsia="en-US"/>
              </w:rPr>
            </w:pPr>
            <w:r>
              <w:rPr>
                <w:color w:val="auto"/>
                <w:lang w:val="en-US" w:eastAsia="en-US"/>
              </w:rPr>
              <w:t>39</w:t>
            </w:r>
          </w:p>
        </w:tc>
        <w:tc>
          <w:tcPr>
            <w:tcW w:w="2773" w:type="dxa"/>
            <w:tcBorders>
              <w:tl2br w:val="nil"/>
              <w:tr2bl w:val="nil"/>
            </w:tcBorders>
            <w:vAlign w:val="center"/>
          </w:tcPr>
          <w:p w14:paraId="6E9B110C">
            <w:pPr>
              <w:pStyle w:val="30"/>
              <w:widowControl w:val="0"/>
              <w:bidi w:val="0"/>
              <w:rPr>
                <w:color w:val="auto"/>
                <w:lang w:val="en-US" w:eastAsia="en-US"/>
              </w:rPr>
            </w:pPr>
            <w:r>
              <w:rPr>
                <w:color w:val="auto"/>
                <w:lang w:val="en-US" w:eastAsia="en-US"/>
              </w:rPr>
              <w:t>袁大郢</w:t>
            </w:r>
          </w:p>
        </w:tc>
        <w:tc>
          <w:tcPr>
            <w:tcW w:w="885" w:type="dxa"/>
            <w:tcBorders>
              <w:tl2br w:val="nil"/>
              <w:tr2bl w:val="nil"/>
            </w:tcBorders>
            <w:vAlign w:val="center"/>
          </w:tcPr>
          <w:p w14:paraId="4E27D631">
            <w:pPr>
              <w:pStyle w:val="30"/>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21A2D9D0">
            <w:pPr>
              <w:pStyle w:val="30"/>
              <w:widowControl w:val="0"/>
              <w:bidi w:val="0"/>
              <w:rPr>
                <w:color w:val="auto"/>
                <w:lang w:val="en-US" w:eastAsia="en-US"/>
              </w:rPr>
            </w:pPr>
            <w:r>
              <w:rPr>
                <w:color w:val="auto"/>
                <w:lang w:val="en-US" w:eastAsia="en-US"/>
              </w:rPr>
              <w:t>4442</w:t>
            </w:r>
          </w:p>
        </w:tc>
        <w:tc>
          <w:tcPr>
            <w:tcW w:w="1019" w:type="dxa"/>
            <w:tcBorders>
              <w:tl2br w:val="nil"/>
              <w:tr2bl w:val="nil"/>
            </w:tcBorders>
            <w:vAlign w:val="center"/>
          </w:tcPr>
          <w:p w14:paraId="1DC10A0A">
            <w:pPr>
              <w:pStyle w:val="30"/>
              <w:widowControl w:val="0"/>
              <w:bidi w:val="0"/>
              <w:rPr>
                <w:color w:val="auto"/>
                <w:lang w:val="en-US" w:eastAsia="en-US"/>
              </w:rPr>
            </w:pPr>
            <w:r>
              <w:rPr>
                <w:color w:val="auto"/>
                <w:lang w:val="en-US" w:eastAsia="en-US"/>
              </w:rPr>
              <w:t>184人</w:t>
            </w:r>
          </w:p>
        </w:tc>
        <w:tc>
          <w:tcPr>
            <w:tcW w:w="1716" w:type="dxa"/>
            <w:vMerge w:val="continue"/>
            <w:tcBorders>
              <w:tl2br w:val="nil"/>
              <w:tr2bl w:val="nil"/>
            </w:tcBorders>
            <w:vAlign w:val="center"/>
          </w:tcPr>
          <w:p w14:paraId="6C3A6B6C">
            <w:pPr>
              <w:pStyle w:val="30"/>
              <w:widowControl w:val="0"/>
              <w:bidi w:val="0"/>
              <w:rPr>
                <w:color w:val="auto"/>
                <w:lang w:val="en-US" w:eastAsia="en-US"/>
              </w:rPr>
            </w:pPr>
          </w:p>
        </w:tc>
      </w:tr>
      <w:tr w14:paraId="444641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C1BD042">
            <w:pPr>
              <w:pStyle w:val="30"/>
              <w:widowControl w:val="0"/>
              <w:bidi w:val="0"/>
              <w:rPr>
                <w:color w:val="auto"/>
                <w:lang w:val="en-US" w:eastAsia="en-US"/>
              </w:rPr>
            </w:pPr>
          </w:p>
        </w:tc>
        <w:tc>
          <w:tcPr>
            <w:tcW w:w="634" w:type="dxa"/>
            <w:tcBorders>
              <w:tl2br w:val="nil"/>
              <w:tr2bl w:val="nil"/>
            </w:tcBorders>
            <w:vAlign w:val="center"/>
          </w:tcPr>
          <w:p w14:paraId="48483FBE">
            <w:pPr>
              <w:pStyle w:val="30"/>
              <w:widowControl w:val="0"/>
              <w:bidi w:val="0"/>
              <w:rPr>
                <w:color w:val="auto"/>
                <w:lang w:val="en-US" w:eastAsia="en-US"/>
              </w:rPr>
            </w:pPr>
            <w:r>
              <w:rPr>
                <w:color w:val="auto"/>
                <w:lang w:val="en-US" w:eastAsia="en-US"/>
              </w:rPr>
              <w:t>40</w:t>
            </w:r>
          </w:p>
        </w:tc>
        <w:tc>
          <w:tcPr>
            <w:tcW w:w="2773" w:type="dxa"/>
            <w:tcBorders>
              <w:tl2br w:val="nil"/>
              <w:tr2bl w:val="nil"/>
            </w:tcBorders>
            <w:vAlign w:val="center"/>
          </w:tcPr>
          <w:p w14:paraId="50745C64">
            <w:pPr>
              <w:pStyle w:val="30"/>
              <w:widowControl w:val="0"/>
              <w:bidi w:val="0"/>
              <w:rPr>
                <w:color w:val="auto"/>
                <w:lang w:val="en-US" w:eastAsia="en-US"/>
              </w:rPr>
            </w:pPr>
            <w:r>
              <w:rPr>
                <w:color w:val="auto"/>
                <w:lang w:val="en-US" w:eastAsia="en-US"/>
              </w:rPr>
              <w:t>方大郢</w:t>
            </w:r>
          </w:p>
        </w:tc>
        <w:tc>
          <w:tcPr>
            <w:tcW w:w="885" w:type="dxa"/>
            <w:tcBorders>
              <w:tl2br w:val="nil"/>
              <w:tr2bl w:val="nil"/>
            </w:tcBorders>
            <w:vAlign w:val="center"/>
          </w:tcPr>
          <w:p w14:paraId="64D07C7E">
            <w:pPr>
              <w:pStyle w:val="30"/>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2F51C5E5">
            <w:pPr>
              <w:pStyle w:val="30"/>
              <w:widowControl w:val="0"/>
              <w:bidi w:val="0"/>
              <w:rPr>
                <w:color w:val="auto"/>
                <w:lang w:val="en-US" w:eastAsia="en-US"/>
              </w:rPr>
            </w:pPr>
            <w:r>
              <w:rPr>
                <w:color w:val="auto"/>
                <w:lang w:val="en-US" w:eastAsia="en-US"/>
              </w:rPr>
              <w:t>4192</w:t>
            </w:r>
          </w:p>
        </w:tc>
        <w:tc>
          <w:tcPr>
            <w:tcW w:w="1019" w:type="dxa"/>
            <w:tcBorders>
              <w:tl2br w:val="nil"/>
              <w:tr2bl w:val="nil"/>
            </w:tcBorders>
            <w:vAlign w:val="center"/>
          </w:tcPr>
          <w:p w14:paraId="765EDEBB">
            <w:pPr>
              <w:pStyle w:val="30"/>
              <w:widowControl w:val="0"/>
              <w:bidi w:val="0"/>
              <w:rPr>
                <w:color w:val="auto"/>
                <w:lang w:val="en-US" w:eastAsia="en-US"/>
              </w:rPr>
            </w:pPr>
            <w:r>
              <w:rPr>
                <w:color w:val="auto"/>
                <w:lang w:val="en-US" w:eastAsia="en-US"/>
              </w:rPr>
              <w:t>120人</w:t>
            </w:r>
          </w:p>
        </w:tc>
        <w:tc>
          <w:tcPr>
            <w:tcW w:w="1716" w:type="dxa"/>
            <w:vMerge w:val="continue"/>
            <w:tcBorders>
              <w:tl2br w:val="nil"/>
              <w:tr2bl w:val="nil"/>
            </w:tcBorders>
            <w:vAlign w:val="center"/>
          </w:tcPr>
          <w:p w14:paraId="217992BC">
            <w:pPr>
              <w:pStyle w:val="30"/>
              <w:widowControl w:val="0"/>
              <w:bidi w:val="0"/>
              <w:rPr>
                <w:color w:val="auto"/>
                <w:lang w:val="en-US" w:eastAsia="en-US"/>
              </w:rPr>
            </w:pPr>
          </w:p>
        </w:tc>
      </w:tr>
      <w:tr w14:paraId="20961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4F1F8A9">
            <w:pPr>
              <w:pStyle w:val="30"/>
              <w:widowControl w:val="0"/>
              <w:bidi w:val="0"/>
              <w:rPr>
                <w:color w:val="auto"/>
                <w:lang w:val="en-US" w:eastAsia="en-US"/>
              </w:rPr>
            </w:pPr>
          </w:p>
        </w:tc>
        <w:tc>
          <w:tcPr>
            <w:tcW w:w="634" w:type="dxa"/>
            <w:tcBorders>
              <w:tl2br w:val="nil"/>
              <w:tr2bl w:val="nil"/>
            </w:tcBorders>
            <w:vAlign w:val="center"/>
          </w:tcPr>
          <w:p w14:paraId="2D7DC096">
            <w:pPr>
              <w:pStyle w:val="30"/>
              <w:widowControl w:val="0"/>
              <w:bidi w:val="0"/>
              <w:rPr>
                <w:color w:val="auto"/>
                <w:lang w:val="en-US" w:eastAsia="en-US"/>
              </w:rPr>
            </w:pPr>
            <w:r>
              <w:rPr>
                <w:color w:val="auto"/>
                <w:lang w:val="en-US" w:eastAsia="en-US"/>
              </w:rPr>
              <w:t>41</w:t>
            </w:r>
          </w:p>
        </w:tc>
        <w:tc>
          <w:tcPr>
            <w:tcW w:w="2773" w:type="dxa"/>
            <w:tcBorders>
              <w:tl2br w:val="nil"/>
              <w:tr2bl w:val="nil"/>
            </w:tcBorders>
            <w:vAlign w:val="center"/>
          </w:tcPr>
          <w:p w14:paraId="489D7F03">
            <w:pPr>
              <w:pStyle w:val="30"/>
              <w:widowControl w:val="0"/>
              <w:bidi w:val="0"/>
              <w:rPr>
                <w:color w:val="auto"/>
                <w:lang w:val="en-US" w:eastAsia="en-US"/>
              </w:rPr>
            </w:pPr>
            <w:r>
              <w:rPr>
                <w:color w:val="auto"/>
                <w:lang w:val="en-US" w:eastAsia="en-US"/>
              </w:rPr>
              <w:t>方小郢</w:t>
            </w:r>
          </w:p>
        </w:tc>
        <w:tc>
          <w:tcPr>
            <w:tcW w:w="885" w:type="dxa"/>
            <w:tcBorders>
              <w:tl2br w:val="nil"/>
              <w:tr2bl w:val="nil"/>
            </w:tcBorders>
            <w:vAlign w:val="center"/>
          </w:tcPr>
          <w:p w14:paraId="19F39362">
            <w:pPr>
              <w:pStyle w:val="30"/>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27CC88BF">
            <w:pPr>
              <w:pStyle w:val="30"/>
              <w:widowControl w:val="0"/>
              <w:bidi w:val="0"/>
              <w:rPr>
                <w:color w:val="auto"/>
                <w:lang w:val="en-US" w:eastAsia="en-US"/>
              </w:rPr>
            </w:pPr>
            <w:r>
              <w:rPr>
                <w:color w:val="auto"/>
                <w:lang w:val="en-US" w:eastAsia="en-US"/>
              </w:rPr>
              <w:t>4013</w:t>
            </w:r>
          </w:p>
        </w:tc>
        <w:tc>
          <w:tcPr>
            <w:tcW w:w="1019" w:type="dxa"/>
            <w:tcBorders>
              <w:tl2br w:val="nil"/>
              <w:tr2bl w:val="nil"/>
            </w:tcBorders>
            <w:vAlign w:val="center"/>
          </w:tcPr>
          <w:p w14:paraId="36B28168">
            <w:pPr>
              <w:pStyle w:val="30"/>
              <w:widowControl w:val="0"/>
              <w:bidi w:val="0"/>
              <w:rPr>
                <w:color w:val="auto"/>
                <w:lang w:val="en-US" w:eastAsia="en-US"/>
              </w:rPr>
            </w:pPr>
            <w:r>
              <w:rPr>
                <w:color w:val="auto"/>
                <w:lang w:val="en-US" w:eastAsia="en-US"/>
              </w:rPr>
              <w:t>110人</w:t>
            </w:r>
          </w:p>
        </w:tc>
        <w:tc>
          <w:tcPr>
            <w:tcW w:w="1716" w:type="dxa"/>
            <w:vMerge w:val="continue"/>
            <w:tcBorders>
              <w:tl2br w:val="nil"/>
              <w:tr2bl w:val="nil"/>
            </w:tcBorders>
            <w:vAlign w:val="center"/>
          </w:tcPr>
          <w:p w14:paraId="63E779E5">
            <w:pPr>
              <w:pStyle w:val="30"/>
              <w:widowControl w:val="0"/>
              <w:bidi w:val="0"/>
              <w:rPr>
                <w:color w:val="auto"/>
                <w:lang w:val="en-US" w:eastAsia="en-US"/>
              </w:rPr>
            </w:pPr>
          </w:p>
        </w:tc>
      </w:tr>
      <w:tr w14:paraId="604D9D7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8AC4B03">
            <w:pPr>
              <w:pStyle w:val="30"/>
              <w:widowControl w:val="0"/>
              <w:bidi w:val="0"/>
              <w:rPr>
                <w:color w:val="auto"/>
                <w:lang w:val="en-US" w:eastAsia="en-US"/>
              </w:rPr>
            </w:pPr>
          </w:p>
        </w:tc>
        <w:tc>
          <w:tcPr>
            <w:tcW w:w="634" w:type="dxa"/>
            <w:tcBorders>
              <w:tl2br w:val="nil"/>
              <w:tr2bl w:val="nil"/>
            </w:tcBorders>
            <w:vAlign w:val="center"/>
          </w:tcPr>
          <w:p w14:paraId="64EBE3B9">
            <w:pPr>
              <w:pStyle w:val="30"/>
              <w:widowControl w:val="0"/>
              <w:bidi w:val="0"/>
              <w:rPr>
                <w:color w:val="auto"/>
                <w:lang w:val="en-US" w:eastAsia="en-US"/>
              </w:rPr>
            </w:pPr>
            <w:r>
              <w:rPr>
                <w:color w:val="auto"/>
                <w:lang w:val="en-US" w:eastAsia="en-US"/>
              </w:rPr>
              <w:t>42</w:t>
            </w:r>
          </w:p>
        </w:tc>
        <w:tc>
          <w:tcPr>
            <w:tcW w:w="2773" w:type="dxa"/>
            <w:tcBorders>
              <w:tl2br w:val="nil"/>
              <w:tr2bl w:val="nil"/>
            </w:tcBorders>
            <w:vAlign w:val="center"/>
          </w:tcPr>
          <w:p w14:paraId="60ABC141">
            <w:pPr>
              <w:pStyle w:val="30"/>
              <w:widowControl w:val="0"/>
              <w:bidi w:val="0"/>
              <w:rPr>
                <w:color w:val="auto"/>
                <w:lang w:val="en-US" w:eastAsia="en-US"/>
              </w:rPr>
            </w:pPr>
            <w:r>
              <w:rPr>
                <w:color w:val="auto"/>
                <w:lang w:val="en-US" w:eastAsia="en-US"/>
              </w:rPr>
              <w:t>茨柯坟</w:t>
            </w:r>
          </w:p>
        </w:tc>
        <w:tc>
          <w:tcPr>
            <w:tcW w:w="885" w:type="dxa"/>
            <w:tcBorders>
              <w:tl2br w:val="nil"/>
              <w:tr2bl w:val="nil"/>
            </w:tcBorders>
            <w:vAlign w:val="center"/>
          </w:tcPr>
          <w:p w14:paraId="4E14F7D2">
            <w:pPr>
              <w:pStyle w:val="30"/>
              <w:widowControl w:val="0"/>
              <w:bidi w:val="0"/>
              <w:rPr>
                <w:color w:val="auto"/>
                <w:lang w:val="en-US" w:eastAsia="en-US"/>
              </w:rPr>
            </w:pPr>
            <w:r>
              <w:rPr>
                <w:color w:val="auto"/>
                <w:lang w:val="en-US" w:eastAsia="en-US"/>
              </w:rPr>
              <w:t>NW</w:t>
            </w:r>
          </w:p>
        </w:tc>
        <w:tc>
          <w:tcPr>
            <w:tcW w:w="1124" w:type="dxa"/>
            <w:tcBorders>
              <w:tl2br w:val="nil"/>
              <w:tr2bl w:val="nil"/>
            </w:tcBorders>
            <w:vAlign w:val="center"/>
          </w:tcPr>
          <w:p w14:paraId="786636CB">
            <w:pPr>
              <w:pStyle w:val="30"/>
              <w:widowControl w:val="0"/>
              <w:bidi w:val="0"/>
              <w:rPr>
                <w:color w:val="auto"/>
                <w:lang w:val="en-US" w:eastAsia="en-US"/>
              </w:rPr>
            </w:pPr>
            <w:r>
              <w:rPr>
                <w:color w:val="auto"/>
                <w:lang w:val="en-US" w:eastAsia="en-US"/>
              </w:rPr>
              <w:t>3720</w:t>
            </w:r>
          </w:p>
        </w:tc>
        <w:tc>
          <w:tcPr>
            <w:tcW w:w="1019" w:type="dxa"/>
            <w:tcBorders>
              <w:tl2br w:val="nil"/>
              <w:tr2bl w:val="nil"/>
            </w:tcBorders>
            <w:vAlign w:val="center"/>
          </w:tcPr>
          <w:p w14:paraId="0D82F3FB">
            <w:pPr>
              <w:pStyle w:val="30"/>
              <w:widowControl w:val="0"/>
              <w:bidi w:val="0"/>
              <w:rPr>
                <w:color w:val="auto"/>
                <w:lang w:val="en-US" w:eastAsia="en-US"/>
              </w:rPr>
            </w:pPr>
            <w:r>
              <w:rPr>
                <w:color w:val="auto"/>
                <w:lang w:val="en-US" w:eastAsia="en-US"/>
              </w:rPr>
              <w:t>220人</w:t>
            </w:r>
          </w:p>
        </w:tc>
        <w:tc>
          <w:tcPr>
            <w:tcW w:w="1716" w:type="dxa"/>
            <w:vMerge w:val="continue"/>
            <w:tcBorders>
              <w:tl2br w:val="nil"/>
              <w:tr2bl w:val="nil"/>
            </w:tcBorders>
            <w:vAlign w:val="center"/>
          </w:tcPr>
          <w:p w14:paraId="31EDD37F">
            <w:pPr>
              <w:pStyle w:val="30"/>
              <w:widowControl w:val="0"/>
              <w:bidi w:val="0"/>
              <w:rPr>
                <w:color w:val="auto"/>
                <w:lang w:val="en-US" w:eastAsia="en-US"/>
              </w:rPr>
            </w:pPr>
          </w:p>
        </w:tc>
      </w:tr>
      <w:tr w14:paraId="32C97C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82950C4">
            <w:pPr>
              <w:pStyle w:val="30"/>
              <w:widowControl w:val="0"/>
              <w:bidi w:val="0"/>
              <w:rPr>
                <w:color w:val="auto"/>
                <w:lang w:val="en-US" w:eastAsia="en-US"/>
              </w:rPr>
            </w:pPr>
          </w:p>
        </w:tc>
        <w:tc>
          <w:tcPr>
            <w:tcW w:w="634" w:type="dxa"/>
            <w:tcBorders>
              <w:tl2br w:val="nil"/>
              <w:tr2bl w:val="nil"/>
            </w:tcBorders>
            <w:vAlign w:val="center"/>
          </w:tcPr>
          <w:p w14:paraId="514D6DB9">
            <w:pPr>
              <w:pStyle w:val="30"/>
              <w:widowControl w:val="0"/>
              <w:bidi w:val="0"/>
              <w:rPr>
                <w:color w:val="auto"/>
                <w:lang w:val="en-US" w:eastAsia="en-US"/>
              </w:rPr>
            </w:pPr>
            <w:r>
              <w:rPr>
                <w:color w:val="auto"/>
                <w:lang w:val="en-US" w:eastAsia="en-US"/>
              </w:rPr>
              <w:t>43</w:t>
            </w:r>
          </w:p>
        </w:tc>
        <w:tc>
          <w:tcPr>
            <w:tcW w:w="2773" w:type="dxa"/>
            <w:tcBorders>
              <w:tl2br w:val="nil"/>
              <w:tr2bl w:val="nil"/>
            </w:tcBorders>
            <w:vAlign w:val="center"/>
          </w:tcPr>
          <w:p w14:paraId="3B45D953">
            <w:pPr>
              <w:pStyle w:val="30"/>
              <w:widowControl w:val="0"/>
              <w:bidi w:val="0"/>
              <w:rPr>
                <w:color w:val="auto"/>
                <w:lang w:val="en-US" w:eastAsia="en-US"/>
              </w:rPr>
            </w:pPr>
            <w:r>
              <w:rPr>
                <w:color w:val="auto"/>
                <w:lang w:val="en-US" w:eastAsia="en-US"/>
              </w:rPr>
              <w:t>王油坊</w:t>
            </w:r>
          </w:p>
        </w:tc>
        <w:tc>
          <w:tcPr>
            <w:tcW w:w="885" w:type="dxa"/>
            <w:tcBorders>
              <w:tl2br w:val="nil"/>
              <w:tr2bl w:val="nil"/>
            </w:tcBorders>
            <w:vAlign w:val="center"/>
          </w:tcPr>
          <w:p w14:paraId="78FDA636">
            <w:pPr>
              <w:pStyle w:val="30"/>
              <w:widowControl w:val="0"/>
              <w:bidi w:val="0"/>
              <w:rPr>
                <w:color w:val="auto"/>
                <w:lang w:val="en-US" w:eastAsia="en-US"/>
              </w:rPr>
            </w:pPr>
            <w:r>
              <w:rPr>
                <w:color w:val="auto"/>
                <w:lang w:val="en-US" w:eastAsia="en-US"/>
              </w:rPr>
              <w:t>N</w:t>
            </w:r>
          </w:p>
        </w:tc>
        <w:tc>
          <w:tcPr>
            <w:tcW w:w="1124" w:type="dxa"/>
            <w:tcBorders>
              <w:tl2br w:val="nil"/>
              <w:tr2bl w:val="nil"/>
            </w:tcBorders>
            <w:vAlign w:val="center"/>
          </w:tcPr>
          <w:p w14:paraId="7745EB31">
            <w:pPr>
              <w:pStyle w:val="30"/>
              <w:widowControl w:val="0"/>
              <w:bidi w:val="0"/>
              <w:rPr>
                <w:color w:val="auto"/>
                <w:lang w:val="en-US" w:eastAsia="en-US"/>
              </w:rPr>
            </w:pPr>
            <w:r>
              <w:rPr>
                <w:color w:val="auto"/>
                <w:lang w:val="en-US" w:eastAsia="en-US"/>
              </w:rPr>
              <w:t>3663</w:t>
            </w:r>
          </w:p>
        </w:tc>
        <w:tc>
          <w:tcPr>
            <w:tcW w:w="1019" w:type="dxa"/>
            <w:tcBorders>
              <w:tl2br w:val="nil"/>
              <w:tr2bl w:val="nil"/>
            </w:tcBorders>
            <w:vAlign w:val="center"/>
          </w:tcPr>
          <w:p w14:paraId="13D64092">
            <w:pPr>
              <w:pStyle w:val="30"/>
              <w:widowControl w:val="0"/>
              <w:bidi w:val="0"/>
              <w:rPr>
                <w:color w:val="auto"/>
                <w:lang w:val="en-US" w:eastAsia="en-US"/>
              </w:rPr>
            </w:pPr>
            <w:r>
              <w:rPr>
                <w:color w:val="auto"/>
                <w:lang w:val="en-US" w:eastAsia="en-US"/>
              </w:rPr>
              <w:t>90人</w:t>
            </w:r>
          </w:p>
        </w:tc>
        <w:tc>
          <w:tcPr>
            <w:tcW w:w="1716" w:type="dxa"/>
            <w:vMerge w:val="continue"/>
            <w:tcBorders>
              <w:tl2br w:val="nil"/>
              <w:tr2bl w:val="nil"/>
            </w:tcBorders>
            <w:vAlign w:val="center"/>
          </w:tcPr>
          <w:p w14:paraId="370DBF62">
            <w:pPr>
              <w:pStyle w:val="30"/>
              <w:widowControl w:val="0"/>
              <w:bidi w:val="0"/>
              <w:rPr>
                <w:color w:val="auto"/>
                <w:lang w:val="en-US" w:eastAsia="en-US"/>
              </w:rPr>
            </w:pPr>
          </w:p>
        </w:tc>
      </w:tr>
      <w:tr w14:paraId="59311A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CC78676">
            <w:pPr>
              <w:pStyle w:val="30"/>
              <w:widowControl w:val="0"/>
              <w:bidi w:val="0"/>
              <w:rPr>
                <w:color w:val="auto"/>
                <w:lang w:val="en-US" w:eastAsia="en-US"/>
              </w:rPr>
            </w:pPr>
          </w:p>
        </w:tc>
        <w:tc>
          <w:tcPr>
            <w:tcW w:w="634" w:type="dxa"/>
            <w:tcBorders>
              <w:tl2br w:val="nil"/>
              <w:tr2bl w:val="nil"/>
            </w:tcBorders>
            <w:vAlign w:val="center"/>
          </w:tcPr>
          <w:p w14:paraId="3BD5E372">
            <w:pPr>
              <w:pStyle w:val="30"/>
              <w:widowControl w:val="0"/>
              <w:bidi w:val="0"/>
              <w:rPr>
                <w:color w:val="auto"/>
                <w:lang w:val="en-US" w:eastAsia="en-US"/>
              </w:rPr>
            </w:pPr>
            <w:r>
              <w:rPr>
                <w:color w:val="auto"/>
                <w:lang w:val="en-US" w:eastAsia="en-US"/>
              </w:rPr>
              <w:t>44</w:t>
            </w:r>
          </w:p>
        </w:tc>
        <w:tc>
          <w:tcPr>
            <w:tcW w:w="2773" w:type="dxa"/>
            <w:tcBorders>
              <w:tl2br w:val="nil"/>
              <w:tr2bl w:val="nil"/>
            </w:tcBorders>
            <w:vAlign w:val="center"/>
          </w:tcPr>
          <w:p w14:paraId="6666EF06">
            <w:pPr>
              <w:pStyle w:val="30"/>
              <w:widowControl w:val="0"/>
              <w:bidi w:val="0"/>
              <w:rPr>
                <w:color w:val="auto"/>
                <w:lang w:val="en-US" w:eastAsia="en-US"/>
              </w:rPr>
            </w:pPr>
            <w:r>
              <w:rPr>
                <w:color w:val="auto"/>
                <w:lang w:val="en-US" w:eastAsia="en-US"/>
              </w:rPr>
              <w:t>唐小村</w:t>
            </w:r>
          </w:p>
        </w:tc>
        <w:tc>
          <w:tcPr>
            <w:tcW w:w="885" w:type="dxa"/>
            <w:tcBorders>
              <w:tl2br w:val="nil"/>
              <w:tr2bl w:val="nil"/>
            </w:tcBorders>
            <w:vAlign w:val="center"/>
          </w:tcPr>
          <w:p w14:paraId="4EC0A981">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1CB58542">
            <w:pPr>
              <w:pStyle w:val="30"/>
              <w:widowControl w:val="0"/>
              <w:bidi w:val="0"/>
              <w:rPr>
                <w:color w:val="auto"/>
                <w:lang w:val="en-US" w:eastAsia="en-US"/>
              </w:rPr>
            </w:pPr>
            <w:r>
              <w:rPr>
                <w:color w:val="auto"/>
                <w:lang w:val="en-US" w:eastAsia="en-US"/>
              </w:rPr>
              <w:t>3857</w:t>
            </w:r>
          </w:p>
        </w:tc>
        <w:tc>
          <w:tcPr>
            <w:tcW w:w="1019" w:type="dxa"/>
            <w:tcBorders>
              <w:tl2br w:val="nil"/>
              <w:tr2bl w:val="nil"/>
            </w:tcBorders>
            <w:vAlign w:val="center"/>
          </w:tcPr>
          <w:p w14:paraId="0A985FAE">
            <w:pPr>
              <w:pStyle w:val="30"/>
              <w:widowControl w:val="0"/>
              <w:bidi w:val="0"/>
              <w:rPr>
                <w:color w:val="auto"/>
                <w:lang w:val="en-US" w:eastAsia="en-US"/>
              </w:rPr>
            </w:pPr>
            <w:r>
              <w:rPr>
                <w:color w:val="auto"/>
                <w:lang w:val="en-US" w:eastAsia="en-US"/>
              </w:rPr>
              <w:t>189人</w:t>
            </w:r>
          </w:p>
        </w:tc>
        <w:tc>
          <w:tcPr>
            <w:tcW w:w="1716" w:type="dxa"/>
            <w:vMerge w:val="continue"/>
            <w:tcBorders>
              <w:tl2br w:val="nil"/>
              <w:tr2bl w:val="nil"/>
            </w:tcBorders>
            <w:vAlign w:val="center"/>
          </w:tcPr>
          <w:p w14:paraId="6BF2ACF3">
            <w:pPr>
              <w:pStyle w:val="30"/>
              <w:widowControl w:val="0"/>
              <w:bidi w:val="0"/>
              <w:rPr>
                <w:color w:val="auto"/>
                <w:lang w:val="en-US" w:eastAsia="en-US"/>
              </w:rPr>
            </w:pPr>
          </w:p>
        </w:tc>
      </w:tr>
      <w:tr w14:paraId="6EF19BF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970" w:type="dxa"/>
            <w:vMerge w:val="continue"/>
            <w:tcBorders>
              <w:tl2br w:val="nil"/>
              <w:tr2bl w:val="nil"/>
            </w:tcBorders>
            <w:vAlign w:val="center"/>
          </w:tcPr>
          <w:p w14:paraId="105B8088">
            <w:pPr>
              <w:pStyle w:val="30"/>
              <w:widowControl w:val="0"/>
              <w:bidi w:val="0"/>
              <w:rPr>
                <w:color w:val="auto"/>
                <w:lang w:val="en-US" w:eastAsia="en-US"/>
              </w:rPr>
            </w:pPr>
          </w:p>
        </w:tc>
        <w:tc>
          <w:tcPr>
            <w:tcW w:w="634" w:type="dxa"/>
            <w:tcBorders>
              <w:tl2br w:val="nil"/>
              <w:tr2bl w:val="nil"/>
            </w:tcBorders>
            <w:vAlign w:val="center"/>
          </w:tcPr>
          <w:p w14:paraId="0ED9D87D">
            <w:pPr>
              <w:pStyle w:val="30"/>
              <w:widowControl w:val="0"/>
              <w:bidi w:val="0"/>
              <w:rPr>
                <w:color w:val="auto"/>
                <w:lang w:val="en-US" w:eastAsia="en-US"/>
              </w:rPr>
            </w:pPr>
            <w:r>
              <w:rPr>
                <w:color w:val="auto"/>
                <w:lang w:val="en-US" w:eastAsia="en-US"/>
              </w:rPr>
              <w:t>45</w:t>
            </w:r>
          </w:p>
        </w:tc>
        <w:tc>
          <w:tcPr>
            <w:tcW w:w="2773" w:type="dxa"/>
            <w:tcBorders>
              <w:tl2br w:val="nil"/>
              <w:tr2bl w:val="nil"/>
            </w:tcBorders>
            <w:vAlign w:val="center"/>
          </w:tcPr>
          <w:p w14:paraId="6C625755">
            <w:pPr>
              <w:pStyle w:val="30"/>
              <w:widowControl w:val="0"/>
              <w:bidi w:val="0"/>
              <w:rPr>
                <w:color w:val="auto"/>
                <w:lang w:val="en-US" w:eastAsia="en-US"/>
              </w:rPr>
            </w:pPr>
            <w:r>
              <w:rPr>
                <w:color w:val="auto"/>
                <w:lang w:val="en-US" w:eastAsia="en-US"/>
              </w:rPr>
              <w:t>大韩村</w:t>
            </w:r>
          </w:p>
        </w:tc>
        <w:tc>
          <w:tcPr>
            <w:tcW w:w="885" w:type="dxa"/>
            <w:tcBorders>
              <w:tl2br w:val="nil"/>
              <w:tr2bl w:val="nil"/>
            </w:tcBorders>
            <w:vAlign w:val="center"/>
          </w:tcPr>
          <w:p w14:paraId="6E2DCD34">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11DDFA89">
            <w:pPr>
              <w:pStyle w:val="30"/>
              <w:widowControl w:val="0"/>
              <w:bidi w:val="0"/>
              <w:rPr>
                <w:color w:val="auto"/>
                <w:lang w:val="en-US" w:eastAsia="en-US"/>
              </w:rPr>
            </w:pPr>
            <w:r>
              <w:rPr>
                <w:color w:val="auto"/>
                <w:lang w:val="en-US" w:eastAsia="en-US"/>
              </w:rPr>
              <w:t>4450</w:t>
            </w:r>
          </w:p>
        </w:tc>
        <w:tc>
          <w:tcPr>
            <w:tcW w:w="1019" w:type="dxa"/>
            <w:tcBorders>
              <w:tl2br w:val="nil"/>
              <w:tr2bl w:val="nil"/>
            </w:tcBorders>
            <w:vAlign w:val="center"/>
          </w:tcPr>
          <w:p w14:paraId="09FDBF87">
            <w:pPr>
              <w:pStyle w:val="30"/>
              <w:widowControl w:val="0"/>
              <w:bidi w:val="0"/>
              <w:rPr>
                <w:color w:val="auto"/>
                <w:lang w:val="en-US" w:eastAsia="en-US"/>
              </w:rPr>
            </w:pPr>
            <w:r>
              <w:rPr>
                <w:color w:val="auto"/>
                <w:lang w:val="en-US" w:eastAsia="en-US"/>
              </w:rPr>
              <w:t>162人</w:t>
            </w:r>
          </w:p>
        </w:tc>
        <w:tc>
          <w:tcPr>
            <w:tcW w:w="1716" w:type="dxa"/>
            <w:vMerge w:val="continue"/>
            <w:tcBorders>
              <w:tl2br w:val="nil"/>
              <w:tr2bl w:val="nil"/>
            </w:tcBorders>
            <w:vAlign w:val="center"/>
          </w:tcPr>
          <w:p w14:paraId="22AEA788">
            <w:pPr>
              <w:pStyle w:val="30"/>
              <w:widowControl w:val="0"/>
              <w:bidi w:val="0"/>
              <w:rPr>
                <w:color w:val="auto"/>
                <w:lang w:val="en-US" w:eastAsia="en-US"/>
              </w:rPr>
            </w:pPr>
          </w:p>
        </w:tc>
      </w:tr>
      <w:tr w14:paraId="269BC3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BA4D057">
            <w:pPr>
              <w:pStyle w:val="30"/>
              <w:widowControl w:val="0"/>
              <w:bidi w:val="0"/>
              <w:rPr>
                <w:color w:val="auto"/>
                <w:lang w:val="en-US" w:eastAsia="en-US"/>
              </w:rPr>
            </w:pPr>
          </w:p>
        </w:tc>
        <w:tc>
          <w:tcPr>
            <w:tcW w:w="634" w:type="dxa"/>
            <w:tcBorders>
              <w:tl2br w:val="nil"/>
              <w:tr2bl w:val="nil"/>
            </w:tcBorders>
            <w:vAlign w:val="center"/>
          </w:tcPr>
          <w:p w14:paraId="48CAE56D">
            <w:pPr>
              <w:pStyle w:val="30"/>
              <w:widowControl w:val="0"/>
              <w:bidi w:val="0"/>
              <w:rPr>
                <w:color w:val="auto"/>
                <w:lang w:val="en-US" w:eastAsia="en-US"/>
              </w:rPr>
            </w:pPr>
            <w:r>
              <w:rPr>
                <w:color w:val="auto"/>
                <w:lang w:val="en-US" w:eastAsia="en-US"/>
              </w:rPr>
              <w:t>46</w:t>
            </w:r>
          </w:p>
        </w:tc>
        <w:tc>
          <w:tcPr>
            <w:tcW w:w="2773" w:type="dxa"/>
            <w:tcBorders>
              <w:tl2br w:val="nil"/>
              <w:tr2bl w:val="nil"/>
            </w:tcBorders>
            <w:vAlign w:val="center"/>
          </w:tcPr>
          <w:p w14:paraId="0BA23EFF">
            <w:pPr>
              <w:pStyle w:val="30"/>
              <w:widowControl w:val="0"/>
              <w:bidi w:val="0"/>
              <w:rPr>
                <w:color w:val="auto"/>
                <w:lang w:val="en-US" w:eastAsia="en-US"/>
              </w:rPr>
            </w:pPr>
            <w:r>
              <w:rPr>
                <w:color w:val="auto"/>
                <w:lang w:val="en-US" w:eastAsia="en-US"/>
              </w:rPr>
              <w:t>大塘村</w:t>
            </w:r>
          </w:p>
        </w:tc>
        <w:tc>
          <w:tcPr>
            <w:tcW w:w="885" w:type="dxa"/>
            <w:tcBorders>
              <w:tl2br w:val="nil"/>
              <w:tr2bl w:val="nil"/>
            </w:tcBorders>
            <w:vAlign w:val="center"/>
          </w:tcPr>
          <w:p w14:paraId="4F3C2C8C">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544D94C9">
            <w:pPr>
              <w:pStyle w:val="30"/>
              <w:widowControl w:val="0"/>
              <w:bidi w:val="0"/>
              <w:rPr>
                <w:color w:val="auto"/>
                <w:lang w:val="en-US" w:eastAsia="en-US"/>
              </w:rPr>
            </w:pPr>
            <w:r>
              <w:rPr>
                <w:color w:val="auto"/>
                <w:lang w:val="en-US" w:eastAsia="en-US"/>
              </w:rPr>
              <w:t>3919</w:t>
            </w:r>
          </w:p>
        </w:tc>
        <w:tc>
          <w:tcPr>
            <w:tcW w:w="1019" w:type="dxa"/>
            <w:tcBorders>
              <w:tl2br w:val="nil"/>
              <w:tr2bl w:val="nil"/>
            </w:tcBorders>
            <w:vAlign w:val="center"/>
          </w:tcPr>
          <w:p w14:paraId="1BEA0437">
            <w:pPr>
              <w:pStyle w:val="30"/>
              <w:widowControl w:val="0"/>
              <w:bidi w:val="0"/>
              <w:rPr>
                <w:color w:val="auto"/>
                <w:lang w:val="en-US" w:eastAsia="en-US"/>
              </w:rPr>
            </w:pPr>
            <w:r>
              <w:rPr>
                <w:color w:val="auto"/>
                <w:lang w:val="en-US" w:eastAsia="en-US"/>
              </w:rPr>
              <w:t>180人</w:t>
            </w:r>
          </w:p>
        </w:tc>
        <w:tc>
          <w:tcPr>
            <w:tcW w:w="1716" w:type="dxa"/>
            <w:vMerge w:val="continue"/>
            <w:tcBorders>
              <w:tl2br w:val="nil"/>
              <w:tr2bl w:val="nil"/>
            </w:tcBorders>
            <w:vAlign w:val="center"/>
          </w:tcPr>
          <w:p w14:paraId="7113C93C">
            <w:pPr>
              <w:pStyle w:val="30"/>
              <w:widowControl w:val="0"/>
              <w:bidi w:val="0"/>
              <w:rPr>
                <w:color w:val="auto"/>
                <w:lang w:val="en-US" w:eastAsia="en-US"/>
              </w:rPr>
            </w:pPr>
          </w:p>
        </w:tc>
      </w:tr>
      <w:tr w14:paraId="7ED853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FF86BBC">
            <w:pPr>
              <w:pStyle w:val="30"/>
              <w:widowControl w:val="0"/>
              <w:bidi w:val="0"/>
              <w:rPr>
                <w:color w:val="auto"/>
                <w:lang w:val="en-US" w:eastAsia="en-US"/>
              </w:rPr>
            </w:pPr>
          </w:p>
        </w:tc>
        <w:tc>
          <w:tcPr>
            <w:tcW w:w="634" w:type="dxa"/>
            <w:tcBorders>
              <w:tl2br w:val="nil"/>
              <w:tr2bl w:val="nil"/>
            </w:tcBorders>
            <w:vAlign w:val="center"/>
          </w:tcPr>
          <w:p w14:paraId="2E4A7263">
            <w:pPr>
              <w:pStyle w:val="30"/>
              <w:widowControl w:val="0"/>
              <w:bidi w:val="0"/>
              <w:rPr>
                <w:color w:val="auto"/>
                <w:lang w:val="en-US" w:eastAsia="en-US"/>
              </w:rPr>
            </w:pPr>
            <w:r>
              <w:rPr>
                <w:color w:val="auto"/>
                <w:lang w:val="en-US" w:eastAsia="en-US"/>
              </w:rPr>
              <w:t>47</w:t>
            </w:r>
          </w:p>
        </w:tc>
        <w:tc>
          <w:tcPr>
            <w:tcW w:w="2773" w:type="dxa"/>
            <w:tcBorders>
              <w:tl2br w:val="nil"/>
              <w:tr2bl w:val="nil"/>
            </w:tcBorders>
            <w:vAlign w:val="center"/>
          </w:tcPr>
          <w:p w14:paraId="45FED0E5">
            <w:pPr>
              <w:pStyle w:val="30"/>
              <w:widowControl w:val="0"/>
              <w:bidi w:val="0"/>
              <w:rPr>
                <w:color w:val="auto"/>
                <w:lang w:val="en-US" w:eastAsia="en-US"/>
              </w:rPr>
            </w:pPr>
            <w:r>
              <w:rPr>
                <w:color w:val="auto"/>
                <w:lang w:val="en-US" w:eastAsia="en-US"/>
              </w:rPr>
              <w:t>山王中学</w:t>
            </w:r>
          </w:p>
        </w:tc>
        <w:tc>
          <w:tcPr>
            <w:tcW w:w="885" w:type="dxa"/>
            <w:tcBorders>
              <w:tl2br w:val="nil"/>
              <w:tr2bl w:val="nil"/>
            </w:tcBorders>
            <w:vAlign w:val="center"/>
          </w:tcPr>
          <w:p w14:paraId="6A733DE4">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2C7D25D9">
            <w:pPr>
              <w:pStyle w:val="30"/>
              <w:widowControl w:val="0"/>
              <w:bidi w:val="0"/>
              <w:rPr>
                <w:color w:val="auto"/>
                <w:lang w:val="en-US" w:eastAsia="en-US"/>
              </w:rPr>
            </w:pPr>
            <w:r>
              <w:rPr>
                <w:color w:val="auto"/>
                <w:lang w:val="en-US" w:eastAsia="en-US"/>
              </w:rPr>
              <w:t>3679</w:t>
            </w:r>
          </w:p>
        </w:tc>
        <w:tc>
          <w:tcPr>
            <w:tcW w:w="1019" w:type="dxa"/>
            <w:tcBorders>
              <w:tl2br w:val="nil"/>
              <w:tr2bl w:val="nil"/>
            </w:tcBorders>
            <w:vAlign w:val="center"/>
          </w:tcPr>
          <w:p w14:paraId="613C6935">
            <w:pPr>
              <w:pStyle w:val="30"/>
              <w:widowControl w:val="0"/>
              <w:bidi w:val="0"/>
              <w:rPr>
                <w:color w:val="auto"/>
                <w:lang w:val="en-US" w:eastAsia="en-US"/>
              </w:rPr>
            </w:pPr>
            <w:r>
              <w:rPr>
                <w:color w:val="auto"/>
                <w:lang w:val="en-US" w:eastAsia="en-US"/>
              </w:rPr>
              <w:t>1082人</w:t>
            </w:r>
          </w:p>
        </w:tc>
        <w:tc>
          <w:tcPr>
            <w:tcW w:w="1716" w:type="dxa"/>
            <w:vMerge w:val="continue"/>
            <w:tcBorders>
              <w:tl2br w:val="nil"/>
              <w:tr2bl w:val="nil"/>
            </w:tcBorders>
            <w:vAlign w:val="center"/>
          </w:tcPr>
          <w:p w14:paraId="591D6C03">
            <w:pPr>
              <w:pStyle w:val="30"/>
              <w:widowControl w:val="0"/>
              <w:bidi w:val="0"/>
              <w:rPr>
                <w:color w:val="auto"/>
                <w:lang w:val="en-US" w:eastAsia="en-US"/>
              </w:rPr>
            </w:pPr>
          </w:p>
        </w:tc>
      </w:tr>
      <w:tr w14:paraId="0A762F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141B41A">
            <w:pPr>
              <w:pStyle w:val="30"/>
              <w:widowControl w:val="0"/>
              <w:bidi w:val="0"/>
              <w:rPr>
                <w:color w:val="auto"/>
                <w:lang w:val="en-US" w:eastAsia="en-US"/>
              </w:rPr>
            </w:pPr>
          </w:p>
        </w:tc>
        <w:tc>
          <w:tcPr>
            <w:tcW w:w="634" w:type="dxa"/>
            <w:tcBorders>
              <w:tl2br w:val="nil"/>
              <w:tr2bl w:val="nil"/>
            </w:tcBorders>
            <w:vAlign w:val="center"/>
          </w:tcPr>
          <w:p w14:paraId="45C9F33A">
            <w:pPr>
              <w:pStyle w:val="30"/>
              <w:widowControl w:val="0"/>
              <w:bidi w:val="0"/>
              <w:rPr>
                <w:color w:val="auto"/>
                <w:lang w:val="en-US" w:eastAsia="en-US"/>
              </w:rPr>
            </w:pPr>
            <w:r>
              <w:rPr>
                <w:color w:val="auto"/>
                <w:lang w:val="en-US" w:eastAsia="en-US"/>
              </w:rPr>
              <w:t>48</w:t>
            </w:r>
          </w:p>
        </w:tc>
        <w:tc>
          <w:tcPr>
            <w:tcW w:w="2773" w:type="dxa"/>
            <w:tcBorders>
              <w:tl2br w:val="nil"/>
              <w:tr2bl w:val="nil"/>
            </w:tcBorders>
            <w:vAlign w:val="center"/>
          </w:tcPr>
          <w:p w14:paraId="07DA1EA0">
            <w:pPr>
              <w:pStyle w:val="30"/>
              <w:widowControl w:val="0"/>
              <w:bidi w:val="0"/>
              <w:rPr>
                <w:color w:val="auto"/>
                <w:lang w:val="en-US" w:eastAsia="en-US"/>
              </w:rPr>
            </w:pPr>
            <w:r>
              <w:rPr>
                <w:color w:val="auto"/>
                <w:lang w:val="en-US" w:eastAsia="en-US"/>
              </w:rPr>
              <w:t>山王小学</w:t>
            </w:r>
          </w:p>
        </w:tc>
        <w:tc>
          <w:tcPr>
            <w:tcW w:w="885" w:type="dxa"/>
            <w:tcBorders>
              <w:tl2br w:val="nil"/>
              <w:tr2bl w:val="nil"/>
            </w:tcBorders>
            <w:vAlign w:val="center"/>
          </w:tcPr>
          <w:p w14:paraId="24B6CCED">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3D5A765B">
            <w:pPr>
              <w:pStyle w:val="30"/>
              <w:widowControl w:val="0"/>
              <w:bidi w:val="0"/>
              <w:rPr>
                <w:color w:val="auto"/>
                <w:lang w:val="en-US" w:eastAsia="en-US"/>
              </w:rPr>
            </w:pPr>
            <w:r>
              <w:rPr>
                <w:color w:val="auto"/>
                <w:lang w:val="en-US" w:eastAsia="en-US"/>
              </w:rPr>
              <w:t>3593</w:t>
            </w:r>
          </w:p>
        </w:tc>
        <w:tc>
          <w:tcPr>
            <w:tcW w:w="1019" w:type="dxa"/>
            <w:tcBorders>
              <w:tl2br w:val="nil"/>
              <w:tr2bl w:val="nil"/>
            </w:tcBorders>
            <w:vAlign w:val="center"/>
          </w:tcPr>
          <w:p w14:paraId="389BBC91">
            <w:pPr>
              <w:pStyle w:val="30"/>
              <w:widowControl w:val="0"/>
              <w:bidi w:val="0"/>
              <w:rPr>
                <w:color w:val="auto"/>
                <w:lang w:val="en-US" w:eastAsia="en-US"/>
              </w:rPr>
            </w:pPr>
            <w:r>
              <w:rPr>
                <w:color w:val="auto"/>
                <w:lang w:val="en-US" w:eastAsia="en-US"/>
              </w:rPr>
              <w:t>986人</w:t>
            </w:r>
          </w:p>
        </w:tc>
        <w:tc>
          <w:tcPr>
            <w:tcW w:w="1716" w:type="dxa"/>
            <w:vMerge w:val="continue"/>
            <w:tcBorders>
              <w:tl2br w:val="nil"/>
              <w:tr2bl w:val="nil"/>
            </w:tcBorders>
            <w:vAlign w:val="center"/>
          </w:tcPr>
          <w:p w14:paraId="1BF55397">
            <w:pPr>
              <w:pStyle w:val="30"/>
              <w:widowControl w:val="0"/>
              <w:bidi w:val="0"/>
              <w:rPr>
                <w:color w:val="auto"/>
                <w:lang w:val="en-US" w:eastAsia="en-US"/>
              </w:rPr>
            </w:pPr>
          </w:p>
        </w:tc>
      </w:tr>
      <w:tr w14:paraId="7B325F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C4C2320">
            <w:pPr>
              <w:pStyle w:val="30"/>
              <w:widowControl w:val="0"/>
              <w:bidi w:val="0"/>
              <w:rPr>
                <w:color w:val="auto"/>
                <w:lang w:val="en-US" w:eastAsia="en-US"/>
              </w:rPr>
            </w:pPr>
          </w:p>
        </w:tc>
        <w:tc>
          <w:tcPr>
            <w:tcW w:w="634" w:type="dxa"/>
            <w:tcBorders>
              <w:tl2br w:val="nil"/>
              <w:tr2bl w:val="nil"/>
            </w:tcBorders>
            <w:vAlign w:val="center"/>
          </w:tcPr>
          <w:p w14:paraId="3FE999EB">
            <w:pPr>
              <w:pStyle w:val="30"/>
              <w:widowControl w:val="0"/>
              <w:bidi w:val="0"/>
              <w:rPr>
                <w:color w:val="auto"/>
                <w:lang w:val="en-US" w:eastAsia="en-US"/>
              </w:rPr>
            </w:pPr>
            <w:r>
              <w:rPr>
                <w:color w:val="auto"/>
                <w:lang w:val="en-US" w:eastAsia="en-US"/>
              </w:rPr>
              <w:t>49</w:t>
            </w:r>
          </w:p>
        </w:tc>
        <w:tc>
          <w:tcPr>
            <w:tcW w:w="2773" w:type="dxa"/>
            <w:tcBorders>
              <w:tl2br w:val="nil"/>
              <w:tr2bl w:val="nil"/>
            </w:tcBorders>
            <w:vAlign w:val="center"/>
          </w:tcPr>
          <w:p w14:paraId="0C9CC6DC">
            <w:pPr>
              <w:pStyle w:val="30"/>
              <w:widowControl w:val="0"/>
              <w:bidi w:val="0"/>
              <w:rPr>
                <w:color w:val="auto"/>
                <w:lang w:val="en-US" w:eastAsia="en-US"/>
              </w:rPr>
            </w:pPr>
            <w:r>
              <w:rPr>
                <w:color w:val="auto"/>
                <w:lang w:val="en-US" w:eastAsia="en-US"/>
              </w:rPr>
              <w:t>山王集社区</w:t>
            </w:r>
          </w:p>
        </w:tc>
        <w:tc>
          <w:tcPr>
            <w:tcW w:w="885" w:type="dxa"/>
            <w:tcBorders>
              <w:tl2br w:val="nil"/>
              <w:tr2bl w:val="nil"/>
            </w:tcBorders>
            <w:vAlign w:val="center"/>
          </w:tcPr>
          <w:p w14:paraId="623785C1">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019BB71B">
            <w:pPr>
              <w:pStyle w:val="30"/>
              <w:widowControl w:val="0"/>
              <w:bidi w:val="0"/>
              <w:rPr>
                <w:color w:val="auto"/>
                <w:lang w:val="en-US" w:eastAsia="en-US"/>
              </w:rPr>
            </w:pPr>
            <w:r>
              <w:rPr>
                <w:color w:val="auto"/>
                <w:lang w:val="en-US" w:eastAsia="en-US"/>
              </w:rPr>
              <w:t>3000</w:t>
            </w:r>
          </w:p>
        </w:tc>
        <w:tc>
          <w:tcPr>
            <w:tcW w:w="1019" w:type="dxa"/>
            <w:tcBorders>
              <w:tl2br w:val="nil"/>
              <w:tr2bl w:val="nil"/>
            </w:tcBorders>
            <w:vAlign w:val="center"/>
          </w:tcPr>
          <w:p w14:paraId="1DE5D938">
            <w:pPr>
              <w:pStyle w:val="30"/>
              <w:widowControl w:val="0"/>
              <w:bidi w:val="0"/>
              <w:rPr>
                <w:color w:val="auto"/>
                <w:lang w:val="en-US" w:eastAsia="en-US"/>
              </w:rPr>
            </w:pPr>
            <w:r>
              <w:rPr>
                <w:color w:val="auto"/>
                <w:lang w:val="en-US" w:eastAsia="en-US"/>
              </w:rPr>
              <w:t>1275人</w:t>
            </w:r>
          </w:p>
        </w:tc>
        <w:tc>
          <w:tcPr>
            <w:tcW w:w="1716" w:type="dxa"/>
            <w:vMerge w:val="continue"/>
            <w:tcBorders>
              <w:tl2br w:val="nil"/>
              <w:tr2bl w:val="nil"/>
            </w:tcBorders>
            <w:vAlign w:val="center"/>
          </w:tcPr>
          <w:p w14:paraId="48373C6B">
            <w:pPr>
              <w:pStyle w:val="30"/>
              <w:widowControl w:val="0"/>
              <w:bidi w:val="0"/>
              <w:rPr>
                <w:color w:val="auto"/>
                <w:lang w:val="en-US" w:eastAsia="en-US"/>
              </w:rPr>
            </w:pPr>
          </w:p>
        </w:tc>
      </w:tr>
      <w:tr w14:paraId="002B96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DE56C7C">
            <w:pPr>
              <w:pStyle w:val="30"/>
              <w:widowControl w:val="0"/>
              <w:bidi w:val="0"/>
              <w:rPr>
                <w:color w:val="auto"/>
                <w:lang w:val="en-US" w:eastAsia="en-US"/>
              </w:rPr>
            </w:pPr>
          </w:p>
        </w:tc>
        <w:tc>
          <w:tcPr>
            <w:tcW w:w="634" w:type="dxa"/>
            <w:tcBorders>
              <w:tl2br w:val="nil"/>
              <w:tr2bl w:val="nil"/>
            </w:tcBorders>
            <w:vAlign w:val="center"/>
          </w:tcPr>
          <w:p w14:paraId="6143436F">
            <w:pPr>
              <w:pStyle w:val="30"/>
              <w:widowControl w:val="0"/>
              <w:bidi w:val="0"/>
              <w:rPr>
                <w:color w:val="auto"/>
                <w:lang w:val="en-US" w:eastAsia="en-US"/>
              </w:rPr>
            </w:pPr>
            <w:r>
              <w:rPr>
                <w:color w:val="auto"/>
                <w:lang w:val="en-US" w:eastAsia="en-US"/>
              </w:rPr>
              <w:t>50</w:t>
            </w:r>
          </w:p>
        </w:tc>
        <w:tc>
          <w:tcPr>
            <w:tcW w:w="2773" w:type="dxa"/>
            <w:tcBorders>
              <w:tl2br w:val="nil"/>
              <w:tr2bl w:val="nil"/>
            </w:tcBorders>
            <w:vAlign w:val="center"/>
          </w:tcPr>
          <w:p w14:paraId="719C9C4D">
            <w:pPr>
              <w:pStyle w:val="30"/>
              <w:widowControl w:val="0"/>
              <w:bidi w:val="0"/>
              <w:rPr>
                <w:color w:val="auto"/>
                <w:lang w:val="en-US" w:eastAsia="en-US"/>
              </w:rPr>
            </w:pPr>
            <w:r>
              <w:rPr>
                <w:color w:val="auto"/>
                <w:lang w:val="en-US" w:eastAsia="en-US"/>
              </w:rPr>
              <w:t>小胡村</w:t>
            </w:r>
          </w:p>
        </w:tc>
        <w:tc>
          <w:tcPr>
            <w:tcW w:w="885" w:type="dxa"/>
            <w:tcBorders>
              <w:tl2br w:val="nil"/>
              <w:tr2bl w:val="nil"/>
            </w:tcBorders>
            <w:vAlign w:val="center"/>
          </w:tcPr>
          <w:p w14:paraId="21448981">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52B8510B">
            <w:pPr>
              <w:pStyle w:val="30"/>
              <w:widowControl w:val="0"/>
              <w:bidi w:val="0"/>
              <w:rPr>
                <w:color w:val="auto"/>
                <w:lang w:val="en-US" w:eastAsia="en-US"/>
              </w:rPr>
            </w:pPr>
            <w:r>
              <w:rPr>
                <w:color w:val="auto"/>
                <w:lang w:val="en-US" w:eastAsia="en-US"/>
              </w:rPr>
              <w:t>2698</w:t>
            </w:r>
          </w:p>
        </w:tc>
        <w:tc>
          <w:tcPr>
            <w:tcW w:w="1019" w:type="dxa"/>
            <w:tcBorders>
              <w:tl2br w:val="nil"/>
              <w:tr2bl w:val="nil"/>
            </w:tcBorders>
            <w:vAlign w:val="center"/>
          </w:tcPr>
          <w:p w14:paraId="47FCB366">
            <w:pPr>
              <w:pStyle w:val="30"/>
              <w:widowControl w:val="0"/>
              <w:bidi w:val="0"/>
              <w:rPr>
                <w:color w:val="auto"/>
                <w:lang w:val="en-US" w:eastAsia="en-US"/>
              </w:rPr>
            </w:pPr>
            <w:r>
              <w:rPr>
                <w:color w:val="auto"/>
                <w:lang w:val="en-US" w:eastAsia="en-US"/>
              </w:rPr>
              <w:t>108人</w:t>
            </w:r>
          </w:p>
        </w:tc>
        <w:tc>
          <w:tcPr>
            <w:tcW w:w="1716" w:type="dxa"/>
            <w:vMerge w:val="continue"/>
            <w:tcBorders>
              <w:tl2br w:val="nil"/>
              <w:tr2bl w:val="nil"/>
            </w:tcBorders>
            <w:vAlign w:val="center"/>
          </w:tcPr>
          <w:p w14:paraId="21C700FF">
            <w:pPr>
              <w:pStyle w:val="30"/>
              <w:widowControl w:val="0"/>
              <w:bidi w:val="0"/>
              <w:rPr>
                <w:color w:val="auto"/>
                <w:lang w:val="en-US" w:eastAsia="en-US"/>
              </w:rPr>
            </w:pPr>
          </w:p>
        </w:tc>
      </w:tr>
      <w:tr w14:paraId="18031E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1CFE093">
            <w:pPr>
              <w:pStyle w:val="30"/>
              <w:widowControl w:val="0"/>
              <w:bidi w:val="0"/>
              <w:rPr>
                <w:color w:val="auto"/>
                <w:lang w:val="en-US" w:eastAsia="en-US"/>
              </w:rPr>
            </w:pPr>
          </w:p>
        </w:tc>
        <w:tc>
          <w:tcPr>
            <w:tcW w:w="634" w:type="dxa"/>
            <w:tcBorders>
              <w:tl2br w:val="nil"/>
              <w:tr2bl w:val="nil"/>
            </w:tcBorders>
            <w:vAlign w:val="center"/>
          </w:tcPr>
          <w:p w14:paraId="4C905C31">
            <w:pPr>
              <w:pStyle w:val="30"/>
              <w:widowControl w:val="0"/>
              <w:bidi w:val="0"/>
              <w:rPr>
                <w:color w:val="auto"/>
                <w:lang w:val="en-US" w:eastAsia="en-US"/>
              </w:rPr>
            </w:pPr>
            <w:r>
              <w:rPr>
                <w:color w:val="auto"/>
                <w:lang w:val="en-US" w:eastAsia="en-US"/>
              </w:rPr>
              <w:t>51</w:t>
            </w:r>
          </w:p>
        </w:tc>
        <w:tc>
          <w:tcPr>
            <w:tcW w:w="2773" w:type="dxa"/>
            <w:tcBorders>
              <w:tl2br w:val="nil"/>
              <w:tr2bl w:val="nil"/>
            </w:tcBorders>
            <w:vAlign w:val="center"/>
          </w:tcPr>
          <w:p w14:paraId="3AF63D1E">
            <w:pPr>
              <w:pStyle w:val="30"/>
              <w:widowControl w:val="0"/>
              <w:bidi w:val="0"/>
              <w:rPr>
                <w:color w:val="auto"/>
                <w:lang w:val="en-US" w:eastAsia="en-US"/>
              </w:rPr>
            </w:pPr>
            <w:r>
              <w:rPr>
                <w:color w:val="auto"/>
                <w:lang w:val="en-US" w:eastAsia="en-US"/>
              </w:rPr>
              <w:t>朝西周</w:t>
            </w:r>
          </w:p>
        </w:tc>
        <w:tc>
          <w:tcPr>
            <w:tcW w:w="885" w:type="dxa"/>
            <w:tcBorders>
              <w:tl2br w:val="nil"/>
              <w:tr2bl w:val="nil"/>
            </w:tcBorders>
            <w:vAlign w:val="center"/>
          </w:tcPr>
          <w:p w14:paraId="428BA2C2">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35D4E05C">
            <w:pPr>
              <w:pStyle w:val="30"/>
              <w:widowControl w:val="0"/>
              <w:bidi w:val="0"/>
              <w:rPr>
                <w:color w:val="auto"/>
                <w:lang w:val="en-US" w:eastAsia="en-US"/>
              </w:rPr>
            </w:pPr>
            <w:r>
              <w:rPr>
                <w:color w:val="auto"/>
                <w:lang w:val="en-US" w:eastAsia="en-US"/>
              </w:rPr>
              <w:t>2662</w:t>
            </w:r>
          </w:p>
        </w:tc>
        <w:tc>
          <w:tcPr>
            <w:tcW w:w="1019" w:type="dxa"/>
            <w:tcBorders>
              <w:tl2br w:val="nil"/>
              <w:tr2bl w:val="nil"/>
            </w:tcBorders>
            <w:vAlign w:val="center"/>
          </w:tcPr>
          <w:p w14:paraId="7CFA1FF4">
            <w:pPr>
              <w:pStyle w:val="30"/>
              <w:widowControl w:val="0"/>
              <w:bidi w:val="0"/>
              <w:rPr>
                <w:color w:val="auto"/>
                <w:lang w:val="en-US" w:eastAsia="en-US"/>
              </w:rPr>
            </w:pPr>
            <w:r>
              <w:rPr>
                <w:color w:val="auto"/>
                <w:lang w:val="en-US" w:eastAsia="en-US"/>
              </w:rPr>
              <w:t>189人</w:t>
            </w:r>
          </w:p>
        </w:tc>
        <w:tc>
          <w:tcPr>
            <w:tcW w:w="1716" w:type="dxa"/>
            <w:vMerge w:val="continue"/>
            <w:tcBorders>
              <w:tl2br w:val="nil"/>
              <w:tr2bl w:val="nil"/>
            </w:tcBorders>
            <w:vAlign w:val="center"/>
          </w:tcPr>
          <w:p w14:paraId="4CDF8021">
            <w:pPr>
              <w:pStyle w:val="30"/>
              <w:widowControl w:val="0"/>
              <w:bidi w:val="0"/>
              <w:rPr>
                <w:color w:val="auto"/>
                <w:lang w:val="en-US" w:eastAsia="en-US"/>
              </w:rPr>
            </w:pPr>
          </w:p>
        </w:tc>
      </w:tr>
      <w:tr w14:paraId="41D896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4C17851">
            <w:pPr>
              <w:pStyle w:val="30"/>
              <w:widowControl w:val="0"/>
              <w:bidi w:val="0"/>
              <w:rPr>
                <w:color w:val="auto"/>
                <w:lang w:val="en-US" w:eastAsia="en-US"/>
              </w:rPr>
            </w:pPr>
          </w:p>
        </w:tc>
        <w:tc>
          <w:tcPr>
            <w:tcW w:w="634" w:type="dxa"/>
            <w:tcBorders>
              <w:tl2br w:val="nil"/>
              <w:tr2bl w:val="nil"/>
            </w:tcBorders>
            <w:vAlign w:val="center"/>
          </w:tcPr>
          <w:p w14:paraId="52A15D8D">
            <w:pPr>
              <w:pStyle w:val="30"/>
              <w:widowControl w:val="0"/>
              <w:bidi w:val="0"/>
              <w:rPr>
                <w:color w:val="auto"/>
                <w:lang w:val="en-US" w:eastAsia="en-US"/>
              </w:rPr>
            </w:pPr>
            <w:r>
              <w:rPr>
                <w:color w:val="auto"/>
                <w:lang w:val="en-US" w:eastAsia="en-US"/>
              </w:rPr>
              <w:t>52</w:t>
            </w:r>
          </w:p>
        </w:tc>
        <w:tc>
          <w:tcPr>
            <w:tcW w:w="2773" w:type="dxa"/>
            <w:tcBorders>
              <w:tl2br w:val="nil"/>
              <w:tr2bl w:val="nil"/>
            </w:tcBorders>
            <w:vAlign w:val="center"/>
          </w:tcPr>
          <w:p w14:paraId="3CE1E374">
            <w:pPr>
              <w:pStyle w:val="30"/>
              <w:widowControl w:val="0"/>
              <w:bidi w:val="0"/>
              <w:rPr>
                <w:color w:val="auto"/>
                <w:lang w:val="en-US" w:eastAsia="en-US"/>
              </w:rPr>
            </w:pPr>
            <w:r>
              <w:rPr>
                <w:color w:val="auto"/>
                <w:lang w:val="en-US" w:eastAsia="en-US"/>
              </w:rPr>
              <w:t>上份方</w:t>
            </w:r>
          </w:p>
        </w:tc>
        <w:tc>
          <w:tcPr>
            <w:tcW w:w="885" w:type="dxa"/>
            <w:tcBorders>
              <w:tl2br w:val="nil"/>
              <w:tr2bl w:val="nil"/>
            </w:tcBorders>
            <w:vAlign w:val="center"/>
          </w:tcPr>
          <w:p w14:paraId="07CD4788">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0C40FEFE">
            <w:pPr>
              <w:pStyle w:val="30"/>
              <w:widowControl w:val="0"/>
              <w:bidi w:val="0"/>
              <w:rPr>
                <w:color w:val="auto"/>
                <w:lang w:val="en-US" w:eastAsia="en-US"/>
              </w:rPr>
            </w:pPr>
            <w:r>
              <w:rPr>
                <w:color w:val="auto"/>
                <w:lang w:val="en-US" w:eastAsia="en-US"/>
              </w:rPr>
              <w:t>3097</w:t>
            </w:r>
          </w:p>
        </w:tc>
        <w:tc>
          <w:tcPr>
            <w:tcW w:w="1019" w:type="dxa"/>
            <w:tcBorders>
              <w:tl2br w:val="nil"/>
              <w:tr2bl w:val="nil"/>
            </w:tcBorders>
            <w:vAlign w:val="center"/>
          </w:tcPr>
          <w:p w14:paraId="1F9DA7F1">
            <w:pPr>
              <w:pStyle w:val="30"/>
              <w:widowControl w:val="0"/>
              <w:bidi w:val="0"/>
              <w:rPr>
                <w:color w:val="auto"/>
                <w:lang w:val="en-US" w:eastAsia="en-US"/>
              </w:rPr>
            </w:pPr>
            <w:r>
              <w:rPr>
                <w:color w:val="auto"/>
                <w:lang w:val="en-US" w:eastAsia="en-US"/>
              </w:rPr>
              <w:t>176人</w:t>
            </w:r>
          </w:p>
        </w:tc>
        <w:tc>
          <w:tcPr>
            <w:tcW w:w="1716" w:type="dxa"/>
            <w:vMerge w:val="continue"/>
            <w:tcBorders>
              <w:tl2br w:val="nil"/>
              <w:tr2bl w:val="nil"/>
            </w:tcBorders>
            <w:vAlign w:val="center"/>
          </w:tcPr>
          <w:p w14:paraId="624BDECE">
            <w:pPr>
              <w:pStyle w:val="30"/>
              <w:widowControl w:val="0"/>
              <w:bidi w:val="0"/>
              <w:rPr>
                <w:color w:val="auto"/>
                <w:lang w:val="en-US" w:eastAsia="en-US"/>
              </w:rPr>
            </w:pPr>
          </w:p>
        </w:tc>
      </w:tr>
      <w:tr w14:paraId="65A27B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05D725D">
            <w:pPr>
              <w:pStyle w:val="30"/>
              <w:widowControl w:val="0"/>
              <w:bidi w:val="0"/>
              <w:rPr>
                <w:color w:val="auto"/>
                <w:lang w:val="en-US" w:eastAsia="en-US"/>
              </w:rPr>
            </w:pPr>
          </w:p>
        </w:tc>
        <w:tc>
          <w:tcPr>
            <w:tcW w:w="634" w:type="dxa"/>
            <w:tcBorders>
              <w:tl2br w:val="nil"/>
              <w:tr2bl w:val="nil"/>
            </w:tcBorders>
            <w:vAlign w:val="center"/>
          </w:tcPr>
          <w:p w14:paraId="440B766A">
            <w:pPr>
              <w:pStyle w:val="30"/>
              <w:widowControl w:val="0"/>
              <w:bidi w:val="0"/>
              <w:rPr>
                <w:color w:val="auto"/>
                <w:lang w:val="en-US" w:eastAsia="en-US"/>
              </w:rPr>
            </w:pPr>
            <w:r>
              <w:rPr>
                <w:color w:val="auto"/>
                <w:lang w:val="en-US" w:eastAsia="en-US"/>
              </w:rPr>
              <w:t>53</w:t>
            </w:r>
          </w:p>
        </w:tc>
        <w:tc>
          <w:tcPr>
            <w:tcW w:w="2773" w:type="dxa"/>
            <w:tcBorders>
              <w:tl2br w:val="nil"/>
              <w:tr2bl w:val="nil"/>
            </w:tcBorders>
            <w:vAlign w:val="center"/>
          </w:tcPr>
          <w:p w14:paraId="5EEB96AA">
            <w:pPr>
              <w:pStyle w:val="30"/>
              <w:widowControl w:val="0"/>
              <w:bidi w:val="0"/>
              <w:rPr>
                <w:color w:val="auto"/>
                <w:lang w:val="en-US" w:eastAsia="en-US"/>
              </w:rPr>
            </w:pPr>
            <w:r>
              <w:rPr>
                <w:color w:val="auto"/>
                <w:lang w:val="en-US" w:eastAsia="en-US"/>
              </w:rPr>
              <w:t>山王村</w:t>
            </w:r>
          </w:p>
        </w:tc>
        <w:tc>
          <w:tcPr>
            <w:tcW w:w="885" w:type="dxa"/>
            <w:tcBorders>
              <w:tl2br w:val="nil"/>
              <w:tr2bl w:val="nil"/>
            </w:tcBorders>
            <w:vAlign w:val="center"/>
          </w:tcPr>
          <w:p w14:paraId="7B28D3B4">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30B82DE1">
            <w:pPr>
              <w:pStyle w:val="30"/>
              <w:widowControl w:val="0"/>
              <w:bidi w:val="0"/>
              <w:rPr>
                <w:color w:val="auto"/>
                <w:lang w:val="en-US" w:eastAsia="en-US"/>
              </w:rPr>
            </w:pPr>
            <w:r>
              <w:rPr>
                <w:color w:val="auto"/>
                <w:lang w:val="en-US" w:eastAsia="en-US"/>
              </w:rPr>
              <w:t>3878</w:t>
            </w:r>
          </w:p>
        </w:tc>
        <w:tc>
          <w:tcPr>
            <w:tcW w:w="1019" w:type="dxa"/>
            <w:tcBorders>
              <w:tl2br w:val="nil"/>
              <w:tr2bl w:val="nil"/>
            </w:tcBorders>
            <w:vAlign w:val="center"/>
          </w:tcPr>
          <w:p w14:paraId="46E2A82A">
            <w:pPr>
              <w:pStyle w:val="30"/>
              <w:widowControl w:val="0"/>
              <w:bidi w:val="0"/>
              <w:rPr>
                <w:color w:val="auto"/>
                <w:lang w:val="en-US" w:eastAsia="en-US"/>
              </w:rPr>
            </w:pPr>
            <w:r>
              <w:rPr>
                <w:color w:val="auto"/>
                <w:lang w:val="en-US" w:eastAsia="en-US"/>
              </w:rPr>
              <w:t>468人</w:t>
            </w:r>
          </w:p>
        </w:tc>
        <w:tc>
          <w:tcPr>
            <w:tcW w:w="1716" w:type="dxa"/>
            <w:vMerge w:val="continue"/>
            <w:tcBorders>
              <w:tl2br w:val="nil"/>
              <w:tr2bl w:val="nil"/>
            </w:tcBorders>
            <w:vAlign w:val="center"/>
          </w:tcPr>
          <w:p w14:paraId="5E1791D1">
            <w:pPr>
              <w:pStyle w:val="30"/>
              <w:widowControl w:val="0"/>
              <w:bidi w:val="0"/>
              <w:rPr>
                <w:color w:val="auto"/>
                <w:lang w:val="en-US" w:eastAsia="en-US"/>
              </w:rPr>
            </w:pPr>
          </w:p>
        </w:tc>
      </w:tr>
      <w:tr w14:paraId="70F659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18D3CD7">
            <w:pPr>
              <w:pStyle w:val="30"/>
              <w:widowControl w:val="0"/>
              <w:bidi w:val="0"/>
              <w:rPr>
                <w:color w:val="auto"/>
                <w:lang w:val="en-US" w:eastAsia="en-US"/>
              </w:rPr>
            </w:pPr>
          </w:p>
        </w:tc>
        <w:tc>
          <w:tcPr>
            <w:tcW w:w="634" w:type="dxa"/>
            <w:tcBorders>
              <w:tl2br w:val="nil"/>
              <w:tr2bl w:val="nil"/>
            </w:tcBorders>
            <w:vAlign w:val="center"/>
          </w:tcPr>
          <w:p w14:paraId="14FAEDFC">
            <w:pPr>
              <w:pStyle w:val="30"/>
              <w:widowControl w:val="0"/>
              <w:bidi w:val="0"/>
              <w:rPr>
                <w:color w:val="auto"/>
                <w:lang w:val="en-US" w:eastAsia="en-US"/>
              </w:rPr>
            </w:pPr>
            <w:r>
              <w:rPr>
                <w:color w:val="auto"/>
                <w:lang w:val="en-US" w:eastAsia="en-US"/>
              </w:rPr>
              <w:t>54</w:t>
            </w:r>
          </w:p>
        </w:tc>
        <w:tc>
          <w:tcPr>
            <w:tcW w:w="2773" w:type="dxa"/>
            <w:tcBorders>
              <w:tl2br w:val="nil"/>
              <w:tr2bl w:val="nil"/>
            </w:tcBorders>
            <w:vAlign w:val="center"/>
          </w:tcPr>
          <w:p w14:paraId="03744ADC">
            <w:pPr>
              <w:pStyle w:val="30"/>
              <w:widowControl w:val="0"/>
              <w:bidi w:val="0"/>
              <w:rPr>
                <w:color w:val="auto"/>
                <w:lang w:val="en-US" w:eastAsia="en-US"/>
              </w:rPr>
            </w:pPr>
            <w:r>
              <w:rPr>
                <w:color w:val="auto"/>
                <w:lang w:val="en-US" w:eastAsia="en-US"/>
              </w:rPr>
              <w:t>山谢村</w:t>
            </w:r>
          </w:p>
        </w:tc>
        <w:tc>
          <w:tcPr>
            <w:tcW w:w="885" w:type="dxa"/>
            <w:tcBorders>
              <w:tl2br w:val="nil"/>
              <w:tr2bl w:val="nil"/>
            </w:tcBorders>
            <w:vAlign w:val="center"/>
          </w:tcPr>
          <w:p w14:paraId="780A4C24">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492954E2">
            <w:pPr>
              <w:pStyle w:val="30"/>
              <w:widowControl w:val="0"/>
              <w:bidi w:val="0"/>
              <w:rPr>
                <w:color w:val="auto"/>
                <w:lang w:val="en-US" w:eastAsia="en-US"/>
              </w:rPr>
            </w:pPr>
            <w:r>
              <w:rPr>
                <w:color w:val="auto"/>
                <w:lang w:val="en-US" w:eastAsia="en-US"/>
              </w:rPr>
              <w:t>3691</w:t>
            </w:r>
          </w:p>
        </w:tc>
        <w:tc>
          <w:tcPr>
            <w:tcW w:w="1019" w:type="dxa"/>
            <w:tcBorders>
              <w:tl2br w:val="nil"/>
              <w:tr2bl w:val="nil"/>
            </w:tcBorders>
            <w:vAlign w:val="center"/>
          </w:tcPr>
          <w:p w14:paraId="664F8577">
            <w:pPr>
              <w:pStyle w:val="30"/>
              <w:widowControl w:val="0"/>
              <w:bidi w:val="0"/>
              <w:rPr>
                <w:color w:val="auto"/>
                <w:lang w:val="en-US" w:eastAsia="en-US"/>
              </w:rPr>
            </w:pPr>
            <w:r>
              <w:rPr>
                <w:color w:val="auto"/>
                <w:lang w:val="en-US" w:eastAsia="en-US"/>
              </w:rPr>
              <w:t>104人</w:t>
            </w:r>
          </w:p>
        </w:tc>
        <w:tc>
          <w:tcPr>
            <w:tcW w:w="1716" w:type="dxa"/>
            <w:vMerge w:val="continue"/>
            <w:tcBorders>
              <w:tl2br w:val="nil"/>
              <w:tr2bl w:val="nil"/>
            </w:tcBorders>
            <w:vAlign w:val="center"/>
          </w:tcPr>
          <w:p w14:paraId="0A1C0E16">
            <w:pPr>
              <w:pStyle w:val="30"/>
              <w:widowControl w:val="0"/>
              <w:bidi w:val="0"/>
              <w:rPr>
                <w:color w:val="auto"/>
                <w:lang w:val="en-US" w:eastAsia="en-US"/>
              </w:rPr>
            </w:pPr>
          </w:p>
        </w:tc>
      </w:tr>
      <w:tr w14:paraId="1A9006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1A4095C">
            <w:pPr>
              <w:pStyle w:val="30"/>
              <w:widowControl w:val="0"/>
              <w:bidi w:val="0"/>
              <w:rPr>
                <w:color w:val="auto"/>
                <w:lang w:val="en-US" w:eastAsia="en-US"/>
              </w:rPr>
            </w:pPr>
          </w:p>
        </w:tc>
        <w:tc>
          <w:tcPr>
            <w:tcW w:w="634" w:type="dxa"/>
            <w:tcBorders>
              <w:tl2br w:val="nil"/>
              <w:tr2bl w:val="nil"/>
            </w:tcBorders>
            <w:vAlign w:val="center"/>
          </w:tcPr>
          <w:p w14:paraId="28DD4263">
            <w:pPr>
              <w:pStyle w:val="30"/>
              <w:widowControl w:val="0"/>
              <w:bidi w:val="0"/>
              <w:rPr>
                <w:color w:val="auto"/>
                <w:lang w:val="en-US" w:eastAsia="en-US"/>
              </w:rPr>
            </w:pPr>
            <w:r>
              <w:rPr>
                <w:color w:val="auto"/>
                <w:lang w:val="en-US" w:eastAsia="en-US"/>
              </w:rPr>
              <w:t>55</w:t>
            </w:r>
          </w:p>
        </w:tc>
        <w:tc>
          <w:tcPr>
            <w:tcW w:w="2773" w:type="dxa"/>
            <w:tcBorders>
              <w:tl2br w:val="nil"/>
              <w:tr2bl w:val="nil"/>
            </w:tcBorders>
            <w:vAlign w:val="center"/>
          </w:tcPr>
          <w:p w14:paraId="463A5A3C">
            <w:pPr>
              <w:pStyle w:val="30"/>
              <w:widowControl w:val="0"/>
              <w:bidi w:val="0"/>
              <w:rPr>
                <w:color w:val="auto"/>
                <w:lang w:val="en-US" w:eastAsia="en-US"/>
              </w:rPr>
            </w:pPr>
            <w:r>
              <w:rPr>
                <w:color w:val="auto"/>
                <w:lang w:val="en-US" w:eastAsia="en-US"/>
              </w:rPr>
              <w:t>福泉村</w:t>
            </w:r>
          </w:p>
        </w:tc>
        <w:tc>
          <w:tcPr>
            <w:tcW w:w="885" w:type="dxa"/>
            <w:tcBorders>
              <w:tl2br w:val="nil"/>
              <w:tr2bl w:val="nil"/>
            </w:tcBorders>
            <w:vAlign w:val="center"/>
          </w:tcPr>
          <w:p w14:paraId="31050786">
            <w:pPr>
              <w:pStyle w:val="30"/>
              <w:widowControl w:val="0"/>
              <w:bidi w:val="0"/>
              <w:rPr>
                <w:color w:val="auto"/>
                <w:lang w:val="en-US" w:eastAsia="en-US"/>
              </w:rPr>
            </w:pPr>
            <w:r>
              <w:rPr>
                <w:color w:val="auto"/>
                <w:lang w:val="en-US" w:eastAsia="en-US"/>
              </w:rPr>
              <w:t>NE</w:t>
            </w:r>
          </w:p>
        </w:tc>
        <w:tc>
          <w:tcPr>
            <w:tcW w:w="1124" w:type="dxa"/>
            <w:tcBorders>
              <w:tl2br w:val="nil"/>
              <w:tr2bl w:val="nil"/>
            </w:tcBorders>
            <w:vAlign w:val="center"/>
          </w:tcPr>
          <w:p w14:paraId="03B7632F">
            <w:pPr>
              <w:pStyle w:val="30"/>
              <w:widowControl w:val="0"/>
              <w:bidi w:val="0"/>
              <w:rPr>
                <w:color w:val="auto"/>
                <w:lang w:val="en-US" w:eastAsia="en-US"/>
              </w:rPr>
            </w:pPr>
            <w:r>
              <w:rPr>
                <w:color w:val="auto"/>
                <w:lang w:val="en-US" w:eastAsia="en-US"/>
              </w:rPr>
              <w:t>2704</w:t>
            </w:r>
          </w:p>
        </w:tc>
        <w:tc>
          <w:tcPr>
            <w:tcW w:w="1019" w:type="dxa"/>
            <w:tcBorders>
              <w:tl2br w:val="nil"/>
              <w:tr2bl w:val="nil"/>
            </w:tcBorders>
            <w:vAlign w:val="center"/>
          </w:tcPr>
          <w:p w14:paraId="2E96765B">
            <w:pPr>
              <w:pStyle w:val="30"/>
              <w:widowControl w:val="0"/>
              <w:bidi w:val="0"/>
              <w:rPr>
                <w:color w:val="auto"/>
                <w:lang w:val="en-US" w:eastAsia="en-US"/>
              </w:rPr>
            </w:pPr>
            <w:r>
              <w:rPr>
                <w:color w:val="auto"/>
                <w:lang w:val="en-US" w:eastAsia="en-US"/>
              </w:rPr>
              <w:t>144人</w:t>
            </w:r>
          </w:p>
        </w:tc>
        <w:tc>
          <w:tcPr>
            <w:tcW w:w="1716" w:type="dxa"/>
            <w:vMerge w:val="continue"/>
            <w:tcBorders>
              <w:tl2br w:val="nil"/>
              <w:tr2bl w:val="nil"/>
            </w:tcBorders>
            <w:vAlign w:val="center"/>
          </w:tcPr>
          <w:p w14:paraId="7C7940EB">
            <w:pPr>
              <w:pStyle w:val="30"/>
              <w:widowControl w:val="0"/>
              <w:bidi w:val="0"/>
              <w:rPr>
                <w:color w:val="auto"/>
                <w:lang w:val="en-US" w:eastAsia="en-US"/>
              </w:rPr>
            </w:pPr>
          </w:p>
        </w:tc>
      </w:tr>
      <w:tr w14:paraId="5E41E4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502DD57">
            <w:pPr>
              <w:pStyle w:val="30"/>
              <w:widowControl w:val="0"/>
              <w:bidi w:val="0"/>
              <w:rPr>
                <w:color w:val="auto"/>
                <w:lang w:val="en-US" w:eastAsia="en-US"/>
              </w:rPr>
            </w:pPr>
          </w:p>
        </w:tc>
        <w:tc>
          <w:tcPr>
            <w:tcW w:w="634" w:type="dxa"/>
            <w:tcBorders>
              <w:tl2br w:val="nil"/>
              <w:tr2bl w:val="nil"/>
            </w:tcBorders>
            <w:vAlign w:val="center"/>
          </w:tcPr>
          <w:p w14:paraId="0463D7B8">
            <w:pPr>
              <w:pStyle w:val="30"/>
              <w:widowControl w:val="0"/>
              <w:bidi w:val="0"/>
              <w:rPr>
                <w:color w:val="auto"/>
                <w:lang w:val="en-US" w:eastAsia="en-US"/>
              </w:rPr>
            </w:pPr>
            <w:r>
              <w:rPr>
                <w:color w:val="auto"/>
                <w:lang w:val="en-US" w:eastAsia="en-US"/>
              </w:rPr>
              <w:t>56</w:t>
            </w:r>
          </w:p>
        </w:tc>
        <w:tc>
          <w:tcPr>
            <w:tcW w:w="2773" w:type="dxa"/>
            <w:tcBorders>
              <w:tl2br w:val="nil"/>
              <w:tr2bl w:val="nil"/>
            </w:tcBorders>
            <w:vAlign w:val="center"/>
          </w:tcPr>
          <w:p w14:paraId="66E9CB77">
            <w:pPr>
              <w:pStyle w:val="30"/>
              <w:widowControl w:val="0"/>
              <w:bidi w:val="0"/>
              <w:rPr>
                <w:color w:val="auto"/>
                <w:lang w:val="en-US" w:eastAsia="en-US"/>
              </w:rPr>
            </w:pPr>
            <w:r>
              <w:rPr>
                <w:color w:val="auto"/>
                <w:lang w:val="en-US" w:eastAsia="en-US"/>
              </w:rPr>
              <w:t>小李村</w:t>
            </w:r>
          </w:p>
        </w:tc>
        <w:tc>
          <w:tcPr>
            <w:tcW w:w="885" w:type="dxa"/>
            <w:tcBorders>
              <w:tl2br w:val="nil"/>
              <w:tr2bl w:val="nil"/>
            </w:tcBorders>
            <w:vAlign w:val="center"/>
          </w:tcPr>
          <w:p w14:paraId="71B331B4">
            <w:pPr>
              <w:pStyle w:val="30"/>
              <w:widowControl w:val="0"/>
              <w:bidi w:val="0"/>
              <w:rPr>
                <w:color w:val="auto"/>
                <w:lang w:val="en-US" w:eastAsia="en-US"/>
              </w:rPr>
            </w:pPr>
            <w:r>
              <w:rPr>
                <w:color w:val="auto"/>
                <w:lang w:val="en-US" w:eastAsia="en-US"/>
              </w:rPr>
              <w:t>E</w:t>
            </w:r>
          </w:p>
        </w:tc>
        <w:tc>
          <w:tcPr>
            <w:tcW w:w="1124" w:type="dxa"/>
            <w:tcBorders>
              <w:tl2br w:val="nil"/>
              <w:tr2bl w:val="nil"/>
            </w:tcBorders>
            <w:vAlign w:val="center"/>
          </w:tcPr>
          <w:p w14:paraId="03F7A777">
            <w:pPr>
              <w:pStyle w:val="30"/>
              <w:widowControl w:val="0"/>
              <w:bidi w:val="0"/>
              <w:rPr>
                <w:color w:val="auto"/>
                <w:lang w:val="en-US" w:eastAsia="en-US"/>
              </w:rPr>
            </w:pPr>
            <w:r>
              <w:rPr>
                <w:color w:val="auto"/>
                <w:lang w:val="en-US" w:eastAsia="en-US"/>
              </w:rPr>
              <w:t>2363</w:t>
            </w:r>
          </w:p>
        </w:tc>
        <w:tc>
          <w:tcPr>
            <w:tcW w:w="1019" w:type="dxa"/>
            <w:tcBorders>
              <w:tl2br w:val="nil"/>
              <w:tr2bl w:val="nil"/>
            </w:tcBorders>
            <w:vAlign w:val="center"/>
          </w:tcPr>
          <w:p w14:paraId="24AA0ABC">
            <w:pPr>
              <w:pStyle w:val="30"/>
              <w:widowControl w:val="0"/>
              <w:bidi w:val="0"/>
              <w:rPr>
                <w:color w:val="auto"/>
                <w:lang w:val="en-US" w:eastAsia="en-US"/>
              </w:rPr>
            </w:pPr>
            <w:r>
              <w:rPr>
                <w:color w:val="auto"/>
                <w:lang w:val="en-US" w:eastAsia="en-US"/>
              </w:rPr>
              <w:t>40人</w:t>
            </w:r>
          </w:p>
        </w:tc>
        <w:tc>
          <w:tcPr>
            <w:tcW w:w="1716" w:type="dxa"/>
            <w:vMerge w:val="continue"/>
            <w:tcBorders>
              <w:tl2br w:val="nil"/>
              <w:tr2bl w:val="nil"/>
            </w:tcBorders>
            <w:vAlign w:val="center"/>
          </w:tcPr>
          <w:p w14:paraId="1092E4CF">
            <w:pPr>
              <w:pStyle w:val="30"/>
              <w:widowControl w:val="0"/>
              <w:bidi w:val="0"/>
              <w:rPr>
                <w:color w:val="auto"/>
                <w:lang w:val="en-US" w:eastAsia="en-US"/>
              </w:rPr>
            </w:pPr>
          </w:p>
        </w:tc>
      </w:tr>
      <w:tr w14:paraId="0C4A8B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8B9FAC5">
            <w:pPr>
              <w:pStyle w:val="30"/>
              <w:widowControl w:val="0"/>
              <w:bidi w:val="0"/>
              <w:rPr>
                <w:color w:val="auto"/>
                <w:lang w:val="en-US" w:eastAsia="en-US"/>
              </w:rPr>
            </w:pPr>
          </w:p>
        </w:tc>
        <w:tc>
          <w:tcPr>
            <w:tcW w:w="634" w:type="dxa"/>
            <w:tcBorders>
              <w:tl2br w:val="nil"/>
              <w:tr2bl w:val="nil"/>
            </w:tcBorders>
            <w:vAlign w:val="center"/>
          </w:tcPr>
          <w:p w14:paraId="4887C849">
            <w:pPr>
              <w:pStyle w:val="30"/>
              <w:widowControl w:val="0"/>
              <w:bidi w:val="0"/>
              <w:rPr>
                <w:color w:val="auto"/>
                <w:lang w:val="en-US" w:eastAsia="en-US"/>
              </w:rPr>
            </w:pPr>
            <w:r>
              <w:rPr>
                <w:color w:val="auto"/>
                <w:lang w:val="en-US" w:eastAsia="en-US"/>
              </w:rPr>
              <w:t>57</w:t>
            </w:r>
          </w:p>
        </w:tc>
        <w:tc>
          <w:tcPr>
            <w:tcW w:w="2773" w:type="dxa"/>
            <w:tcBorders>
              <w:tl2br w:val="nil"/>
              <w:tr2bl w:val="nil"/>
            </w:tcBorders>
            <w:vAlign w:val="center"/>
          </w:tcPr>
          <w:p w14:paraId="24080FAF">
            <w:pPr>
              <w:pStyle w:val="30"/>
              <w:widowControl w:val="0"/>
              <w:bidi w:val="0"/>
              <w:rPr>
                <w:color w:val="auto"/>
                <w:lang w:val="en-US" w:eastAsia="en-US"/>
              </w:rPr>
            </w:pPr>
            <w:r>
              <w:rPr>
                <w:color w:val="auto"/>
                <w:lang w:val="en-US" w:eastAsia="en-US"/>
              </w:rPr>
              <w:t>合裕家园</w:t>
            </w:r>
          </w:p>
        </w:tc>
        <w:tc>
          <w:tcPr>
            <w:tcW w:w="885" w:type="dxa"/>
            <w:tcBorders>
              <w:tl2br w:val="nil"/>
              <w:tr2bl w:val="nil"/>
            </w:tcBorders>
            <w:vAlign w:val="center"/>
          </w:tcPr>
          <w:p w14:paraId="31040891">
            <w:pPr>
              <w:pStyle w:val="30"/>
              <w:widowControl w:val="0"/>
              <w:bidi w:val="0"/>
              <w:rPr>
                <w:color w:val="auto"/>
                <w:lang w:val="en-US" w:eastAsia="en-US"/>
              </w:rPr>
            </w:pPr>
            <w:r>
              <w:rPr>
                <w:color w:val="auto"/>
                <w:lang w:val="en-US" w:eastAsia="en-US"/>
              </w:rPr>
              <w:t>E</w:t>
            </w:r>
          </w:p>
        </w:tc>
        <w:tc>
          <w:tcPr>
            <w:tcW w:w="1124" w:type="dxa"/>
            <w:tcBorders>
              <w:tl2br w:val="nil"/>
              <w:tr2bl w:val="nil"/>
            </w:tcBorders>
            <w:vAlign w:val="center"/>
          </w:tcPr>
          <w:p w14:paraId="6F47FEF4">
            <w:pPr>
              <w:pStyle w:val="30"/>
              <w:widowControl w:val="0"/>
              <w:bidi w:val="0"/>
              <w:rPr>
                <w:color w:val="auto"/>
                <w:lang w:val="en-US" w:eastAsia="en-US"/>
              </w:rPr>
            </w:pPr>
            <w:r>
              <w:rPr>
                <w:color w:val="auto"/>
                <w:lang w:val="en-US" w:eastAsia="en-US"/>
              </w:rPr>
              <w:t>3781</w:t>
            </w:r>
          </w:p>
        </w:tc>
        <w:tc>
          <w:tcPr>
            <w:tcW w:w="1019" w:type="dxa"/>
            <w:tcBorders>
              <w:tl2br w:val="nil"/>
              <w:tr2bl w:val="nil"/>
            </w:tcBorders>
            <w:vAlign w:val="center"/>
          </w:tcPr>
          <w:p w14:paraId="17C4D500">
            <w:pPr>
              <w:pStyle w:val="30"/>
              <w:widowControl w:val="0"/>
              <w:bidi w:val="0"/>
              <w:rPr>
                <w:color w:val="auto"/>
                <w:lang w:val="en-US" w:eastAsia="en-US"/>
              </w:rPr>
            </w:pPr>
            <w:r>
              <w:rPr>
                <w:color w:val="auto"/>
                <w:lang w:val="en-US" w:eastAsia="en-US"/>
              </w:rPr>
              <w:t>1280人</w:t>
            </w:r>
          </w:p>
        </w:tc>
        <w:tc>
          <w:tcPr>
            <w:tcW w:w="1716" w:type="dxa"/>
            <w:vMerge w:val="continue"/>
            <w:tcBorders>
              <w:tl2br w:val="nil"/>
              <w:tr2bl w:val="nil"/>
            </w:tcBorders>
            <w:vAlign w:val="center"/>
          </w:tcPr>
          <w:p w14:paraId="445C3548">
            <w:pPr>
              <w:pStyle w:val="30"/>
              <w:widowControl w:val="0"/>
              <w:bidi w:val="0"/>
              <w:rPr>
                <w:color w:val="auto"/>
                <w:lang w:val="en-US" w:eastAsia="en-US"/>
              </w:rPr>
            </w:pPr>
          </w:p>
        </w:tc>
      </w:tr>
      <w:tr w14:paraId="6F0B79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E9659CD">
            <w:pPr>
              <w:pStyle w:val="30"/>
              <w:widowControl w:val="0"/>
              <w:bidi w:val="0"/>
              <w:rPr>
                <w:color w:val="auto"/>
                <w:lang w:val="en-US" w:eastAsia="en-US"/>
              </w:rPr>
            </w:pPr>
          </w:p>
        </w:tc>
        <w:tc>
          <w:tcPr>
            <w:tcW w:w="634" w:type="dxa"/>
            <w:tcBorders>
              <w:tl2br w:val="nil"/>
              <w:tr2bl w:val="nil"/>
            </w:tcBorders>
            <w:vAlign w:val="center"/>
          </w:tcPr>
          <w:p w14:paraId="28D7D29F">
            <w:pPr>
              <w:pStyle w:val="30"/>
              <w:widowControl w:val="0"/>
              <w:bidi w:val="0"/>
              <w:rPr>
                <w:color w:val="auto"/>
                <w:lang w:val="en-US" w:eastAsia="en-US"/>
              </w:rPr>
            </w:pPr>
            <w:r>
              <w:rPr>
                <w:color w:val="auto"/>
                <w:lang w:val="en-US" w:eastAsia="en-US"/>
              </w:rPr>
              <w:t>58</w:t>
            </w:r>
          </w:p>
        </w:tc>
        <w:tc>
          <w:tcPr>
            <w:tcW w:w="2773" w:type="dxa"/>
            <w:tcBorders>
              <w:tl2br w:val="nil"/>
              <w:tr2bl w:val="nil"/>
            </w:tcBorders>
            <w:vAlign w:val="center"/>
          </w:tcPr>
          <w:p w14:paraId="40151CB1">
            <w:pPr>
              <w:pStyle w:val="30"/>
              <w:widowControl w:val="0"/>
              <w:bidi w:val="0"/>
              <w:rPr>
                <w:color w:val="auto"/>
                <w:lang w:val="en-US" w:eastAsia="en-US"/>
              </w:rPr>
            </w:pPr>
            <w:r>
              <w:rPr>
                <w:color w:val="auto"/>
                <w:lang w:val="en-US" w:eastAsia="en-US"/>
              </w:rPr>
              <w:t>东岗</w:t>
            </w:r>
          </w:p>
        </w:tc>
        <w:tc>
          <w:tcPr>
            <w:tcW w:w="885" w:type="dxa"/>
            <w:tcBorders>
              <w:tl2br w:val="nil"/>
              <w:tr2bl w:val="nil"/>
            </w:tcBorders>
            <w:vAlign w:val="center"/>
          </w:tcPr>
          <w:p w14:paraId="33F4604C">
            <w:pPr>
              <w:pStyle w:val="30"/>
              <w:widowControl w:val="0"/>
              <w:bidi w:val="0"/>
              <w:rPr>
                <w:color w:val="auto"/>
                <w:lang w:val="en-US" w:eastAsia="en-US"/>
              </w:rPr>
            </w:pPr>
            <w:r>
              <w:rPr>
                <w:color w:val="auto"/>
                <w:lang w:val="en-US" w:eastAsia="en-US"/>
              </w:rPr>
              <w:t>E</w:t>
            </w:r>
          </w:p>
        </w:tc>
        <w:tc>
          <w:tcPr>
            <w:tcW w:w="1124" w:type="dxa"/>
            <w:tcBorders>
              <w:tl2br w:val="nil"/>
              <w:tr2bl w:val="nil"/>
            </w:tcBorders>
            <w:vAlign w:val="center"/>
          </w:tcPr>
          <w:p w14:paraId="7E7663B6">
            <w:pPr>
              <w:pStyle w:val="30"/>
              <w:widowControl w:val="0"/>
              <w:bidi w:val="0"/>
              <w:rPr>
                <w:color w:val="auto"/>
                <w:lang w:val="en-US" w:eastAsia="en-US"/>
              </w:rPr>
            </w:pPr>
            <w:r>
              <w:rPr>
                <w:color w:val="auto"/>
                <w:lang w:val="en-US" w:eastAsia="en-US"/>
              </w:rPr>
              <w:t>3937</w:t>
            </w:r>
          </w:p>
        </w:tc>
        <w:tc>
          <w:tcPr>
            <w:tcW w:w="1019" w:type="dxa"/>
            <w:tcBorders>
              <w:tl2br w:val="nil"/>
              <w:tr2bl w:val="nil"/>
            </w:tcBorders>
            <w:vAlign w:val="center"/>
          </w:tcPr>
          <w:p w14:paraId="1ADC7689">
            <w:pPr>
              <w:pStyle w:val="30"/>
              <w:widowControl w:val="0"/>
              <w:bidi w:val="0"/>
              <w:rPr>
                <w:color w:val="auto"/>
                <w:lang w:val="en-US" w:eastAsia="en-US"/>
              </w:rPr>
            </w:pPr>
            <w:r>
              <w:rPr>
                <w:color w:val="auto"/>
                <w:lang w:val="en-US" w:eastAsia="en-US"/>
              </w:rPr>
              <w:t>441人</w:t>
            </w:r>
          </w:p>
        </w:tc>
        <w:tc>
          <w:tcPr>
            <w:tcW w:w="1716" w:type="dxa"/>
            <w:vMerge w:val="continue"/>
            <w:tcBorders>
              <w:tl2br w:val="nil"/>
              <w:tr2bl w:val="nil"/>
            </w:tcBorders>
            <w:vAlign w:val="center"/>
          </w:tcPr>
          <w:p w14:paraId="44592F58">
            <w:pPr>
              <w:pStyle w:val="30"/>
              <w:widowControl w:val="0"/>
              <w:bidi w:val="0"/>
              <w:rPr>
                <w:color w:val="auto"/>
                <w:lang w:val="en-US" w:eastAsia="en-US"/>
              </w:rPr>
            </w:pPr>
          </w:p>
        </w:tc>
      </w:tr>
      <w:tr w14:paraId="44259D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049CC802">
            <w:pPr>
              <w:pStyle w:val="30"/>
              <w:widowControl w:val="0"/>
              <w:bidi w:val="0"/>
              <w:rPr>
                <w:color w:val="auto"/>
                <w:lang w:val="en-US" w:eastAsia="en-US"/>
              </w:rPr>
            </w:pPr>
          </w:p>
        </w:tc>
        <w:tc>
          <w:tcPr>
            <w:tcW w:w="634" w:type="dxa"/>
            <w:tcBorders>
              <w:tl2br w:val="nil"/>
              <w:tr2bl w:val="nil"/>
            </w:tcBorders>
            <w:vAlign w:val="center"/>
          </w:tcPr>
          <w:p w14:paraId="52C96E54">
            <w:pPr>
              <w:pStyle w:val="30"/>
              <w:widowControl w:val="0"/>
              <w:bidi w:val="0"/>
              <w:rPr>
                <w:color w:val="auto"/>
                <w:lang w:val="en-US" w:eastAsia="en-US"/>
              </w:rPr>
            </w:pPr>
            <w:r>
              <w:rPr>
                <w:color w:val="auto"/>
                <w:lang w:val="en-US" w:eastAsia="en-US"/>
              </w:rPr>
              <w:t>59</w:t>
            </w:r>
          </w:p>
        </w:tc>
        <w:tc>
          <w:tcPr>
            <w:tcW w:w="2773" w:type="dxa"/>
            <w:tcBorders>
              <w:tl2br w:val="nil"/>
              <w:tr2bl w:val="nil"/>
            </w:tcBorders>
            <w:vAlign w:val="center"/>
          </w:tcPr>
          <w:p w14:paraId="5D2CAF0F">
            <w:pPr>
              <w:pStyle w:val="30"/>
              <w:widowControl w:val="0"/>
              <w:bidi w:val="0"/>
              <w:rPr>
                <w:color w:val="auto"/>
                <w:lang w:val="en-US" w:eastAsia="en-US"/>
              </w:rPr>
            </w:pPr>
            <w:r>
              <w:rPr>
                <w:color w:val="auto"/>
                <w:lang w:val="en-US" w:eastAsia="en-US"/>
              </w:rPr>
              <w:t>桥头集村</w:t>
            </w:r>
          </w:p>
        </w:tc>
        <w:tc>
          <w:tcPr>
            <w:tcW w:w="885" w:type="dxa"/>
            <w:tcBorders>
              <w:tl2br w:val="nil"/>
              <w:tr2bl w:val="nil"/>
            </w:tcBorders>
            <w:vAlign w:val="center"/>
          </w:tcPr>
          <w:p w14:paraId="4C1862FC">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72148090">
            <w:pPr>
              <w:pStyle w:val="30"/>
              <w:widowControl w:val="0"/>
              <w:bidi w:val="0"/>
              <w:rPr>
                <w:color w:val="auto"/>
                <w:lang w:val="en-US" w:eastAsia="en-US"/>
              </w:rPr>
            </w:pPr>
            <w:r>
              <w:rPr>
                <w:color w:val="auto"/>
                <w:lang w:val="en-US" w:eastAsia="en-US"/>
              </w:rPr>
              <w:t>3915</w:t>
            </w:r>
          </w:p>
        </w:tc>
        <w:tc>
          <w:tcPr>
            <w:tcW w:w="1019" w:type="dxa"/>
            <w:tcBorders>
              <w:tl2br w:val="nil"/>
              <w:tr2bl w:val="nil"/>
            </w:tcBorders>
            <w:vAlign w:val="center"/>
          </w:tcPr>
          <w:p w14:paraId="53041BBA">
            <w:pPr>
              <w:pStyle w:val="30"/>
              <w:widowControl w:val="0"/>
              <w:bidi w:val="0"/>
              <w:rPr>
                <w:color w:val="auto"/>
                <w:lang w:val="en-US" w:eastAsia="en-US"/>
              </w:rPr>
            </w:pPr>
            <w:r>
              <w:rPr>
                <w:color w:val="auto"/>
                <w:lang w:val="en-US" w:eastAsia="en-US"/>
              </w:rPr>
              <w:t>4869人</w:t>
            </w:r>
          </w:p>
        </w:tc>
        <w:tc>
          <w:tcPr>
            <w:tcW w:w="1716" w:type="dxa"/>
            <w:vMerge w:val="continue"/>
            <w:tcBorders>
              <w:tl2br w:val="nil"/>
              <w:tr2bl w:val="nil"/>
            </w:tcBorders>
            <w:vAlign w:val="center"/>
          </w:tcPr>
          <w:p w14:paraId="2EDD89BD">
            <w:pPr>
              <w:pStyle w:val="30"/>
              <w:widowControl w:val="0"/>
              <w:bidi w:val="0"/>
              <w:rPr>
                <w:color w:val="auto"/>
                <w:lang w:val="en-US" w:eastAsia="en-US"/>
              </w:rPr>
            </w:pPr>
          </w:p>
        </w:tc>
      </w:tr>
      <w:tr w14:paraId="565B18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7BDD92F">
            <w:pPr>
              <w:pStyle w:val="30"/>
              <w:widowControl w:val="0"/>
              <w:bidi w:val="0"/>
              <w:rPr>
                <w:color w:val="auto"/>
                <w:lang w:val="en-US" w:eastAsia="en-US"/>
              </w:rPr>
            </w:pPr>
          </w:p>
        </w:tc>
        <w:tc>
          <w:tcPr>
            <w:tcW w:w="634" w:type="dxa"/>
            <w:tcBorders>
              <w:tl2br w:val="nil"/>
              <w:tr2bl w:val="nil"/>
            </w:tcBorders>
            <w:vAlign w:val="center"/>
          </w:tcPr>
          <w:p w14:paraId="62FC3F48">
            <w:pPr>
              <w:pStyle w:val="30"/>
              <w:widowControl w:val="0"/>
              <w:bidi w:val="0"/>
              <w:rPr>
                <w:color w:val="auto"/>
                <w:lang w:val="en-US" w:eastAsia="en-US"/>
              </w:rPr>
            </w:pPr>
            <w:r>
              <w:rPr>
                <w:color w:val="auto"/>
                <w:lang w:val="en-US" w:eastAsia="en-US"/>
              </w:rPr>
              <w:t>60</w:t>
            </w:r>
          </w:p>
        </w:tc>
        <w:tc>
          <w:tcPr>
            <w:tcW w:w="2773" w:type="dxa"/>
            <w:tcBorders>
              <w:tl2br w:val="nil"/>
              <w:tr2bl w:val="nil"/>
            </w:tcBorders>
            <w:vAlign w:val="center"/>
          </w:tcPr>
          <w:p w14:paraId="19601AEA">
            <w:pPr>
              <w:pStyle w:val="30"/>
              <w:widowControl w:val="0"/>
              <w:bidi w:val="0"/>
              <w:rPr>
                <w:color w:val="auto"/>
                <w:lang w:val="en-US" w:eastAsia="en-US"/>
              </w:rPr>
            </w:pPr>
            <w:r>
              <w:rPr>
                <w:color w:val="auto"/>
                <w:lang w:val="en-US" w:eastAsia="en-US"/>
              </w:rPr>
              <w:t>西岗</w:t>
            </w:r>
          </w:p>
        </w:tc>
        <w:tc>
          <w:tcPr>
            <w:tcW w:w="885" w:type="dxa"/>
            <w:tcBorders>
              <w:tl2br w:val="nil"/>
              <w:tr2bl w:val="nil"/>
            </w:tcBorders>
            <w:vAlign w:val="center"/>
          </w:tcPr>
          <w:p w14:paraId="2A012405">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3F7CBB89">
            <w:pPr>
              <w:pStyle w:val="30"/>
              <w:widowControl w:val="0"/>
              <w:bidi w:val="0"/>
              <w:rPr>
                <w:color w:val="auto"/>
                <w:lang w:val="en-US" w:eastAsia="en-US"/>
              </w:rPr>
            </w:pPr>
            <w:r>
              <w:rPr>
                <w:color w:val="auto"/>
                <w:lang w:val="en-US" w:eastAsia="en-US"/>
              </w:rPr>
              <w:t>3590</w:t>
            </w:r>
          </w:p>
        </w:tc>
        <w:tc>
          <w:tcPr>
            <w:tcW w:w="1019" w:type="dxa"/>
            <w:tcBorders>
              <w:tl2br w:val="nil"/>
              <w:tr2bl w:val="nil"/>
            </w:tcBorders>
            <w:vAlign w:val="center"/>
          </w:tcPr>
          <w:p w14:paraId="1E79E6E0">
            <w:pPr>
              <w:pStyle w:val="30"/>
              <w:widowControl w:val="0"/>
              <w:bidi w:val="0"/>
              <w:rPr>
                <w:color w:val="auto"/>
                <w:lang w:val="en-US" w:eastAsia="en-US"/>
              </w:rPr>
            </w:pPr>
            <w:r>
              <w:rPr>
                <w:color w:val="auto"/>
                <w:lang w:val="en-US" w:eastAsia="en-US"/>
              </w:rPr>
              <w:t>860人</w:t>
            </w:r>
          </w:p>
        </w:tc>
        <w:tc>
          <w:tcPr>
            <w:tcW w:w="1716" w:type="dxa"/>
            <w:vMerge w:val="continue"/>
            <w:tcBorders>
              <w:tl2br w:val="nil"/>
              <w:tr2bl w:val="nil"/>
            </w:tcBorders>
            <w:vAlign w:val="center"/>
          </w:tcPr>
          <w:p w14:paraId="4C4B3E19">
            <w:pPr>
              <w:pStyle w:val="30"/>
              <w:widowControl w:val="0"/>
              <w:bidi w:val="0"/>
              <w:rPr>
                <w:color w:val="auto"/>
                <w:lang w:val="en-US" w:eastAsia="en-US"/>
              </w:rPr>
            </w:pPr>
          </w:p>
        </w:tc>
      </w:tr>
      <w:tr w14:paraId="7D9BDC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68F5611">
            <w:pPr>
              <w:pStyle w:val="30"/>
              <w:widowControl w:val="0"/>
              <w:bidi w:val="0"/>
              <w:rPr>
                <w:color w:val="auto"/>
                <w:lang w:val="en-US" w:eastAsia="en-US"/>
              </w:rPr>
            </w:pPr>
          </w:p>
        </w:tc>
        <w:tc>
          <w:tcPr>
            <w:tcW w:w="634" w:type="dxa"/>
            <w:tcBorders>
              <w:tl2br w:val="nil"/>
              <w:tr2bl w:val="nil"/>
            </w:tcBorders>
            <w:vAlign w:val="center"/>
          </w:tcPr>
          <w:p w14:paraId="044EED6C">
            <w:pPr>
              <w:pStyle w:val="30"/>
              <w:widowControl w:val="0"/>
              <w:bidi w:val="0"/>
              <w:rPr>
                <w:color w:val="auto"/>
                <w:lang w:val="en-US" w:eastAsia="en-US"/>
              </w:rPr>
            </w:pPr>
            <w:r>
              <w:rPr>
                <w:color w:val="auto"/>
                <w:lang w:val="en-US" w:eastAsia="en-US"/>
              </w:rPr>
              <w:t>61</w:t>
            </w:r>
          </w:p>
        </w:tc>
        <w:tc>
          <w:tcPr>
            <w:tcW w:w="2773" w:type="dxa"/>
            <w:tcBorders>
              <w:tl2br w:val="nil"/>
              <w:tr2bl w:val="nil"/>
            </w:tcBorders>
            <w:vAlign w:val="center"/>
          </w:tcPr>
          <w:p w14:paraId="5A68C3FD">
            <w:pPr>
              <w:pStyle w:val="30"/>
              <w:widowControl w:val="0"/>
              <w:bidi w:val="0"/>
              <w:rPr>
                <w:color w:val="auto"/>
                <w:lang w:val="en-US" w:eastAsia="en-US"/>
              </w:rPr>
            </w:pPr>
            <w:r>
              <w:rPr>
                <w:color w:val="auto"/>
                <w:lang w:val="en-US" w:eastAsia="en-US"/>
              </w:rPr>
              <w:t>孙家岗</w:t>
            </w:r>
          </w:p>
        </w:tc>
        <w:tc>
          <w:tcPr>
            <w:tcW w:w="885" w:type="dxa"/>
            <w:tcBorders>
              <w:tl2br w:val="nil"/>
              <w:tr2bl w:val="nil"/>
            </w:tcBorders>
            <w:vAlign w:val="center"/>
          </w:tcPr>
          <w:p w14:paraId="28E73A02">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4E333C58">
            <w:pPr>
              <w:pStyle w:val="30"/>
              <w:widowControl w:val="0"/>
              <w:bidi w:val="0"/>
              <w:rPr>
                <w:color w:val="auto"/>
                <w:lang w:val="en-US" w:eastAsia="en-US"/>
              </w:rPr>
            </w:pPr>
            <w:r>
              <w:rPr>
                <w:color w:val="auto"/>
                <w:lang w:val="en-US" w:eastAsia="en-US"/>
              </w:rPr>
              <w:t>2945</w:t>
            </w:r>
          </w:p>
        </w:tc>
        <w:tc>
          <w:tcPr>
            <w:tcW w:w="1019" w:type="dxa"/>
            <w:tcBorders>
              <w:tl2br w:val="nil"/>
              <w:tr2bl w:val="nil"/>
            </w:tcBorders>
            <w:vAlign w:val="center"/>
          </w:tcPr>
          <w:p w14:paraId="1ADB8818">
            <w:pPr>
              <w:pStyle w:val="30"/>
              <w:widowControl w:val="0"/>
              <w:bidi w:val="0"/>
              <w:rPr>
                <w:color w:val="auto"/>
                <w:lang w:val="en-US" w:eastAsia="en-US"/>
              </w:rPr>
            </w:pPr>
            <w:r>
              <w:rPr>
                <w:color w:val="auto"/>
                <w:lang w:val="en-US" w:eastAsia="en-US"/>
              </w:rPr>
              <w:t>882人</w:t>
            </w:r>
          </w:p>
        </w:tc>
        <w:tc>
          <w:tcPr>
            <w:tcW w:w="1716" w:type="dxa"/>
            <w:vMerge w:val="continue"/>
            <w:tcBorders>
              <w:tl2br w:val="nil"/>
              <w:tr2bl w:val="nil"/>
            </w:tcBorders>
            <w:vAlign w:val="center"/>
          </w:tcPr>
          <w:p w14:paraId="11427F02">
            <w:pPr>
              <w:pStyle w:val="30"/>
              <w:widowControl w:val="0"/>
              <w:bidi w:val="0"/>
              <w:rPr>
                <w:color w:val="auto"/>
                <w:lang w:val="en-US" w:eastAsia="en-US"/>
              </w:rPr>
            </w:pPr>
          </w:p>
        </w:tc>
      </w:tr>
      <w:tr w14:paraId="41939D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EB5D87B">
            <w:pPr>
              <w:pStyle w:val="30"/>
              <w:widowControl w:val="0"/>
              <w:bidi w:val="0"/>
              <w:rPr>
                <w:color w:val="auto"/>
                <w:lang w:val="en-US" w:eastAsia="en-US"/>
              </w:rPr>
            </w:pPr>
          </w:p>
        </w:tc>
        <w:tc>
          <w:tcPr>
            <w:tcW w:w="634" w:type="dxa"/>
            <w:tcBorders>
              <w:tl2br w:val="nil"/>
              <w:tr2bl w:val="nil"/>
            </w:tcBorders>
            <w:vAlign w:val="center"/>
          </w:tcPr>
          <w:p w14:paraId="062FA75F">
            <w:pPr>
              <w:pStyle w:val="30"/>
              <w:widowControl w:val="0"/>
              <w:bidi w:val="0"/>
              <w:rPr>
                <w:color w:val="auto"/>
                <w:lang w:val="en-US" w:eastAsia="en-US"/>
              </w:rPr>
            </w:pPr>
            <w:r>
              <w:rPr>
                <w:color w:val="auto"/>
                <w:lang w:val="en-US" w:eastAsia="en-US"/>
              </w:rPr>
              <w:t>62</w:t>
            </w:r>
          </w:p>
        </w:tc>
        <w:tc>
          <w:tcPr>
            <w:tcW w:w="2773" w:type="dxa"/>
            <w:tcBorders>
              <w:tl2br w:val="nil"/>
              <w:tr2bl w:val="nil"/>
            </w:tcBorders>
            <w:vAlign w:val="center"/>
          </w:tcPr>
          <w:p w14:paraId="6E34EF91">
            <w:pPr>
              <w:pStyle w:val="30"/>
              <w:widowControl w:val="0"/>
              <w:bidi w:val="0"/>
              <w:rPr>
                <w:color w:val="auto"/>
                <w:lang w:val="en-US" w:eastAsia="en-US"/>
              </w:rPr>
            </w:pPr>
            <w:r>
              <w:rPr>
                <w:color w:val="auto"/>
                <w:lang w:val="en-US" w:eastAsia="en-US"/>
              </w:rPr>
              <w:t>杜中份</w:t>
            </w:r>
          </w:p>
        </w:tc>
        <w:tc>
          <w:tcPr>
            <w:tcW w:w="885" w:type="dxa"/>
            <w:tcBorders>
              <w:tl2br w:val="nil"/>
              <w:tr2bl w:val="nil"/>
            </w:tcBorders>
            <w:vAlign w:val="center"/>
          </w:tcPr>
          <w:p w14:paraId="763A0A40">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70EFA379">
            <w:pPr>
              <w:pStyle w:val="30"/>
              <w:widowControl w:val="0"/>
              <w:bidi w:val="0"/>
              <w:rPr>
                <w:color w:val="auto"/>
                <w:lang w:val="en-US" w:eastAsia="en-US"/>
              </w:rPr>
            </w:pPr>
            <w:r>
              <w:rPr>
                <w:color w:val="auto"/>
                <w:lang w:val="en-US" w:eastAsia="en-US"/>
              </w:rPr>
              <w:t>3381</w:t>
            </w:r>
          </w:p>
        </w:tc>
        <w:tc>
          <w:tcPr>
            <w:tcW w:w="1019" w:type="dxa"/>
            <w:tcBorders>
              <w:tl2br w:val="nil"/>
              <w:tr2bl w:val="nil"/>
            </w:tcBorders>
            <w:vAlign w:val="center"/>
          </w:tcPr>
          <w:p w14:paraId="1902C515">
            <w:pPr>
              <w:pStyle w:val="30"/>
              <w:widowControl w:val="0"/>
              <w:bidi w:val="0"/>
              <w:rPr>
                <w:color w:val="auto"/>
                <w:lang w:val="en-US" w:eastAsia="en-US"/>
              </w:rPr>
            </w:pPr>
            <w:r>
              <w:rPr>
                <w:color w:val="auto"/>
                <w:lang w:val="en-US" w:eastAsia="en-US"/>
              </w:rPr>
              <w:t>290人</w:t>
            </w:r>
          </w:p>
        </w:tc>
        <w:tc>
          <w:tcPr>
            <w:tcW w:w="1716" w:type="dxa"/>
            <w:vMerge w:val="continue"/>
            <w:tcBorders>
              <w:tl2br w:val="nil"/>
              <w:tr2bl w:val="nil"/>
            </w:tcBorders>
            <w:vAlign w:val="center"/>
          </w:tcPr>
          <w:p w14:paraId="358679C0">
            <w:pPr>
              <w:pStyle w:val="30"/>
              <w:widowControl w:val="0"/>
              <w:bidi w:val="0"/>
              <w:rPr>
                <w:color w:val="auto"/>
                <w:lang w:val="en-US" w:eastAsia="en-US"/>
              </w:rPr>
            </w:pPr>
          </w:p>
        </w:tc>
      </w:tr>
      <w:tr w14:paraId="2EE88B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4B3C27D1">
            <w:pPr>
              <w:pStyle w:val="30"/>
              <w:widowControl w:val="0"/>
              <w:bidi w:val="0"/>
              <w:rPr>
                <w:color w:val="auto"/>
                <w:lang w:val="en-US" w:eastAsia="en-US"/>
              </w:rPr>
            </w:pPr>
          </w:p>
        </w:tc>
        <w:tc>
          <w:tcPr>
            <w:tcW w:w="634" w:type="dxa"/>
            <w:tcBorders>
              <w:tl2br w:val="nil"/>
              <w:tr2bl w:val="nil"/>
            </w:tcBorders>
            <w:vAlign w:val="center"/>
          </w:tcPr>
          <w:p w14:paraId="12812D39">
            <w:pPr>
              <w:pStyle w:val="30"/>
              <w:widowControl w:val="0"/>
              <w:bidi w:val="0"/>
              <w:rPr>
                <w:color w:val="auto"/>
                <w:lang w:val="en-US" w:eastAsia="en-US"/>
              </w:rPr>
            </w:pPr>
            <w:r>
              <w:rPr>
                <w:color w:val="auto"/>
                <w:lang w:val="en-US" w:eastAsia="en-US"/>
              </w:rPr>
              <w:t>63</w:t>
            </w:r>
          </w:p>
        </w:tc>
        <w:tc>
          <w:tcPr>
            <w:tcW w:w="2773" w:type="dxa"/>
            <w:tcBorders>
              <w:tl2br w:val="nil"/>
              <w:tr2bl w:val="nil"/>
            </w:tcBorders>
            <w:vAlign w:val="center"/>
          </w:tcPr>
          <w:p w14:paraId="0E5C4117">
            <w:pPr>
              <w:pStyle w:val="30"/>
              <w:widowControl w:val="0"/>
              <w:bidi w:val="0"/>
              <w:rPr>
                <w:color w:val="auto"/>
                <w:lang w:val="en-US" w:eastAsia="en-US"/>
              </w:rPr>
            </w:pPr>
            <w:r>
              <w:rPr>
                <w:color w:val="auto"/>
                <w:lang w:val="en-US" w:eastAsia="en-US"/>
              </w:rPr>
              <w:t>下油坊</w:t>
            </w:r>
          </w:p>
        </w:tc>
        <w:tc>
          <w:tcPr>
            <w:tcW w:w="885" w:type="dxa"/>
            <w:tcBorders>
              <w:tl2br w:val="nil"/>
              <w:tr2bl w:val="nil"/>
            </w:tcBorders>
            <w:vAlign w:val="center"/>
          </w:tcPr>
          <w:p w14:paraId="2DFBC291">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11B62D51">
            <w:pPr>
              <w:pStyle w:val="30"/>
              <w:widowControl w:val="0"/>
              <w:bidi w:val="0"/>
              <w:rPr>
                <w:color w:val="auto"/>
                <w:lang w:val="en-US" w:eastAsia="en-US"/>
              </w:rPr>
            </w:pPr>
            <w:r>
              <w:rPr>
                <w:color w:val="auto"/>
                <w:lang w:val="en-US" w:eastAsia="en-US"/>
              </w:rPr>
              <w:t>2883</w:t>
            </w:r>
          </w:p>
        </w:tc>
        <w:tc>
          <w:tcPr>
            <w:tcW w:w="1019" w:type="dxa"/>
            <w:tcBorders>
              <w:tl2br w:val="nil"/>
              <w:tr2bl w:val="nil"/>
            </w:tcBorders>
            <w:vAlign w:val="center"/>
          </w:tcPr>
          <w:p w14:paraId="56357ABB">
            <w:pPr>
              <w:pStyle w:val="30"/>
              <w:widowControl w:val="0"/>
              <w:bidi w:val="0"/>
              <w:rPr>
                <w:color w:val="auto"/>
                <w:lang w:val="en-US" w:eastAsia="en-US"/>
              </w:rPr>
            </w:pPr>
            <w:r>
              <w:rPr>
                <w:color w:val="auto"/>
                <w:lang w:val="en-US" w:eastAsia="en-US"/>
              </w:rPr>
              <w:t>387人</w:t>
            </w:r>
          </w:p>
        </w:tc>
        <w:tc>
          <w:tcPr>
            <w:tcW w:w="1716" w:type="dxa"/>
            <w:vMerge w:val="continue"/>
            <w:tcBorders>
              <w:tl2br w:val="nil"/>
              <w:tr2bl w:val="nil"/>
            </w:tcBorders>
            <w:vAlign w:val="center"/>
          </w:tcPr>
          <w:p w14:paraId="3C458A4E">
            <w:pPr>
              <w:pStyle w:val="30"/>
              <w:widowControl w:val="0"/>
              <w:bidi w:val="0"/>
              <w:rPr>
                <w:color w:val="auto"/>
                <w:lang w:val="en-US" w:eastAsia="en-US"/>
              </w:rPr>
            </w:pPr>
          </w:p>
        </w:tc>
      </w:tr>
      <w:tr w14:paraId="121DD1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82F657B">
            <w:pPr>
              <w:pStyle w:val="30"/>
              <w:widowControl w:val="0"/>
              <w:bidi w:val="0"/>
              <w:rPr>
                <w:color w:val="auto"/>
                <w:lang w:val="en-US" w:eastAsia="en-US"/>
              </w:rPr>
            </w:pPr>
          </w:p>
        </w:tc>
        <w:tc>
          <w:tcPr>
            <w:tcW w:w="634" w:type="dxa"/>
            <w:tcBorders>
              <w:tl2br w:val="nil"/>
              <w:tr2bl w:val="nil"/>
            </w:tcBorders>
            <w:vAlign w:val="center"/>
          </w:tcPr>
          <w:p w14:paraId="43013CE3">
            <w:pPr>
              <w:pStyle w:val="30"/>
              <w:widowControl w:val="0"/>
              <w:bidi w:val="0"/>
              <w:rPr>
                <w:color w:val="auto"/>
                <w:lang w:val="en-US" w:eastAsia="en-US"/>
              </w:rPr>
            </w:pPr>
            <w:r>
              <w:rPr>
                <w:color w:val="auto"/>
                <w:lang w:val="en-US" w:eastAsia="en-US"/>
              </w:rPr>
              <w:t>64</w:t>
            </w:r>
          </w:p>
        </w:tc>
        <w:tc>
          <w:tcPr>
            <w:tcW w:w="2773" w:type="dxa"/>
            <w:tcBorders>
              <w:tl2br w:val="nil"/>
              <w:tr2bl w:val="nil"/>
            </w:tcBorders>
            <w:vAlign w:val="center"/>
          </w:tcPr>
          <w:p w14:paraId="5637D753">
            <w:pPr>
              <w:pStyle w:val="30"/>
              <w:widowControl w:val="0"/>
              <w:bidi w:val="0"/>
              <w:rPr>
                <w:color w:val="auto"/>
                <w:lang w:val="en-US" w:eastAsia="en-US"/>
              </w:rPr>
            </w:pPr>
            <w:r>
              <w:rPr>
                <w:color w:val="auto"/>
                <w:lang w:val="en-US" w:eastAsia="en-US"/>
              </w:rPr>
              <w:t>仙垱村</w:t>
            </w:r>
          </w:p>
        </w:tc>
        <w:tc>
          <w:tcPr>
            <w:tcW w:w="885" w:type="dxa"/>
            <w:tcBorders>
              <w:tl2br w:val="nil"/>
              <w:tr2bl w:val="nil"/>
            </w:tcBorders>
            <w:vAlign w:val="center"/>
          </w:tcPr>
          <w:p w14:paraId="4EEC2F16">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38D1750C">
            <w:pPr>
              <w:pStyle w:val="30"/>
              <w:widowControl w:val="0"/>
              <w:bidi w:val="0"/>
              <w:rPr>
                <w:color w:val="auto"/>
                <w:lang w:val="en-US" w:eastAsia="en-US"/>
              </w:rPr>
            </w:pPr>
            <w:r>
              <w:rPr>
                <w:color w:val="auto"/>
                <w:lang w:val="en-US" w:eastAsia="en-US"/>
              </w:rPr>
              <w:t>2690</w:t>
            </w:r>
          </w:p>
        </w:tc>
        <w:tc>
          <w:tcPr>
            <w:tcW w:w="1019" w:type="dxa"/>
            <w:tcBorders>
              <w:tl2br w:val="nil"/>
              <w:tr2bl w:val="nil"/>
            </w:tcBorders>
            <w:vAlign w:val="center"/>
          </w:tcPr>
          <w:p w14:paraId="554E2C03">
            <w:pPr>
              <w:pStyle w:val="30"/>
              <w:widowControl w:val="0"/>
              <w:bidi w:val="0"/>
              <w:rPr>
                <w:color w:val="auto"/>
                <w:lang w:val="en-US" w:eastAsia="en-US"/>
              </w:rPr>
            </w:pPr>
            <w:r>
              <w:rPr>
                <w:color w:val="auto"/>
                <w:lang w:val="en-US" w:eastAsia="en-US"/>
              </w:rPr>
              <w:t>312人</w:t>
            </w:r>
          </w:p>
        </w:tc>
        <w:tc>
          <w:tcPr>
            <w:tcW w:w="1716" w:type="dxa"/>
            <w:vMerge w:val="continue"/>
            <w:tcBorders>
              <w:tl2br w:val="nil"/>
              <w:tr2bl w:val="nil"/>
            </w:tcBorders>
            <w:vAlign w:val="center"/>
          </w:tcPr>
          <w:p w14:paraId="4BCBFB13">
            <w:pPr>
              <w:pStyle w:val="30"/>
              <w:widowControl w:val="0"/>
              <w:bidi w:val="0"/>
              <w:rPr>
                <w:color w:val="auto"/>
                <w:lang w:val="en-US" w:eastAsia="en-US"/>
              </w:rPr>
            </w:pPr>
          </w:p>
        </w:tc>
      </w:tr>
      <w:tr w14:paraId="213F79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E49DEED">
            <w:pPr>
              <w:pStyle w:val="30"/>
              <w:widowControl w:val="0"/>
              <w:bidi w:val="0"/>
              <w:rPr>
                <w:color w:val="auto"/>
                <w:lang w:val="en-US" w:eastAsia="en-US"/>
              </w:rPr>
            </w:pPr>
          </w:p>
        </w:tc>
        <w:tc>
          <w:tcPr>
            <w:tcW w:w="634" w:type="dxa"/>
            <w:tcBorders>
              <w:tl2br w:val="nil"/>
              <w:tr2bl w:val="nil"/>
            </w:tcBorders>
            <w:vAlign w:val="center"/>
          </w:tcPr>
          <w:p w14:paraId="594F9B85">
            <w:pPr>
              <w:pStyle w:val="30"/>
              <w:widowControl w:val="0"/>
              <w:bidi w:val="0"/>
              <w:rPr>
                <w:color w:val="auto"/>
                <w:lang w:val="en-US" w:eastAsia="en-US"/>
              </w:rPr>
            </w:pPr>
            <w:r>
              <w:rPr>
                <w:color w:val="auto"/>
                <w:lang w:val="en-US" w:eastAsia="en-US"/>
              </w:rPr>
              <w:t>65</w:t>
            </w:r>
          </w:p>
        </w:tc>
        <w:tc>
          <w:tcPr>
            <w:tcW w:w="2773" w:type="dxa"/>
            <w:tcBorders>
              <w:tl2br w:val="nil"/>
              <w:tr2bl w:val="nil"/>
            </w:tcBorders>
            <w:vAlign w:val="center"/>
          </w:tcPr>
          <w:p w14:paraId="0089E48F">
            <w:pPr>
              <w:pStyle w:val="30"/>
              <w:widowControl w:val="0"/>
              <w:bidi w:val="0"/>
              <w:rPr>
                <w:color w:val="auto"/>
                <w:lang w:val="en-US" w:eastAsia="en-US"/>
              </w:rPr>
            </w:pPr>
            <w:r>
              <w:rPr>
                <w:color w:val="auto"/>
                <w:lang w:val="en-US" w:eastAsia="en-US"/>
              </w:rPr>
              <w:t>老塘地</w:t>
            </w:r>
          </w:p>
        </w:tc>
        <w:tc>
          <w:tcPr>
            <w:tcW w:w="885" w:type="dxa"/>
            <w:tcBorders>
              <w:tl2br w:val="nil"/>
              <w:tr2bl w:val="nil"/>
            </w:tcBorders>
            <w:vAlign w:val="center"/>
          </w:tcPr>
          <w:p w14:paraId="3BA57591">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28EE5CFF">
            <w:pPr>
              <w:pStyle w:val="30"/>
              <w:widowControl w:val="0"/>
              <w:bidi w:val="0"/>
              <w:rPr>
                <w:color w:val="auto"/>
                <w:lang w:val="en-US" w:eastAsia="en-US"/>
              </w:rPr>
            </w:pPr>
            <w:r>
              <w:rPr>
                <w:color w:val="auto"/>
                <w:lang w:val="en-US" w:eastAsia="en-US"/>
              </w:rPr>
              <w:t>3095</w:t>
            </w:r>
          </w:p>
        </w:tc>
        <w:tc>
          <w:tcPr>
            <w:tcW w:w="1019" w:type="dxa"/>
            <w:tcBorders>
              <w:tl2br w:val="nil"/>
              <w:tr2bl w:val="nil"/>
            </w:tcBorders>
            <w:vAlign w:val="center"/>
          </w:tcPr>
          <w:p w14:paraId="1C66DEA2">
            <w:pPr>
              <w:pStyle w:val="30"/>
              <w:widowControl w:val="0"/>
              <w:bidi w:val="0"/>
              <w:rPr>
                <w:color w:val="auto"/>
                <w:lang w:val="en-US" w:eastAsia="en-US"/>
              </w:rPr>
            </w:pPr>
            <w:r>
              <w:rPr>
                <w:color w:val="auto"/>
                <w:lang w:val="en-US" w:eastAsia="en-US"/>
              </w:rPr>
              <w:t>104人</w:t>
            </w:r>
          </w:p>
        </w:tc>
        <w:tc>
          <w:tcPr>
            <w:tcW w:w="1716" w:type="dxa"/>
            <w:vMerge w:val="continue"/>
            <w:tcBorders>
              <w:tl2br w:val="nil"/>
              <w:tr2bl w:val="nil"/>
            </w:tcBorders>
            <w:vAlign w:val="center"/>
          </w:tcPr>
          <w:p w14:paraId="2917BD66">
            <w:pPr>
              <w:pStyle w:val="30"/>
              <w:widowControl w:val="0"/>
              <w:bidi w:val="0"/>
              <w:rPr>
                <w:color w:val="auto"/>
                <w:lang w:val="en-US" w:eastAsia="en-US"/>
              </w:rPr>
            </w:pPr>
          </w:p>
        </w:tc>
      </w:tr>
      <w:tr w14:paraId="160CE8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5F992A9A">
            <w:pPr>
              <w:pStyle w:val="30"/>
              <w:widowControl w:val="0"/>
              <w:bidi w:val="0"/>
              <w:rPr>
                <w:color w:val="auto"/>
                <w:lang w:val="en-US" w:eastAsia="en-US"/>
              </w:rPr>
            </w:pPr>
          </w:p>
        </w:tc>
        <w:tc>
          <w:tcPr>
            <w:tcW w:w="634" w:type="dxa"/>
            <w:tcBorders>
              <w:tl2br w:val="nil"/>
              <w:tr2bl w:val="nil"/>
            </w:tcBorders>
            <w:vAlign w:val="center"/>
          </w:tcPr>
          <w:p w14:paraId="679182F5">
            <w:pPr>
              <w:pStyle w:val="30"/>
              <w:widowControl w:val="0"/>
              <w:bidi w:val="0"/>
              <w:rPr>
                <w:color w:val="auto"/>
                <w:lang w:val="en-US" w:eastAsia="en-US"/>
              </w:rPr>
            </w:pPr>
            <w:r>
              <w:rPr>
                <w:color w:val="auto"/>
                <w:lang w:val="en-US" w:eastAsia="en-US"/>
              </w:rPr>
              <w:t>66</w:t>
            </w:r>
          </w:p>
        </w:tc>
        <w:tc>
          <w:tcPr>
            <w:tcW w:w="2773" w:type="dxa"/>
            <w:tcBorders>
              <w:tl2br w:val="nil"/>
              <w:tr2bl w:val="nil"/>
            </w:tcBorders>
            <w:vAlign w:val="center"/>
          </w:tcPr>
          <w:p w14:paraId="3B82E5A1">
            <w:pPr>
              <w:pStyle w:val="30"/>
              <w:widowControl w:val="0"/>
              <w:bidi w:val="0"/>
              <w:rPr>
                <w:color w:val="auto"/>
                <w:lang w:val="en-US" w:eastAsia="en-US"/>
              </w:rPr>
            </w:pPr>
            <w:r>
              <w:rPr>
                <w:color w:val="auto"/>
                <w:lang w:val="en-US" w:eastAsia="en-US"/>
              </w:rPr>
              <w:t>山王村</w:t>
            </w:r>
          </w:p>
        </w:tc>
        <w:tc>
          <w:tcPr>
            <w:tcW w:w="885" w:type="dxa"/>
            <w:tcBorders>
              <w:tl2br w:val="nil"/>
              <w:tr2bl w:val="nil"/>
            </w:tcBorders>
            <w:vAlign w:val="center"/>
          </w:tcPr>
          <w:p w14:paraId="5E0962E0">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085E3C8F">
            <w:pPr>
              <w:pStyle w:val="30"/>
              <w:widowControl w:val="0"/>
              <w:bidi w:val="0"/>
              <w:rPr>
                <w:color w:val="auto"/>
                <w:lang w:val="en-US" w:eastAsia="en-US"/>
              </w:rPr>
            </w:pPr>
            <w:r>
              <w:rPr>
                <w:color w:val="auto"/>
                <w:lang w:val="en-US" w:eastAsia="en-US"/>
              </w:rPr>
              <w:t>3684</w:t>
            </w:r>
          </w:p>
        </w:tc>
        <w:tc>
          <w:tcPr>
            <w:tcW w:w="1019" w:type="dxa"/>
            <w:tcBorders>
              <w:tl2br w:val="nil"/>
              <w:tr2bl w:val="nil"/>
            </w:tcBorders>
            <w:vAlign w:val="center"/>
          </w:tcPr>
          <w:p w14:paraId="028ACE2B">
            <w:pPr>
              <w:pStyle w:val="30"/>
              <w:widowControl w:val="0"/>
              <w:bidi w:val="0"/>
              <w:rPr>
                <w:color w:val="auto"/>
                <w:lang w:val="en-US" w:eastAsia="en-US"/>
              </w:rPr>
            </w:pPr>
            <w:r>
              <w:rPr>
                <w:color w:val="auto"/>
                <w:lang w:val="en-US" w:eastAsia="en-US"/>
              </w:rPr>
              <w:t>351人</w:t>
            </w:r>
          </w:p>
        </w:tc>
        <w:tc>
          <w:tcPr>
            <w:tcW w:w="1716" w:type="dxa"/>
            <w:vMerge w:val="continue"/>
            <w:tcBorders>
              <w:tl2br w:val="nil"/>
              <w:tr2bl w:val="nil"/>
            </w:tcBorders>
            <w:vAlign w:val="center"/>
          </w:tcPr>
          <w:p w14:paraId="1C894D3A">
            <w:pPr>
              <w:pStyle w:val="30"/>
              <w:widowControl w:val="0"/>
              <w:bidi w:val="0"/>
              <w:rPr>
                <w:color w:val="auto"/>
                <w:lang w:val="en-US" w:eastAsia="en-US"/>
              </w:rPr>
            </w:pPr>
          </w:p>
        </w:tc>
      </w:tr>
      <w:tr w14:paraId="4F0291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89D8F86">
            <w:pPr>
              <w:pStyle w:val="30"/>
              <w:widowControl w:val="0"/>
              <w:bidi w:val="0"/>
              <w:rPr>
                <w:color w:val="auto"/>
                <w:lang w:val="en-US" w:eastAsia="en-US"/>
              </w:rPr>
            </w:pPr>
          </w:p>
        </w:tc>
        <w:tc>
          <w:tcPr>
            <w:tcW w:w="634" w:type="dxa"/>
            <w:tcBorders>
              <w:tl2br w:val="nil"/>
              <w:tr2bl w:val="nil"/>
            </w:tcBorders>
            <w:vAlign w:val="center"/>
          </w:tcPr>
          <w:p w14:paraId="45C337BC">
            <w:pPr>
              <w:pStyle w:val="30"/>
              <w:widowControl w:val="0"/>
              <w:bidi w:val="0"/>
              <w:rPr>
                <w:color w:val="auto"/>
                <w:lang w:val="en-US" w:eastAsia="en-US"/>
              </w:rPr>
            </w:pPr>
            <w:r>
              <w:rPr>
                <w:color w:val="auto"/>
                <w:lang w:val="en-US" w:eastAsia="en-US"/>
              </w:rPr>
              <w:t>67</w:t>
            </w:r>
          </w:p>
        </w:tc>
        <w:tc>
          <w:tcPr>
            <w:tcW w:w="2773" w:type="dxa"/>
            <w:tcBorders>
              <w:tl2br w:val="nil"/>
              <w:tr2bl w:val="nil"/>
            </w:tcBorders>
            <w:vAlign w:val="center"/>
          </w:tcPr>
          <w:p w14:paraId="7765C682">
            <w:pPr>
              <w:pStyle w:val="30"/>
              <w:widowControl w:val="0"/>
              <w:bidi w:val="0"/>
              <w:rPr>
                <w:color w:val="auto"/>
                <w:lang w:val="en-US" w:eastAsia="en-US"/>
              </w:rPr>
            </w:pPr>
            <w:r>
              <w:rPr>
                <w:color w:val="auto"/>
                <w:lang w:val="en-US" w:eastAsia="en-US"/>
              </w:rPr>
              <w:t>小骆村</w:t>
            </w:r>
          </w:p>
        </w:tc>
        <w:tc>
          <w:tcPr>
            <w:tcW w:w="885" w:type="dxa"/>
            <w:tcBorders>
              <w:tl2br w:val="nil"/>
              <w:tr2bl w:val="nil"/>
            </w:tcBorders>
            <w:vAlign w:val="center"/>
          </w:tcPr>
          <w:p w14:paraId="0AC988A2">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6464897D">
            <w:pPr>
              <w:pStyle w:val="30"/>
              <w:widowControl w:val="0"/>
              <w:bidi w:val="0"/>
              <w:rPr>
                <w:color w:val="auto"/>
                <w:lang w:val="en-US" w:eastAsia="en-US"/>
              </w:rPr>
            </w:pPr>
            <w:r>
              <w:rPr>
                <w:color w:val="auto"/>
                <w:lang w:val="en-US" w:eastAsia="en-US"/>
              </w:rPr>
              <w:t>2821</w:t>
            </w:r>
          </w:p>
        </w:tc>
        <w:tc>
          <w:tcPr>
            <w:tcW w:w="1019" w:type="dxa"/>
            <w:tcBorders>
              <w:tl2br w:val="nil"/>
              <w:tr2bl w:val="nil"/>
            </w:tcBorders>
            <w:vAlign w:val="center"/>
          </w:tcPr>
          <w:p w14:paraId="4EAA69CB">
            <w:pPr>
              <w:pStyle w:val="30"/>
              <w:widowControl w:val="0"/>
              <w:bidi w:val="0"/>
              <w:rPr>
                <w:color w:val="auto"/>
                <w:lang w:val="en-US" w:eastAsia="en-US"/>
              </w:rPr>
            </w:pPr>
            <w:r>
              <w:rPr>
                <w:color w:val="auto"/>
                <w:lang w:val="en-US" w:eastAsia="en-US"/>
              </w:rPr>
              <w:t>176人</w:t>
            </w:r>
          </w:p>
        </w:tc>
        <w:tc>
          <w:tcPr>
            <w:tcW w:w="1716" w:type="dxa"/>
            <w:vMerge w:val="continue"/>
            <w:tcBorders>
              <w:tl2br w:val="nil"/>
              <w:tr2bl w:val="nil"/>
            </w:tcBorders>
            <w:vAlign w:val="center"/>
          </w:tcPr>
          <w:p w14:paraId="1C2D932D">
            <w:pPr>
              <w:pStyle w:val="30"/>
              <w:widowControl w:val="0"/>
              <w:bidi w:val="0"/>
              <w:rPr>
                <w:color w:val="auto"/>
                <w:lang w:val="en-US" w:eastAsia="en-US"/>
              </w:rPr>
            </w:pPr>
          </w:p>
        </w:tc>
      </w:tr>
      <w:tr w14:paraId="05A4FA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7FDC42E">
            <w:pPr>
              <w:pStyle w:val="30"/>
              <w:widowControl w:val="0"/>
              <w:bidi w:val="0"/>
              <w:rPr>
                <w:color w:val="auto"/>
                <w:lang w:val="en-US" w:eastAsia="en-US"/>
              </w:rPr>
            </w:pPr>
          </w:p>
        </w:tc>
        <w:tc>
          <w:tcPr>
            <w:tcW w:w="634" w:type="dxa"/>
            <w:tcBorders>
              <w:tl2br w:val="nil"/>
              <w:tr2bl w:val="nil"/>
            </w:tcBorders>
            <w:vAlign w:val="center"/>
          </w:tcPr>
          <w:p w14:paraId="3BF97851">
            <w:pPr>
              <w:pStyle w:val="30"/>
              <w:widowControl w:val="0"/>
              <w:bidi w:val="0"/>
              <w:rPr>
                <w:color w:val="auto"/>
                <w:lang w:val="en-US" w:eastAsia="en-US"/>
              </w:rPr>
            </w:pPr>
            <w:r>
              <w:rPr>
                <w:color w:val="auto"/>
                <w:lang w:val="en-US" w:eastAsia="en-US"/>
              </w:rPr>
              <w:t>68</w:t>
            </w:r>
          </w:p>
        </w:tc>
        <w:tc>
          <w:tcPr>
            <w:tcW w:w="2773" w:type="dxa"/>
            <w:tcBorders>
              <w:tl2br w:val="nil"/>
              <w:tr2bl w:val="nil"/>
            </w:tcBorders>
            <w:vAlign w:val="center"/>
          </w:tcPr>
          <w:p w14:paraId="7200AE89">
            <w:pPr>
              <w:pStyle w:val="30"/>
              <w:widowControl w:val="0"/>
              <w:bidi w:val="0"/>
              <w:rPr>
                <w:color w:val="auto"/>
                <w:lang w:val="en-US" w:eastAsia="en-US"/>
              </w:rPr>
            </w:pPr>
            <w:r>
              <w:rPr>
                <w:color w:val="auto"/>
                <w:lang w:val="en-US" w:eastAsia="en-US"/>
              </w:rPr>
              <w:t>大骆村</w:t>
            </w:r>
          </w:p>
        </w:tc>
        <w:tc>
          <w:tcPr>
            <w:tcW w:w="885" w:type="dxa"/>
            <w:tcBorders>
              <w:tl2br w:val="nil"/>
              <w:tr2bl w:val="nil"/>
            </w:tcBorders>
            <w:vAlign w:val="center"/>
          </w:tcPr>
          <w:p w14:paraId="6ABCE4FB">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5E6450EB">
            <w:pPr>
              <w:pStyle w:val="30"/>
              <w:widowControl w:val="0"/>
              <w:bidi w:val="0"/>
              <w:rPr>
                <w:color w:val="auto"/>
                <w:lang w:val="en-US" w:eastAsia="en-US"/>
              </w:rPr>
            </w:pPr>
            <w:r>
              <w:rPr>
                <w:color w:val="auto"/>
                <w:lang w:val="en-US" w:eastAsia="en-US"/>
              </w:rPr>
              <w:t>3005</w:t>
            </w:r>
          </w:p>
        </w:tc>
        <w:tc>
          <w:tcPr>
            <w:tcW w:w="1019" w:type="dxa"/>
            <w:tcBorders>
              <w:tl2br w:val="nil"/>
              <w:tr2bl w:val="nil"/>
            </w:tcBorders>
            <w:vAlign w:val="center"/>
          </w:tcPr>
          <w:p w14:paraId="00EE90C0">
            <w:pPr>
              <w:pStyle w:val="30"/>
              <w:widowControl w:val="0"/>
              <w:bidi w:val="0"/>
              <w:rPr>
                <w:color w:val="auto"/>
                <w:lang w:val="en-US" w:eastAsia="en-US"/>
              </w:rPr>
            </w:pPr>
            <w:r>
              <w:rPr>
                <w:color w:val="auto"/>
                <w:lang w:val="en-US" w:eastAsia="en-US"/>
              </w:rPr>
              <w:t>126人</w:t>
            </w:r>
          </w:p>
        </w:tc>
        <w:tc>
          <w:tcPr>
            <w:tcW w:w="1716" w:type="dxa"/>
            <w:vMerge w:val="continue"/>
            <w:tcBorders>
              <w:tl2br w:val="nil"/>
              <w:tr2bl w:val="nil"/>
            </w:tcBorders>
            <w:vAlign w:val="center"/>
          </w:tcPr>
          <w:p w14:paraId="39773078">
            <w:pPr>
              <w:pStyle w:val="30"/>
              <w:widowControl w:val="0"/>
              <w:bidi w:val="0"/>
              <w:rPr>
                <w:color w:val="auto"/>
                <w:lang w:val="en-US" w:eastAsia="en-US"/>
              </w:rPr>
            </w:pPr>
          </w:p>
        </w:tc>
      </w:tr>
      <w:tr w14:paraId="2E498D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38CDD131">
            <w:pPr>
              <w:pStyle w:val="30"/>
              <w:widowControl w:val="0"/>
              <w:bidi w:val="0"/>
              <w:rPr>
                <w:color w:val="auto"/>
                <w:lang w:val="en-US" w:eastAsia="en-US"/>
              </w:rPr>
            </w:pPr>
          </w:p>
        </w:tc>
        <w:tc>
          <w:tcPr>
            <w:tcW w:w="634" w:type="dxa"/>
            <w:tcBorders>
              <w:tl2br w:val="nil"/>
              <w:tr2bl w:val="nil"/>
            </w:tcBorders>
            <w:vAlign w:val="center"/>
          </w:tcPr>
          <w:p w14:paraId="3F3A3CD9">
            <w:pPr>
              <w:pStyle w:val="30"/>
              <w:widowControl w:val="0"/>
              <w:bidi w:val="0"/>
              <w:rPr>
                <w:color w:val="auto"/>
                <w:lang w:val="en-US" w:eastAsia="en-US"/>
              </w:rPr>
            </w:pPr>
            <w:r>
              <w:rPr>
                <w:color w:val="auto"/>
                <w:lang w:val="en-US" w:eastAsia="en-US"/>
              </w:rPr>
              <w:t>69</w:t>
            </w:r>
          </w:p>
        </w:tc>
        <w:tc>
          <w:tcPr>
            <w:tcW w:w="2773" w:type="dxa"/>
            <w:tcBorders>
              <w:tl2br w:val="nil"/>
              <w:tr2bl w:val="nil"/>
            </w:tcBorders>
            <w:vAlign w:val="center"/>
          </w:tcPr>
          <w:p w14:paraId="4A604A7D">
            <w:pPr>
              <w:pStyle w:val="30"/>
              <w:widowControl w:val="0"/>
              <w:bidi w:val="0"/>
              <w:rPr>
                <w:color w:val="auto"/>
                <w:lang w:val="en-US" w:eastAsia="en-US"/>
              </w:rPr>
            </w:pPr>
            <w:r>
              <w:rPr>
                <w:color w:val="auto"/>
                <w:lang w:val="en-US" w:eastAsia="en-US"/>
              </w:rPr>
              <w:t>黄张村</w:t>
            </w:r>
          </w:p>
        </w:tc>
        <w:tc>
          <w:tcPr>
            <w:tcW w:w="885" w:type="dxa"/>
            <w:tcBorders>
              <w:tl2br w:val="nil"/>
              <w:tr2bl w:val="nil"/>
            </w:tcBorders>
            <w:vAlign w:val="center"/>
          </w:tcPr>
          <w:p w14:paraId="532747C8">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127147CC">
            <w:pPr>
              <w:pStyle w:val="30"/>
              <w:widowControl w:val="0"/>
              <w:bidi w:val="0"/>
              <w:rPr>
                <w:color w:val="auto"/>
                <w:lang w:val="en-US" w:eastAsia="en-US"/>
              </w:rPr>
            </w:pPr>
            <w:r>
              <w:rPr>
                <w:color w:val="auto"/>
                <w:lang w:val="en-US" w:eastAsia="en-US"/>
              </w:rPr>
              <w:t>3925</w:t>
            </w:r>
          </w:p>
        </w:tc>
        <w:tc>
          <w:tcPr>
            <w:tcW w:w="1019" w:type="dxa"/>
            <w:tcBorders>
              <w:tl2br w:val="nil"/>
              <w:tr2bl w:val="nil"/>
            </w:tcBorders>
            <w:vAlign w:val="center"/>
          </w:tcPr>
          <w:p w14:paraId="19F947F1">
            <w:pPr>
              <w:pStyle w:val="30"/>
              <w:widowControl w:val="0"/>
              <w:bidi w:val="0"/>
              <w:rPr>
                <w:color w:val="auto"/>
                <w:lang w:val="en-US" w:eastAsia="en-US"/>
              </w:rPr>
            </w:pPr>
            <w:r>
              <w:rPr>
                <w:color w:val="auto"/>
                <w:lang w:val="en-US" w:eastAsia="en-US"/>
              </w:rPr>
              <w:t>261人</w:t>
            </w:r>
          </w:p>
        </w:tc>
        <w:tc>
          <w:tcPr>
            <w:tcW w:w="1716" w:type="dxa"/>
            <w:vMerge w:val="continue"/>
            <w:tcBorders>
              <w:tl2br w:val="nil"/>
              <w:tr2bl w:val="nil"/>
            </w:tcBorders>
            <w:vAlign w:val="center"/>
          </w:tcPr>
          <w:p w14:paraId="0D15D3E7">
            <w:pPr>
              <w:pStyle w:val="30"/>
              <w:widowControl w:val="0"/>
              <w:bidi w:val="0"/>
              <w:rPr>
                <w:color w:val="auto"/>
                <w:lang w:val="en-US" w:eastAsia="en-US"/>
              </w:rPr>
            </w:pPr>
          </w:p>
        </w:tc>
      </w:tr>
      <w:tr w14:paraId="070BA7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044F4E3">
            <w:pPr>
              <w:pStyle w:val="30"/>
              <w:widowControl w:val="0"/>
              <w:bidi w:val="0"/>
              <w:rPr>
                <w:color w:val="auto"/>
                <w:lang w:val="en-US" w:eastAsia="en-US"/>
              </w:rPr>
            </w:pPr>
          </w:p>
        </w:tc>
        <w:tc>
          <w:tcPr>
            <w:tcW w:w="634" w:type="dxa"/>
            <w:tcBorders>
              <w:tl2br w:val="nil"/>
              <w:tr2bl w:val="nil"/>
            </w:tcBorders>
            <w:vAlign w:val="center"/>
          </w:tcPr>
          <w:p w14:paraId="18EFE0E5">
            <w:pPr>
              <w:pStyle w:val="30"/>
              <w:widowControl w:val="0"/>
              <w:bidi w:val="0"/>
              <w:rPr>
                <w:color w:val="auto"/>
                <w:lang w:val="en-US" w:eastAsia="en-US"/>
              </w:rPr>
            </w:pPr>
            <w:r>
              <w:rPr>
                <w:color w:val="auto"/>
                <w:lang w:val="en-US" w:eastAsia="en-US"/>
              </w:rPr>
              <w:t>70</w:t>
            </w:r>
          </w:p>
        </w:tc>
        <w:tc>
          <w:tcPr>
            <w:tcW w:w="2773" w:type="dxa"/>
            <w:tcBorders>
              <w:tl2br w:val="nil"/>
              <w:tr2bl w:val="nil"/>
            </w:tcBorders>
            <w:vAlign w:val="center"/>
          </w:tcPr>
          <w:p w14:paraId="27ACDF59">
            <w:pPr>
              <w:pStyle w:val="30"/>
              <w:widowControl w:val="0"/>
              <w:bidi w:val="0"/>
              <w:rPr>
                <w:color w:val="auto"/>
                <w:lang w:val="en-US" w:eastAsia="en-US"/>
              </w:rPr>
            </w:pPr>
            <w:r>
              <w:rPr>
                <w:color w:val="auto"/>
                <w:lang w:val="en-US" w:eastAsia="en-US"/>
              </w:rPr>
              <w:t>骆家岗</w:t>
            </w:r>
          </w:p>
        </w:tc>
        <w:tc>
          <w:tcPr>
            <w:tcW w:w="885" w:type="dxa"/>
            <w:tcBorders>
              <w:tl2br w:val="nil"/>
              <w:tr2bl w:val="nil"/>
            </w:tcBorders>
            <w:vAlign w:val="center"/>
          </w:tcPr>
          <w:p w14:paraId="523A49CD">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22EBC9B4">
            <w:pPr>
              <w:pStyle w:val="30"/>
              <w:widowControl w:val="0"/>
              <w:bidi w:val="0"/>
              <w:rPr>
                <w:color w:val="auto"/>
                <w:lang w:val="en-US" w:eastAsia="en-US"/>
              </w:rPr>
            </w:pPr>
            <w:r>
              <w:rPr>
                <w:color w:val="auto"/>
                <w:lang w:val="en-US" w:eastAsia="en-US"/>
              </w:rPr>
              <w:t>3543</w:t>
            </w:r>
          </w:p>
        </w:tc>
        <w:tc>
          <w:tcPr>
            <w:tcW w:w="1019" w:type="dxa"/>
            <w:tcBorders>
              <w:tl2br w:val="nil"/>
              <w:tr2bl w:val="nil"/>
            </w:tcBorders>
            <w:vAlign w:val="center"/>
          </w:tcPr>
          <w:p w14:paraId="3375F039">
            <w:pPr>
              <w:pStyle w:val="30"/>
              <w:widowControl w:val="0"/>
              <w:bidi w:val="0"/>
              <w:rPr>
                <w:color w:val="auto"/>
                <w:lang w:val="en-US" w:eastAsia="en-US"/>
              </w:rPr>
            </w:pPr>
            <w:r>
              <w:rPr>
                <w:color w:val="auto"/>
                <w:lang w:val="en-US" w:eastAsia="en-US"/>
              </w:rPr>
              <w:t>153人</w:t>
            </w:r>
          </w:p>
        </w:tc>
        <w:tc>
          <w:tcPr>
            <w:tcW w:w="1716" w:type="dxa"/>
            <w:vMerge w:val="continue"/>
            <w:tcBorders>
              <w:tl2br w:val="nil"/>
              <w:tr2bl w:val="nil"/>
            </w:tcBorders>
            <w:vAlign w:val="center"/>
          </w:tcPr>
          <w:p w14:paraId="1E6859FE">
            <w:pPr>
              <w:pStyle w:val="30"/>
              <w:widowControl w:val="0"/>
              <w:bidi w:val="0"/>
              <w:rPr>
                <w:color w:val="auto"/>
                <w:lang w:val="en-US" w:eastAsia="en-US"/>
              </w:rPr>
            </w:pPr>
          </w:p>
        </w:tc>
      </w:tr>
      <w:tr w14:paraId="4E9D4F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243B61A8">
            <w:pPr>
              <w:pStyle w:val="30"/>
              <w:widowControl w:val="0"/>
              <w:bidi w:val="0"/>
              <w:rPr>
                <w:color w:val="auto"/>
                <w:lang w:val="en-US" w:eastAsia="en-US"/>
              </w:rPr>
            </w:pPr>
          </w:p>
        </w:tc>
        <w:tc>
          <w:tcPr>
            <w:tcW w:w="634" w:type="dxa"/>
            <w:tcBorders>
              <w:tl2br w:val="nil"/>
              <w:tr2bl w:val="nil"/>
            </w:tcBorders>
            <w:vAlign w:val="center"/>
          </w:tcPr>
          <w:p w14:paraId="19F68F0C">
            <w:pPr>
              <w:pStyle w:val="30"/>
              <w:widowControl w:val="0"/>
              <w:bidi w:val="0"/>
              <w:rPr>
                <w:color w:val="auto"/>
                <w:lang w:val="en-US" w:eastAsia="en-US"/>
              </w:rPr>
            </w:pPr>
            <w:r>
              <w:rPr>
                <w:color w:val="auto"/>
                <w:lang w:val="en-US" w:eastAsia="en-US"/>
              </w:rPr>
              <w:t>71</w:t>
            </w:r>
          </w:p>
        </w:tc>
        <w:tc>
          <w:tcPr>
            <w:tcW w:w="2773" w:type="dxa"/>
            <w:tcBorders>
              <w:tl2br w:val="nil"/>
              <w:tr2bl w:val="nil"/>
            </w:tcBorders>
            <w:vAlign w:val="center"/>
          </w:tcPr>
          <w:p w14:paraId="6786A243">
            <w:pPr>
              <w:pStyle w:val="30"/>
              <w:widowControl w:val="0"/>
              <w:bidi w:val="0"/>
              <w:rPr>
                <w:color w:val="auto"/>
                <w:lang w:val="en-US" w:eastAsia="en-US"/>
              </w:rPr>
            </w:pPr>
            <w:r>
              <w:rPr>
                <w:color w:val="auto"/>
                <w:lang w:val="en-US" w:eastAsia="en-US"/>
              </w:rPr>
              <w:t>桥青村</w:t>
            </w:r>
          </w:p>
        </w:tc>
        <w:tc>
          <w:tcPr>
            <w:tcW w:w="885" w:type="dxa"/>
            <w:tcBorders>
              <w:tl2br w:val="nil"/>
              <w:tr2bl w:val="nil"/>
            </w:tcBorders>
            <w:vAlign w:val="center"/>
          </w:tcPr>
          <w:p w14:paraId="37D118E7">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55A2700B">
            <w:pPr>
              <w:pStyle w:val="30"/>
              <w:widowControl w:val="0"/>
              <w:bidi w:val="0"/>
              <w:rPr>
                <w:color w:val="auto"/>
                <w:lang w:val="en-US" w:eastAsia="en-US"/>
              </w:rPr>
            </w:pPr>
            <w:r>
              <w:rPr>
                <w:color w:val="auto"/>
                <w:lang w:val="en-US" w:eastAsia="en-US"/>
              </w:rPr>
              <w:t>3923</w:t>
            </w:r>
          </w:p>
        </w:tc>
        <w:tc>
          <w:tcPr>
            <w:tcW w:w="1019" w:type="dxa"/>
            <w:tcBorders>
              <w:tl2br w:val="nil"/>
              <w:tr2bl w:val="nil"/>
            </w:tcBorders>
            <w:vAlign w:val="center"/>
          </w:tcPr>
          <w:p w14:paraId="15BD9EAF">
            <w:pPr>
              <w:pStyle w:val="30"/>
              <w:widowControl w:val="0"/>
              <w:bidi w:val="0"/>
              <w:rPr>
                <w:color w:val="auto"/>
                <w:lang w:val="en-US" w:eastAsia="en-US"/>
              </w:rPr>
            </w:pPr>
            <w:r>
              <w:rPr>
                <w:color w:val="auto"/>
                <w:lang w:val="en-US" w:eastAsia="en-US"/>
              </w:rPr>
              <w:t>132人</w:t>
            </w:r>
          </w:p>
        </w:tc>
        <w:tc>
          <w:tcPr>
            <w:tcW w:w="1716" w:type="dxa"/>
            <w:vMerge w:val="continue"/>
            <w:tcBorders>
              <w:tl2br w:val="nil"/>
              <w:tr2bl w:val="nil"/>
            </w:tcBorders>
            <w:vAlign w:val="center"/>
          </w:tcPr>
          <w:p w14:paraId="444C6DB7">
            <w:pPr>
              <w:pStyle w:val="30"/>
              <w:widowControl w:val="0"/>
              <w:bidi w:val="0"/>
              <w:rPr>
                <w:color w:val="auto"/>
                <w:lang w:val="en-US" w:eastAsia="en-US"/>
              </w:rPr>
            </w:pPr>
          </w:p>
        </w:tc>
      </w:tr>
      <w:tr w14:paraId="6FF8AC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61ACFC54">
            <w:pPr>
              <w:pStyle w:val="30"/>
              <w:widowControl w:val="0"/>
              <w:bidi w:val="0"/>
              <w:rPr>
                <w:color w:val="auto"/>
                <w:lang w:val="en-US" w:eastAsia="en-US"/>
              </w:rPr>
            </w:pPr>
          </w:p>
        </w:tc>
        <w:tc>
          <w:tcPr>
            <w:tcW w:w="634" w:type="dxa"/>
            <w:tcBorders>
              <w:tl2br w:val="nil"/>
              <w:tr2bl w:val="nil"/>
            </w:tcBorders>
            <w:vAlign w:val="center"/>
          </w:tcPr>
          <w:p w14:paraId="5047C0EF">
            <w:pPr>
              <w:pStyle w:val="30"/>
              <w:widowControl w:val="0"/>
              <w:bidi w:val="0"/>
              <w:rPr>
                <w:color w:val="auto"/>
                <w:lang w:val="en-US" w:eastAsia="en-US"/>
              </w:rPr>
            </w:pPr>
            <w:r>
              <w:rPr>
                <w:color w:val="auto"/>
                <w:lang w:val="en-US" w:eastAsia="en-US"/>
              </w:rPr>
              <w:t>72</w:t>
            </w:r>
          </w:p>
        </w:tc>
        <w:tc>
          <w:tcPr>
            <w:tcW w:w="2773" w:type="dxa"/>
            <w:tcBorders>
              <w:tl2br w:val="nil"/>
              <w:tr2bl w:val="nil"/>
            </w:tcBorders>
            <w:vAlign w:val="center"/>
          </w:tcPr>
          <w:p w14:paraId="13EBE06F">
            <w:pPr>
              <w:pStyle w:val="30"/>
              <w:widowControl w:val="0"/>
              <w:bidi w:val="0"/>
              <w:rPr>
                <w:color w:val="auto"/>
                <w:lang w:val="en-US" w:eastAsia="en-US"/>
              </w:rPr>
            </w:pPr>
            <w:r>
              <w:rPr>
                <w:color w:val="auto"/>
                <w:lang w:val="en-US" w:eastAsia="en-US"/>
              </w:rPr>
              <w:t>小杜村</w:t>
            </w:r>
          </w:p>
        </w:tc>
        <w:tc>
          <w:tcPr>
            <w:tcW w:w="885" w:type="dxa"/>
            <w:tcBorders>
              <w:tl2br w:val="nil"/>
              <w:tr2bl w:val="nil"/>
            </w:tcBorders>
            <w:vAlign w:val="center"/>
          </w:tcPr>
          <w:p w14:paraId="0DD5E1C7">
            <w:pPr>
              <w:pStyle w:val="30"/>
              <w:widowControl w:val="0"/>
              <w:bidi w:val="0"/>
              <w:rPr>
                <w:color w:val="auto"/>
                <w:lang w:val="en-US" w:eastAsia="en-US"/>
              </w:rPr>
            </w:pPr>
            <w:r>
              <w:rPr>
                <w:color w:val="auto"/>
                <w:lang w:val="en-US" w:eastAsia="en-US"/>
              </w:rPr>
              <w:t>SE</w:t>
            </w:r>
          </w:p>
        </w:tc>
        <w:tc>
          <w:tcPr>
            <w:tcW w:w="1124" w:type="dxa"/>
            <w:tcBorders>
              <w:tl2br w:val="nil"/>
              <w:tr2bl w:val="nil"/>
            </w:tcBorders>
            <w:vAlign w:val="center"/>
          </w:tcPr>
          <w:p w14:paraId="27FB0006">
            <w:pPr>
              <w:pStyle w:val="30"/>
              <w:widowControl w:val="0"/>
              <w:bidi w:val="0"/>
              <w:rPr>
                <w:color w:val="auto"/>
                <w:lang w:val="en-US" w:eastAsia="en-US"/>
              </w:rPr>
            </w:pPr>
            <w:r>
              <w:rPr>
                <w:color w:val="auto"/>
                <w:lang w:val="en-US" w:eastAsia="en-US"/>
              </w:rPr>
              <w:t>4314</w:t>
            </w:r>
          </w:p>
        </w:tc>
        <w:tc>
          <w:tcPr>
            <w:tcW w:w="1019" w:type="dxa"/>
            <w:tcBorders>
              <w:tl2br w:val="nil"/>
              <w:tr2bl w:val="nil"/>
            </w:tcBorders>
            <w:vAlign w:val="center"/>
          </w:tcPr>
          <w:p w14:paraId="1C435895">
            <w:pPr>
              <w:pStyle w:val="30"/>
              <w:widowControl w:val="0"/>
              <w:bidi w:val="0"/>
              <w:rPr>
                <w:color w:val="auto"/>
                <w:lang w:val="en-US" w:eastAsia="en-US"/>
              </w:rPr>
            </w:pPr>
            <w:r>
              <w:rPr>
                <w:color w:val="auto"/>
                <w:lang w:val="en-US" w:eastAsia="en-US"/>
              </w:rPr>
              <w:t>54人</w:t>
            </w:r>
          </w:p>
        </w:tc>
        <w:tc>
          <w:tcPr>
            <w:tcW w:w="1716" w:type="dxa"/>
            <w:vMerge w:val="continue"/>
            <w:tcBorders>
              <w:tl2br w:val="nil"/>
              <w:tr2bl w:val="nil"/>
            </w:tcBorders>
            <w:vAlign w:val="center"/>
          </w:tcPr>
          <w:p w14:paraId="596528D9">
            <w:pPr>
              <w:pStyle w:val="30"/>
              <w:widowControl w:val="0"/>
              <w:bidi w:val="0"/>
              <w:rPr>
                <w:color w:val="auto"/>
                <w:lang w:val="en-US" w:eastAsia="en-US"/>
              </w:rPr>
            </w:pPr>
          </w:p>
        </w:tc>
      </w:tr>
      <w:tr w14:paraId="4FE1F0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17E204E4">
            <w:pPr>
              <w:pStyle w:val="30"/>
              <w:widowControl w:val="0"/>
              <w:bidi w:val="0"/>
              <w:rPr>
                <w:color w:val="auto"/>
                <w:lang w:val="en-US" w:eastAsia="en-US"/>
              </w:rPr>
            </w:pPr>
          </w:p>
        </w:tc>
        <w:tc>
          <w:tcPr>
            <w:tcW w:w="3407" w:type="dxa"/>
            <w:gridSpan w:val="2"/>
            <w:tcBorders>
              <w:tl2br w:val="nil"/>
              <w:tr2bl w:val="nil"/>
            </w:tcBorders>
            <w:vAlign w:val="center"/>
          </w:tcPr>
          <w:p w14:paraId="0C3966F4">
            <w:pPr>
              <w:pStyle w:val="30"/>
              <w:widowControl w:val="0"/>
              <w:bidi w:val="0"/>
              <w:rPr>
                <w:color w:val="auto"/>
                <w:lang w:val="en-US" w:eastAsia="en-US"/>
              </w:rPr>
            </w:pPr>
            <w:r>
              <w:rPr>
                <w:color w:val="auto"/>
                <w:lang w:val="en-US" w:eastAsia="en-US"/>
              </w:rPr>
              <w:t>合计</w:t>
            </w:r>
          </w:p>
        </w:tc>
        <w:tc>
          <w:tcPr>
            <w:tcW w:w="885" w:type="dxa"/>
            <w:tcBorders>
              <w:tl2br w:val="nil"/>
              <w:tr2bl w:val="nil"/>
            </w:tcBorders>
            <w:vAlign w:val="center"/>
          </w:tcPr>
          <w:p w14:paraId="205D33D6">
            <w:pPr>
              <w:pStyle w:val="30"/>
              <w:widowControl w:val="0"/>
              <w:bidi w:val="0"/>
              <w:rPr>
                <w:color w:val="auto"/>
                <w:lang w:val="en-US" w:eastAsia="en-US"/>
              </w:rPr>
            </w:pPr>
            <w:r>
              <w:rPr>
                <w:color w:val="auto"/>
                <w:lang w:val="en-US" w:eastAsia="en-US"/>
              </w:rPr>
              <w:t>/</w:t>
            </w:r>
          </w:p>
        </w:tc>
        <w:tc>
          <w:tcPr>
            <w:tcW w:w="1124" w:type="dxa"/>
            <w:tcBorders>
              <w:tl2br w:val="nil"/>
              <w:tr2bl w:val="nil"/>
            </w:tcBorders>
            <w:vAlign w:val="center"/>
          </w:tcPr>
          <w:p w14:paraId="51B6D1F7">
            <w:pPr>
              <w:pStyle w:val="30"/>
              <w:widowControl w:val="0"/>
              <w:bidi w:val="0"/>
              <w:rPr>
                <w:color w:val="auto"/>
                <w:lang w:val="en-US" w:eastAsia="en-US"/>
              </w:rPr>
            </w:pPr>
            <w:r>
              <w:rPr>
                <w:color w:val="auto"/>
                <w:lang w:val="en-US" w:eastAsia="en-US"/>
              </w:rPr>
              <w:t>/</w:t>
            </w:r>
          </w:p>
        </w:tc>
        <w:tc>
          <w:tcPr>
            <w:tcW w:w="1019" w:type="dxa"/>
            <w:tcBorders>
              <w:tl2br w:val="nil"/>
              <w:tr2bl w:val="nil"/>
            </w:tcBorders>
            <w:vAlign w:val="center"/>
          </w:tcPr>
          <w:p w14:paraId="0CB519D3">
            <w:pPr>
              <w:pStyle w:val="30"/>
              <w:widowControl w:val="0"/>
              <w:bidi w:val="0"/>
              <w:rPr>
                <w:color w:val="auto"/>
                <w:lang w:val="en-US" w:eastAsia="en-US"/>
              </w:rPr>
            </w:pPr>
            <w:r>
              <w:rPr>
                <w:color w:val="auto"/>
                <w:lang w:val="en-US" w:eastAsia="en-US"/>
              </w:rPr>
              <w:t>26185人</w:t>
            </w:r>
          </w:p>
        </w:tc>
        <w:tc>
          <w:tcPr>
            <w:tcW w:w="1716" w:type="dxa"/>
            <w:vMerge w:val="continue"/>
            <w:tcBorders>
              <w:tl2br w:val="nil"/>
              <w:tr2bl w:val="nil"/>
            </w:tcBorders>
            <w:vAlign w:val="center"/>
          </w:tcPr>
          <w:p w14:paraId="0AEB9CEF">
            <w:pPr>
              <w:pStyle w:val="30"/>
              <w:widowControl w:val="0"/>
              <w:bidi w:val="0"/>
              <w:rPr>
                <w:color w:val="auto"/>
                <w:lang w:val="en-US" w:eastAsia="en-US"/>
              </w:rPr>
            </w:pPr>
          </w:p>
        </w:tc>
      </w:tr>
      <w:tr w14:paraId="59F08E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40" w:hRule="atLeast"/>
        </w:trPr>
        <w:tc>
          <w:tcPr>
            <w:tcW w:w="970" w:type="dxa"/>
            <w:vMerge w:val="restart"/>
            <w:tcBorders>
              <w:tl2br w:val="nil"/>
              <w:tr2bl w:val="nil"/>
            </w:tcBorders>
            <w:vAlign w:val="center"/>
          </w:tcPr>
          <w:p w14:paraId="48147F11">
            <w:pPr>
              <w:pStyle w:val="30"/>
              <w:widowControl w:val="0"/>
              <w:bidi w:val="0"/>
              <w:rPr>
                <w:color w:val="auto"/>
                <w:lang w:val="en-US" w:eastAsia="en-US"/>
              </w:rPr>
            </w:pPr>
            <w:r>
              <w:rPr>
                <w:color w:val="auto"/>
                <w:lang w:val="en-US" w:eastAsia="en-US"/>
              </w:rPr>
              <w:t>地表水环境</w:t>
            </w:r>
          </w:p>
        </w:tc>
        <w:tc>
          <w:tcPr>
            <w:tcW w:w="3407" w:type="dxa"/>
            <w:gridSpan w:val="2"/>
            <w:tcBorders>
              <w:tl2br w:val="nil"/>
              <w:tr2bl w:val="nil"/>
            </w:tcBorders>
            <w:vAlign w:val="center"/>
          </w:tcPr>
          <w:p w14:paraId="5777CD7D">
            <w:pPr>
              <w:pStyle w:val="30"/>
              <w:widowControl w:val="0"/>
              <w:bidi w:val="0"/>
              <w:rPr>
                <w:color w:val="auto"/>
                <w:lang w:val="en-US" w:eastAsia="en-US"/>
              </w:rPr>
            </w:pPr>
            <w:r>
              <w:rPr>
                <w:color w:val="auto"/>
                <w:lang w:val="en-US" w:eastAsia="en-US"/>
              </w:rPr>
              <w:t>店埠河</w:t>
            </w:r>
          </w:p>
        </w:tc>
        <w:tc>
          <w:tcPr>
            <w:tcW w:w="885" w:type="dxa"/>
            <w:tcBorders>
              <w:tl2br w:val="nil"/>
              <w:tr2bl w:val="nil"/>
            </w:tcBorders>
            <w:vAlign w:val="center"/>
          </w:tcPr>
          <w:p w14:paraId="158CB613">
            <w:pPr>
              <w:pStyle w:val="30"/>
              <w:widowControl w:val="0"/>
              <w:bidi w:val="0"/>
              <w:rPr>
                <w:color w:val="auto"/>
                <w:lang w:val="en-US" w:eastAsia="en-US"/>
              </w:rPr>
            </w:pPr>
            <w:r>
              <w:rPr>
                <w:color w:val="auto"/>
                <w:lang w:val="en-US" w:eastAsia="en-US"/>
              </w:rPr>
              <w:t>W</w:t>
            </w:r>
          </w:p>
        </w:tc>
        <w:tc>
          <w:tcPr>
            <w:tcW w:w="1124" w:type="dxa"/>
            <w:tcBorders>
              <w:tl2br w:val="nil"/>
              <w:tr2bl w:val="nil"/>
            </w:tcBorders>
            <w:vAlign w:val="center"/>
          </w:tcPr>
          <w:p w14:paraId="6668EFC3">
            <w:pPr>
              <w:pStyle w:val="30"/>
              <w:widowControl w:val="0"/>
              <w:bidi w:val="0"/>
              <w:rPr>
                <w:color w:val="auto"/>
                <w:lang w:val="en-US" w:eastAsia="en-US"/>
              </w:rPr>
            </w:pPr>
            <w:r>
              <w:rPr>
                <w:color w:val="auto"/>
                <w:lang w:val="en-US" w:eastAsia="en-US"/>
              </w:rPr>
              <w:t>5457</w:t>
            </w:r>
          </w:p>
        </w:tc>
        <w:tc>
          <w:tcPr>
            <w:tcW w:w="1019" w:type="dxa"/>
            <w:tcBorders>
              <w:tl2br w:val="nil"/>
              <w:tr2bl w:val="nil"/>
            </w:tcBorders>
            <w:vAlign w:val="center"/>
          </w:tcPr>
          <w:p w14:paraId="13313EA5">
            <w:pPr>
              <w:pStyle w:val="30"/>
              <w:widowControl w:val="0"/>
              <w:bidi w:val="0"/>
              <w:rPr>
                <w:color w:val="auto"/>
                <w:lang w:val="en-US" w:eastAsia="en-US"/>
              </w:rPr>
            </w:pPr>
            <w:r>
              <w:rPr>
                <w:color w:val="auto"/>
                <w:lang w:val="en-US" w:eastAsia="en-US"/>
              </w:rPr>
              <w:t>小型河流</w:t>
            </w:r>
          </w:p>
        </w:tc>
        <w:tc>
          <w:tcPr>
            <w:tcW w:w="1716" w:type="dxa"/>
            <w:vMerge w:val="restart"/>
            <w:tcBorders>
              <w:tl2br w:val="nil"/>
              <w:tr2bl w:val="nil"/>
            </w:tcBorders>
            <w:vAlign w:val="center"/>
          </w:tcPr>
          <w:p w14:paraId="6E3B7A9B">
            <w:pPr>
              <w:pStyle w:val="30"/>
              <w:widowControl w:val="0"/>
              <w:bidi w:val="0"/>
              <w:rPr>
                <w:color w:val="auto"/>
                <w:lang w:val="en-US" w:eastAsia="en-US"/>
              </w:rPr>
            </w:pPr>
            <w:r>
              <w:rPr>
                <w:color w:val="auto"/>
                <w:lang w:val="en-US" w:eastAsia="en-US"/>
              </w:rPr>
              <w:t>（GB3838-2002</w:t>
            </w:r>
            <w:r>
              <w:rPr>
                <w:rFonts w:hint="eastAsia"/>
                <w:color w:val="auto"/>
                <w:lang w:val="en-US" w:eastAsia="zh-CN"/>
              </w:rPr>
              <w:t>）</w:t>
            </w:r>
            <w:r>
              <w:rPr>
                <w:color w:val="auto"/>
                <w:lang w:val="en-US" w:eastAsia="en-US"/>
              </w:rPr>
              <w:t>中</w:t>
            </w:r>
            <w:r>
              <w:rPr>
                <w:rFonts w:hint="eastAsia"/>
                <w:color w:val="auto"/>
                <w:lang w:val="en-US" w:eastAsia="zh-CN"/>
              </w:rPr>
              <w:t>Ⅳ类</w:t>
            </w:r>
            <w:r>
              <w:rPr>
                <w:color w:val="auto"/>
                <w:lang w:val="en-US" w:eastAsia="en-US"/>
              </w:rPr>
              <w:t>标准</w:t>
            </w:r>
          </w:p>
        </w:tc>
      </w:tr>
      <w:tr w14:paraId="09601D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vMerge w:val="continue"/>
            <w:tcBorders>
              <w:tl2br w:val="nil"/>
              <w:tr2bl w:val="nil"/>
            </w:tcBorders>
            <w:vAlign w:val="center"/>
          </w:tcPr>
          <w:p w14:paraId="75F350C8">
            <w:pPr>
              <w:pStyle w:val="30"/>
              <w:widowControl w:val="0"/>
              <w:bidi w:val="0"/>
              <w:rPr>
                <w:color w:val="auto"/>
                <w:lang w:val="en-US" w:eastAsia="en-US"/>
              </w:rPr>
            </w:pPr>
          </w:p>
        </w:tc>
        <w:tc>
          <w:tcPr>
            <w:tcW w:w="3407" w:type="dxa"/>
            <w:gridSpan w:val="2"/>
            <w:tcBorders>
              <w:tl2br w:val="nil"/>
              <w:tr2bl w:val="nil"/>
            </w:tcBorders>
            <w:vAlign w:val="center"/>
          </w:tcPr>
          <w:p w14:paraId="55B15B4E">
            <w:pPr>
              <w:pStyle w:val="30"/>
              <w:widowControl w:val="0"/>
              <w:bidi w:val="0"/>
              <w:rPr>
                <w:color w:val="auto"/>
                <w:lang w:val="en-US" w:eastAsia="en-US"/>
              </w:rPr>
            </w:pPr>
            <w:r>
              <w:rPr>
                <w:color w:val="auto"/>
                <w:lang w:val="en-US" w:eastAsia="en-US"/>
              </w:rPr>
              <w:t>南淝河</w:t>
            </w:r>
          </w:p>
        </w:tc>
        <w:tc>
          <w:tcPr>
            <w:tcW w:w="885" w:type="dxa"/>
            <w:tcBorders>
              <w:tl2br w:val="nil"/>
              <w:tr2bl w:val="nil"/>
            </w:tcBorders>
            <w:vAlign w:val="center"/>
          </w:tcPr>
          <w:p w14:paraId="2BDA2A97">
            <w:pPr>
              <w:pStyle w:val="30"/>
              <w:widowControl w:val="0"/>
              <w:bidi w:val="0"/>
              <w:rPr>
                <w:color w:val="auto"/>
                <w:lang w:val="en-US" w:eastAsia="en-US"/>
              </w:rPr>
            </w:pPr>
            <w:r>
              <w:rPr>
                <w:color w:val="auto"/>
                <w:lang w:val="en-US" w:eastAsia="en-US"/>
              </w:rPr>
              <w:t>W</w:t>
            </w:r>
          </w:p>
        </w:tc>
        <w:tc>
          <w:tcPr>
            <w:tcW w:w="1124" w:type="dxa"/>
            <w:tcBorders>
              <w:tl2br w:val="nil"/>
              <w:tr2bl w:val="nil"/>
            </w:tcBorders>
            <w:vAlign w:val="center"/>
          </w:tcPr>
          <w:p w14:paraId="7E38B6AD">
            <w:pPr>
              <w:pStyle w:val="30"/>
              <w:widowControl w:val="0"/>
              <w:bidi w:val="0"/>
              <w:rPr>
                <w:color w:val="auto"/>
                <w:lang w:val="en-US" w:eastAsia="en-US"/>
              </w:rPr>
            </w:pPr>
            <w:r>
              <w:rPr>
                <w:color w:val="auto"/>
                <w:lang w:val="en-US" w:eastAsia="en-US"/>
              </w:rPr>
              <w:t>7145</w:t>
            </w:r>
          </w:p>
        </w:tc>
        <w:tc>
          <w:tcPr>
            <w:tcW w:w="1019" w:type="dxa"/>
            <w:tcBorders>
              <w:tl2br w:val="nil"/>
              <w:tr2bl w:val="nil"/>
            </w:tcBorders>
            <w:vAlign w:val="center"/>
          </w:tcPr>
          <w:p w14:paraId="5C49AF92">
            <w:pPr>
              <w:pStyle w:val="30"/>
              <w:widowControl w:val="0"/>
              <w:bidi w:val="0"/>
              <w:rPr>
                <w:color w:val="auto"/>
                <w:lang w:val="en-US" w:eastAsia="en-US"/>
              </w:rPr>
            </w:pPr>
            <w:r>
              <w:rPr>
                <w:color w:val="auto"/>
                <w:lang w:val="en-US" w:eastAsia="en-US"/>
              </w:rPr>
              <w:t>小型河流</w:t>
            </w:r>
          </w:p>
        </w:tc>
        <w:tc>
          <w:tcPr>
            <w:tcW w:w="1716" w:type="dxa"/>
            <w:vMerge w:val="continue"/>
            <w:tcBorders>
              <w:tl2br w:val="nil"/>
              <w:tr2bl w:val="nil"/>
            </w:tcBorders>
            <w:vAlign w:val="center"/>
          </w:tcPr>
          <w:p w14:paraId="4558EE7B">
            <w:pPr>
              <w:pStyle w:val="30"/>
              <w:widowControl w:val="0"/>
              <w:bidi w:val="0"/>
              <w:rPr>
                <w:color w:val="auto"/>
                <w:lang w:val="en-US" w:eastAsia="en-US"/>
              </w:rPr>
            </w:pPr>
          </w:p>
        </w:tc>
      </w:tr>
      <w:tr w14:paraId="7BF155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970" w:type="dxa"/>
            <w:tcBorders>
              <w:tl2br w:val="nil"/>
              <w:tr2bl w:val="nil"/>
            </w:tcBorders>
            <w:vAlign w:val="center"/>
          </w:tcPr>
          <w:p w14:paraId="6C6AC664">
            <w:pPr>
              <w:pStyle w:val="30"/>
              <w:widowControl w:val="0"/>
              <w:bidi w:val="0"/>
              <w:rPr>
                <w:color w:val="auto"/>
                <w:lang w:val="en-US" w:eastAsia="en-US"/>
              </w:rPr>
            </w:pPr>
            <w:r>
              <w:rPr>
                <w:color w:val="auto"/>
                <w:lang w:val="en-US" w:eastAsia="en-US"/>
              </w:rPr>
              <w:t>地下水环境</w:t>
            </w:r>
          </w:p>
        </w:tc>
        <w:tc>
          <w:tcPr>
            <w:tcW w:w="3407" w:type="dxa"/>
            <w:gridSpan w:val="2"/>
            <w:tcBorders>
              <w:tl2br w:val="nil"/>
              <w:tr2bl w:val="nil"/>
            </w:tcBorders>
            <w:vAlign w:val="center"/>
          </w:tcPr>
          <w:p w14:paraId="6DA53090">
            <w:pPr>
              <w:pStyle w:val="30"/>
              <w:widowControl w:val="0"/>
              <w:bidi w:val="0"/>
              <w:rPr>
                <w:color w:val="auto"/>
                <w:lang w:val="en-US" w:eastAsia="en-US"/>
              </w:rPr>
            </w:pPr>
            <w:r>
              <w:rPr>
                <w:color w:val="auto"/>
                <w:lang w:val="en-US" w:eastAsia="en-US"/>
              </w:rPr>
              <w:t>项目周边区域地下水</w:t>
            </w:r>
          </w:p>
        </w:tc>
        <w:tc>
          <w:tcPr>
            <w:tcW w:w="885" w:type="dxa"/>
            <w:tcBorders>
              <w:tl2br w:val="nil"/>
              <w:tr2bl w:val="nil"/>
            </w:tcBorders>
            <w:vAlign w:val="center"/>
          </w:tcPr>
          <w:p w14:paraId="12369972">
            <w:pPr>
              <w:pStyle w:val="30"/>
              <w:widowControl w:val="0"/>
              <w:bidi w:val="0"/>
              <w:rPr>
                <w:color w:val="auto"/>
                <w:lang w:val="en-US" w:eastAsia="en-US"/>
              </w:rPr>
            </w:pPr>
            <w:r>
              <w:rPr>
                <w:color w:val="auto"/>
                <w:lang w:val="en-US" w:eastAsia="en-US"/>
              </w:rPr>
              <w:t>/</w:t>
            </w:r>
          </w:p>
        </w:tc>
        <w:tc>
          <w:tcPr>
            <w:tcW w:w="1124" w:type="dxa"/>
            <w:tcBorders>
              <w:tl2br w:val="nil"/>
              <w:tr2bl w:val="nil"/>
            </w:tcBorders>
            <w:vAlign w:val="center"/>
          </w:tcPr>
          <w:p w14:paraId="51760939">
            <w:pPr>
              <w:pStyle w:val="30"/>
              <w:widowControl w:val="0"/>
              <w:bidi w:val="0"/>
              <w:rPr>
                <w:color w:val="auto"/>
                <w:lang w:val="en-US" w:eastAsia="en-US"/>
              </w:rPr>
            </w:pPr>
            <w:r>
              <w:rPr>
                <w:color w:val="auto"/>
                <w:lang w:val="en-US" w:eastAsia="en-US"/>
              </w:rPr>
              <w:t>/</w:t>
            </w:r>
          </w:p>
        </w:tc>
        <w:tc>
          <w:tcPr>
            <w:tcW w:w="1019" w:type="dxa"/>
            <w:tcBorders>
              <w:tl2br w:val="nil"/>
              <w:tr2bl w:val="nil"/>
            </w:tcBorders>
            <w:vAlign w:val="center"/>
          </w:tcPr>
          <w:p w14:paraId="5DD1E1A0">
            <w:pPr>
              <w:pStyle w:val="30"/>
              <w:widowControl w:val="0"/>
              <w:bidi w:val="0"/>
              <w:rPr>
                <w:color w:val="auto"/>
                <w:lang w:val="en-US" w:eastAsia="en-US"/>
              </w:rPr>
            </w:pPr>
            <w:r>
              <w:rPr>
                <w:color w:val="auto"/>
                <w:lang w:val="en-US" w:eastAsia="en-US"/>
              </w:rPr>
              <w:t>/</w:t>
            </w:r>
          </w:p>
        </w:tc>
        <w:tc>
          <w:tcPr>
            <w:tcW w:w="1716" w:type="dxa"/>
            <w:tcBorders>
              <w:tl2br w:val="nil"/>
              <w:tr2bl w:val="nil"/>
            </w:tcBorders>
            <w:vAlign w:val="center"/>
          </w:tcPr>
          <w:p w14:paraId="3625A9ED">
            <w:pPr>
              <w:pStyle w:val="30"/>
              <w:widowControl w:val="0"/>
              <w:bidi w:val="0"/>
              <w:rPr>
                <w:color w:val="auto"/>
                <w:lang w:val="en-US" w:eastAsia="en-US"/>
              </w:rPr>
            </w:pPr>
            <w:r>
              <w:rPr>
                <w:color w:val="auto"/>
                <w:lang w:val="en-US" w:eastAsia="en-US"/>
              </w:rPr>
              <w:t>（GB/T14848-2017）中Ⅲ类标准</w:t>
            </w:r>
          </w:p>
        </w:tc>
      </w:tr>
    </w:tbl>
    <w:p w14:paraId="2080C06E">
      <w:pPr>
        <w:numPr>
          <w:ilvl w:val="0"/>
          <w:numId w:val="0"/>
        </w:numPr>
        <w:bidi w:val="0"/>
        <w:spacing w:line="360" w:lineRule="auto"/>
        <w:jc w:val="both"/>
        <w:rPr>
          <w:rFonts w:hint="default"/>
          <w:lang w:val="en-US" w:eastAsia="zh-CN"/>
        </w:rPr>
      </w:pPr>
    </w:p>
    <w:p w14:paraId="22EECBCA">
      <w:pPr>
        <w:numPr>
          <w:ilvl w:val="0"/>
          <w:numId w:val="0"/>
        </w:numPr>
        <w:bidi w:val="0"/>
        <w:spacing w:line="360" w:lineRule="auto"/>
        <w:jc w:val="both"/>
        <w:rPr>
          <w:rFonts w:hint="default"/>
          <w:lang w:val="en-US" w:eastAsia="zh-CN"/>
        </w:rPr>
        <w:sectPr>
          <w:pgSz w:w="11906" w:h="16838"/>
          <w:pgMar w:top="1417" w:right="1134" w:bottom="1134" w:left="1417" w:header="851" w:footer="992" w:gutter="0"/>
          <w:pgNumType w:fmt="decimal"/>
          <w:cols w:space="0" w:num="1"/>
          <w:rtlGutter w:val="0"/>
          <w:docGrid w:type="lines" w:linePitch="312" w:charSpace="0"/>
        </w:sectPr>
      </w:pPr>
    </w:p>
    <w:p w14:paraId="560B0DAE">
      <w:pPr>
        <w:bidi w:val="0"/>
      </w:pPr>
      <w:r>
        <w:drawing>
          <wp:inline distT="0" distB="0" distL="0" distR="0">
            <wp:extent cx="9063990" cy="5274945"/>
            <wp:effectExtent l="0" t="0" r="3810" b="1905"/>
            <wp:docPr id="8" name="IM 24"/>
            <wp:cNvGraphicFramePr/>
            <a:graphic xmlns:a="http://schemas.openxmlformats.org/drawingml/2006/main">
              <a:graphicData uri="http://schemas.openxmlformats.org/drawingml/2006/picture">
                <pic:pic xmlns:pic="http://schemas.openxmlformats.org/drawingml/2006/picture">
                  <pic:nvPicPr>
                    <pic:cNvPr id="8" name="IM 24"/>
                    <pic:cNvPicPr/>
                  </pic:nvPicPr>
                  <pic:blipFill>
                    <a:blip r:embed="rId20"/>
                    <a:stretch>
                      <a:fillRect/>
                    </a:stretch>
                  </pic:blipFill>
                  <pic:spPr>
                    <a:xfrm>
                      <a:off x="0" y="0"/>
                      <a:ext cx="9063990" cy="5274945"/>
                    </a:xfrm>
                    <a:prstGeom prst="rect">
                      <a:avLst/>
                    </a:prstGeom>
                  </pic:spPr>
                </pic:pic>
              </a:graphicData>
            </a:graphic>
          </wp:inline>
        </w:drawing>
      </w:r>
    </w:p>
    <w:p w14:paraId="3523BDD1">
      <w:pPr>
        <w:bidi w:val="0"/>
        <w:jc w:val="center"/>
        <w:rPr>
          <w:b/>
          <w:bCs/>
        </w:rPr>
        <w:sectPr>
          <w:pgSz w:w="16838" w:h="11906" w:orient="landscape"/>
          <w:pgMar w:top="1417" w:right="1417" w:bottom="1134" w:left="1134" w:header="851" w:footer="992" w:gutter="0"/>
          <w:pgNumType w:fmt="decimal"/>
          <w:cols w:space="0" w:num="1"/>
          <w:rtlGutter w:val="0"/>
          <w:docGrid w:type="lines" w:linePitch="312" w:charSpace="0"/>
        </w:sectPr>
      </w:pPr>
      <w:r>
        <w:rPr>
          <w:b/>
          <w:bCs/>
        </w:rPr>
        <w:t>图 2.</w:t>
      </w:r>
      <w:r>
        <w:rPr>
          <w:rFonts w:hint="eastAsia"/>
          <w:b/>
          <w:bCs/>
          <w:lang w:val="en-US" w:eastAsia="zh-CN"/>
        </w:rPr>
        <w:t>6</w:t>
      </w:r>
      <w:r>
        <w:rPr>
          <w:b/>
          <w:bCs/>
        </w:rPr>
        <w:t>-1 项目环境保护目标图</w:t>
      </w:r>
    </w:p>
    <w:p w14:paraId="73F1BE56">
      <w:pPr>
        <w:pStyle w:val="3"/>
        <w:bidi w:val="0"/>
        <w:jc w:val="center"/>
        <w:rPr>
          <w:rFonts w:hint="eastAsia"/>
          <w:lang w:val="en-US" w:eastAsia="zh-CN"/>
        </w:rPr>
      </w:pPr>
      <w:bookmarkStart w:id="85" w:name="_Toc23140"/>
      <w:r>
        <w:rPr>
          <w:rFonts w:hint="eastAsia"/>
          <w:lang w:val="en-US" w:eastAsia="zh-CN"/>
        </w:rPr>
        <w:t>第六章 生态环境影响预测与评</w:t>
      </w:r>
      <w:bookmarkEnd w:id="85"/>
    </w:p>
    <w:p w14:paraId="6BF045A5">
      <w:pPr>
        <w:pStyle w:val="2"/>
        <w:bidi w:val="0"/>
        <w:rPr>
          <w:rFonts w:hint="eastAsia"/>
          <w:lang w:val="en-US" w:eastAsia="zh-CN"/>
        </w:rPr>
      </w:pPr>
      <w:bookmarkStart w:id="86" w:name="_Toc5190"/>
      <w:r>
        <w:rPr>
          <w:rFonts w:hint="eastAsia"/>
          <w:lang w:val="en-US" w:eastAsia="zh-CN"/>
        </w:rPr>
        <w:t>6.1 施工期生态环境影响分析与评价</w:t>
      </w:r>
      <w:bookmarkEnd w:id="86"/>
    </w:p>
    <w:p w14:paraId="3C44192E">
      <w:pPr>
        <w:numPr>
          <w:ilvl w:val="0"/>
          <w:numId w:val="0"/>
        </w:numPr>
        <w:bidi w:val="0"/>
        <w:spacing w:line="360" w:lineRule="auto"/>
        <w:ind w:firstLine="480" w:firstLineChars="200"/>
        <w:jc w:val="both"/>
        <w:rPr>
          <w:rFonts w:hint="eastAsia"/>
          <w:lang w:val="en-US" w:eastAsia="zh-CN"/>
        </w:rPr>
      </w:pPr>
      <w:r>
        <w:rPr>
          <w:rFonts w:hint="eastAsia" w:cs="Times New Roman"/>
          <w:color w:val="auto"/>
          <w:lang w:val="en-US" w:eastAsia="zh-CN"/>
        </w:rPr>
        <w:t>本次技改项目主要是在电池车间1和电池车间2之间建设廊道，用于两个车间材料、产品的运输；同时在同期拟建“高效太阳能电池片213升级改造项目”和“高效太阳能电池片MAX改造项目”完成的基础上对电池车间1</w:t>
      </w:r>
      <w:r>
        <w:rPr>
          <w:rFonts w:hint="eastAsia" w:cs="Times New Roman"/>
          <w:color w:val="auto"/>
        </w:rPr>
        <w:t>电池片生产线</w:t>
      </w:r>
      <w:r>
        <w:rPr>
          <w:rFonts w:hint="eastAsia" w:cs="Times New Roman"/>
          <w:color w:val="auto"/>
          <w:lang w:val="en-US" w:eastAsia="zh-CN"/>
        </w:rPr>
        <w:t>进行改造</w:t>
      </w:r>
      <w:r>
        <w:rPr>
          <w:rFonts w:hint="eastAsia" w:cs="Times New Roman"/>
          <w:color w:val="auto"/>
        </w:rPr>
        <w:t>，</w:t>
      </w:r>
      <w:r>
        <w:rPr>
          <w:rFonts w:hint="eastAsia" w:cs="Times New Roman"/>
          <w:color w:val="auto"/>
          <w:lang w:val="en-US" w:eastAsia="zh-CN"/>
        </w:rPr>
        <w:t>改造现有丝网印刷、烧结设备</w:t>
      </w:r>
      <w:r>
        <w:rPr>
          <w:rFonts w:hint="eastAsia" w:cs="Times New Roman"/>
          <w:color w:val="auto"/>
        </w:rPr>
        <w:t>，新增</w:t>
      </w:r>
      <w:r>
        <w:rPr>
          <w:rFonts w:hint="eastAsia" w:cs="Times New Roman"/>
          <w:color w:val="auto"/>
          <w:lang w:val="en-US" w:eastAsia="zh-CN"/>
        </w:rPr>
        <w:t>ME（激光开模）、AC（银包铜印刷、固化）、激光划片、四分片钝化工艺，同时为四分片钝化配套铝舟及周托清洗设备</w:t>
      </w:r>
      <w:r>
        <w:rPr>
          <w:rFonts w:hint="eastAsia" w:cs="Times New Roman"/>
          <w:color w:val="auto"/>
          <w:lang w:eastAsia="zh-CN"/>
        </w:rPr>
        <w:t>。</w:t>
      </w:r>
      <w:r>
        <w:rPr>
          <w:rFonts w:hint="eastAsia"/>
          <w:lang w:val="en-US" w:eastAsia="zh-CN"/>
        </w:rPr>
        <w:t>施工期主要是设备的拆除以及安装并</w:t>
      </w:r>
      <w:r>
        <w:rPr>
          <w:rFonts w:hint="eastAsia" w:cs="Times New Roman"/>
          <w:color w:val="auto"/>
          <w:lang w:val="en-US" w:eastAsia="zh-CN"/>
        </w:rPr>
        <w:t>在电池车间1和电池车间2之间建设廊道</w:t>
      </w:r>
      <w:r>
        <w:rPr>
          <w:rFonts w:hint="eastAsia"/>
          <w:lang w:val="en-US" w:eastAsia="zh-CN"/>
        </w:rPr>
        <w:t>。</w:t>
      </w:r>
    </w:p>
    <w:p w14:paraId="13926436">
      <w:pPr>
        <w:numPr>
          <w:ilvl w:val="0"/>
          <w:numId w:val="0"/>
        </w:numPr>
        <w:bidi w:val="0"/>
        <w:spacing w:line="360" w:lineRule="auto"/>
        <w:jc w:val="both"/>
        <w:rPr>
          <w:rFonts w:hint="eastAsia"/>
          <w:b/>
          <w:bCs/>
          <w:lang w:val="en-US" w:eastAsia="zh-CN"/>
        </w:rPr>
      </w:pPr>
      <w:r>
        <w:rPr>
          <w:rFonts w:hint="eastAsia"/>
          <w:b/>
          <w:bCs/>
          <w:lang w:val="en-US" w:eastAsia="zh-CN"/>
        </w:rPr>
        <w:t>6.1.1 施工期扬尘污染防治措施</w:t>
      </w:r>
    </w:p>
    <w:p w14:paraId="6E564F9C">
      <w:pPr>
        <w:numPr>
          <w:ilvl w:val="0"/>
          <w:numId w:val="0"/>
        </w:numPr>
        <w:bidi w:val="0"/>
        <w:spacing w:line="360" w:lineRule="auto"/>
        <w:ind w:firstLine="480" w:firstLineChars="200"/>
        <w:jc w:val="both"/>
        <w:rPr>
          <w:rFonts w:hint="eastAsia"/>
          <w:lang w:val="en-US" w:eastAsia="zh-CN"/>
        </w:rPr>
      </w:pPr>
      <w:r>
        <w:rPr>
          <w:rFonts w:hint="eastAsia"/>
          <w:lang w:val="en-US" w:eastAsia="zh-CN"/>
        </w:rPr>
        <w:t>项目施工应严格按照《安徽省建筑工程施工扬尘污染防治规定》、《安徽省建筑工程工程施工和预拌混凝土生产扬尘污染防治标准（试行）》对施工扬尘进行防治。施工单位应当按照工地扬尘污染防治方案的要求，在施工期现场出入口公示扬尘污染控制措施、负责人、环保监督员、扬尘监管主管部门等有关信息，接受社会监督，严格按照“六个百分百”的要求做好污染防治措施，即施工工地周边100%围挡、物料堆放100%覆盖、出入车辆100%冲洗、施工现场地面100%硬化、土方开挖100%湿法作业、渣土车辆100%密闭运输。施工场地颗粒物排放执行安徽省地方标准《施工场地颗粒物排放标准》（DB34/4811-2024）表1监测点颗粒物排放要求。施工期应做好以下几点：</w:t>
      </w:r>
    </w:p>
    <w:p w14:paraId="17E049F3">
      <w:pPr>
        <w:numPr>
          <w:ilvl w:val="0"/>
          <w:numId w:val="0"/>
        </w:numPr>
        <w:bidi w:val="0"/>
        <w:spacing w:line="360" w:lineRule="auto"/>
        <w:ind w:firstLine="480" w:firstLineChars="200"/>
        <w:jc w:val="both"/>
        <w:rPr>
          <w:rFonts w:hint="eastAsia"/>
          <w:lang w:val="en-US" w:eastAsia="zh-CN"/>
        </w:rPr>
      </w:pPr>
      <w:r>
        <w:rPr>
          <w:rFonts w:hint="eastAsia"/>
          <w:lang w:val="en-US" w:eastAsia="zh-CN"/>
        </w:rPr>
        <w:t>①施工期间其边界应设置不低于2.5米高的围挡，出入口位置配备车辆冲洗设施，完善排水设施，防止泥土粘带，洗车作业地面和连接进出口的道路必须硬化，控制出口车辆泥印在10m内，可有效抑制施工扬尘的影响。易产生扬尘的机械尽量设置在远离周边环境敏感点的地方。</w:t>
      </w:r>
    </w:p>
    <w:p w14:paraId="2A56BF86">
      <w:pPr>
        <w:numPr>
          <w:ilvl w:val="0"/>
          <w:numId w:val="0"/>
        </w:numPr>
        <w:bidi w:val="0"/>
        <w:spacing w:line="360" w:lineRule="auto"/>
        <w:ind w:firstLine="480" w:firstLineChars="200"/>
        <w:jc w:val="both"/>
        <w:rPr>
          <w:rFonts w:hint="eastAsia"/>
          <w:lang w:val="en-US" w:eastAsia="zh-CN"/>
        </w:rPr>
      </w:pPr>
      <w:r>
        <w:rPr>
          <w:rFonts w:hint="eastAsia"/>
          <w:lang w:val="en-US" w:eastAsia="zh-CN"/>
        </w:rPr>
        <w:t>②对于超过2天以上的渣土堆、裸地应使用防尘布覆盖或喷涂凝固剂等方式防尘，所有粉料建材必须覆盖或使用料仓封闭存放，施工现场采取洒水、覆盖、铺装、绿化等降尘措施。</w:t>
      </w:r>
    </w:p>
    <w:p w14:paraId="15B61F3C">
      <w:pPr>
        <w:numPr>
          <w:ilvl w:val="0"/>
          <w:numId w:val="0"/>
        </w:numPr>
        <w:bidi w:val="0"/>
        <w:spacing w:line="360" w:lineRule="auto"/>
        <w:ind w:firstLine="480" w:firstLineChars="200"/>
        <w:jc w:val="both"/>
        <w:rPr>
          <w:rFonts w:hint="eastAsia"/>
          <w:lang w:val="en-US" w:eastAsia="zh-CN"/>
        </w:rPr>
      </w:pPr>
      <w:r>
        <w:rPr>
          <w:rFonts w:hint="eastAsia"/>
          <w:lang w:val="en-US" w:eastAsia="zh-CN"/>
        </w:rPr>
        <w:t>③选用符合国家有关卫生标准的施工机械和运输工具，使其排放的废气达到有关标准，保持车身清洁，防止运输过程中泥土脱落。</w:t>
      </w:r>
    </w:p>
    <w:p w14:paraId="43CA76F3">
      <w:pPr>
        <w:numPr>
          <w:ilvl w:val="0"/>
          <w:numId w:val="0"/>
        </w:numPr>
        <w:bidi w:val="0"/>
        <w:spacing w:line="360" w:lineRule="auto"/>
        <w:ind w:firstLine="480" w:firstLineChars="200"/>
        <w:jc w:val="both"/>
        <w:rPr>
          <w:rFonts w:hint="eastAsia"/>
          <w:lang w:val="en-US" w:eastAsia="zh-CN"/>
        </w:rPr>
      </w:pPr>
      <w:r>
        <w:rPr>
          <w:rFonts w:hint="eastAsia"/>
          <w:lang w:val="en-US" w:eastAsia="zh-CN"/>
        </w:rPr>
        <w:t>④为减少渣土和污泥的运输扬尘对环境的污染，渣土和污泥必须实行封闭运输，运输车辆应具备封闭式加盖装置，按制定路线行驶；调运渣土和污泥的车辆必须将车辆清洗干净，严禁夹带泥沙。在运输路线选取上，应选择沿线敏感点少的路段，尽可能不要从居民点经过。施工现场建筑材料实行集中、分类堆放。建筑垃圾采取封闭方式清运。易产生扬尘的建筑材料采取封闭运输，如水泥运输。</w:t>
      </w:r>
    </w:p>
    <w:p w14:paraId="532C6B45">
      <w:pPr>
        <w:numPr>
          <w:ilvl w:val="0"/>
          <w:numId w:val="0"/>
        </w:numPr>
        <w:bidi w:val="0"/>
        <w:spacing w:line="360" w:lineRule="auto"/>
        <w:ind w:firstLine="480" w:firstLineChars="200"/>
        <w:jc w:val="both"/>
        <w:rPr>
          <w:rFonts w:hint="eastAsia"/>
          <w:lang w:val="en-US" w:eastAsia="zh-CN"/>
        </w:rPr>
      </w:pPr>
      <w:r>
        <w:rPr>
          <w:rFonts w:hint="eastAsia"/>
          <w:lang w:val="en-US" w:eastAsia="zh-CN"/>
        </w:rPr>
        <w:t>⑤施工现场禁止焚烧沥青、油毡、橡胶、垃圾等易产生有毒有害烟尘和恶臭气体的物质。</w:t>
      </w:r>
    </w:p>
    <w:p w14:paraId="71051019">
      <w:pPr>
        <w:numPr>
          <w:ilvl w:val="0"/>
          <w:numId w:val="0"/>
        </w:numPr>
        <w:bidi w:val="0"/>
        <w:spacing w:line="360" w:lineRule="auto"/>
        <w:ind w:firstLine="480" w:firstLineChars="200"/>
        <w:jc w:val="both"/>
        <w:rPr>
          <w:rFonts w:hint="eastAsia"/>
          <w:lang w:val="en-US" w:eastAsia="zh-CN"/>
        </w:rPr>
      </w:pPr>
      <w:r>
        <w:rPr>
          <w:rFonts w:hint="eastAsia"/>
          <w:lang w:val="en-US" w:eastAsia="zh-CN"/>
        </w:rPr>
        <w:t>⑥合理安排施工，尽量缩短建设工期，防止施工扬尘对周围的环境影响，项目施工完成后，应尽快完成渣土清理和绿化、硬化防尘工作。</w:t>
      </w:r>
    </w:p>
    <w:p w14:paraId="662C4F67">
      <w:pPr>
        <w:numPr>
          <w:ilvl w:val="0"/>
          <w:numId w:val="0"/>
        </w:numPr>
        <w:bidi w:val="0"/>
        <w:spacing w:line="360" w:lineRule="auto"/>
        <w:ind w:firstLine="480" w:firstLineChars="200"/>
        <w:jc w:val="both"/>
        <w:rPr>
          <w:rFonts w:hint="eastAsia"/>
          <w:lang w:val="en-US" w:eastAsia="zh-CN"/>
        </w:rPr>
      </w:pPr>
      <w:r>
        <w:rPr>
          <w:rFonts w:hint="eastAsia"/>
          <w:lang w:val="en-US" w:eastAsia="zh-CN"/>
        </w:rPr>
        <w:t>⑦加强环境管理，不断提高施工人员的环保意识和法制观念。</w:t>
      </w:r>
    </w:p>
    <w:p w14:paraId="4A0EB095">
      <w:pPr>
        <w:numPr>
          <w:ilvl w:val="0"/>
          <w:numId w:val="0"/>
        </w:numPr>
        <w:bidi w:val="0"/>
        <w:spacing w:line="360" w:lineRule="auto"/>
        <w:jc w:val="both"/>
        <w:rPr>
          <w:rFonts w:hint="eastAsia"/>
          <w:b/>
          <w:bCs/>
          <w:lang w:val="en-US" w:eastAsia="zh-CN"/>
        </w:rPr>
      </w:pPr>
      <w:r>
        <w:rPr>
          <w:rFonts w:hint="eastAsia"/>
          <w:b/>
          <w:bCs/>
          <w:lang w:val="en-US" w:eastAsia="zh-CN"/>
        </w:rPr>
        <w:t>6.1.2 施工期废水污染防治措施</w:t>
      </w:r>
    </w:p>
    <w:p w14:paraId="1D52084F">
      <w:pPr>
        <w:numPr>
          <w:ilvl w:val="0"/>
          <w:numId w:val="0"/>
        </w:numPr>
        <w:bidi w:val="0"/>
        <w:spacing w:line="360" w:lineRule="auto"/>
        <w:ind w:firstLine="480" w:firstLineChars="200"/>
        <w:jc w:val="both"/>
        <w:rPr>
          <w:rFonts w:hint="eastAsia"/>
          <w:lang w:val="en-US" w:eastAsia="zh-CN"/>
        </w:rPr>
      </w:pPr>
      <w:r>
        <w:rPr>
          <w:rFonts w:hint="eastAsia"/>
          <w:lang w:val="en-US" w:eastAsia="zh-CN"/>
        </w:rPr>
        <w:t>合理安排施工工序，并预先做好施工场地排水工作，保证排水系统畅通。施工单位应备有防雨薄膜，遇上暴雨，用于遮盖临时土方堆场，减少雨水冲刷。填方应及时采取碾压工程措施，减少雨水冲刷泥土的流失量。实行雨污分流，在施工时，设置临时废水沉淀池一座，施工中含有泥浆的废水经沉淀后回用，补充施工用水或处理达标后排放修建挡土墙、设临时排水沟渠，注重节约用水，减少水土流失产生量。在采取上述措施后，该项目废水对周边水体不会造成明显影响。</w:t>
      </w:r>
    </w:p>
    <w:p w14:paraId="17B38427">
      <w:pPr>
        <w:numPr>
          <w:ilvl w:val="0"/>
          <w:numId w:val="0"/>
        </w:numPr>
        <w:bidi w:val="0"/>
        <w:spacing w:line="360" w:lineRule="auto"/>
        <w:jc w:val="both"/>
        <w:rPr>
          <w:rFonts w:hint="eastAsia"/>
          <w:b/>
          <w:bCs/>
          <w:lang w:val="en-US" w:eastAsia="zh-CN"/>
        </w:rPr>
      </w:pPr>
      <w:r>
        <w:rPr>
          <w:rFonts w:hint="eastAsia"/>
          <w:b/>
          <w:bCs/>
          <w:lang w:val="en-US" w:eastAsia="zh-CN"/>
        </w:rPr>
        <w:t>6.1.3 施工期噪声污染防治措施</w:t>
      </w:r>
    </w:p>
    <w:p w14:paraId="5B996B28">
      <w:pPr>
        <w:numPr>
          <w:ilvl w:val="0"/>
          <w:numId w:val="0"/>
        </w:numPr>
        <w:bidi w:val="0"/>
        <w:spacing w:line="360" w:lineRule="auto"/>
        <w:ind w:firstLine="480" w:firstLineChars="200"/>
        <w:jc w:val="both"/>
        <w:rPr>
          <w:rFonts w:hint="eastAsia"/>
          <w:lang w:val="en-US" w:eastAsia="zh-CN"/>
        </w:rPr>
      </w:pPr>
      <w:r>
        <w:rPr>
          <w:rFonts w:hint="eastAsia"/>
          <w:lang w:val="en-US" w:eastAsia="zh-CN"/>
        </w:rPr>
        <w:t>施工期噪声影响主要来自施工机械和运输车辆所产生的噪声，其噪声源强在85~100dB（A）。建筑场界噪声控制应严格按照《建筑施工噪声排放标准》(GB12523-2025)要求执行。建设单位拟采取建筑施工选用低噪声设备，加强设备的维护管理，增加消声、减噪装置等使源强低于80dB（A）。</w:t>
      </w:r>
    </w:p>
    <w:p w14:paraId="1883817C">
      <w:pPr>
        <w:numPr>
          <w:ilvl w:val="0"/>
          <w:numId w:val="0"/>
        </w:numPr>
        <w:bidi w:val="0"/>
        <w:spacing w:line="360" w:lineRule="auto"/>
        <w:jc w:val="both"/>
        <w:rPr>
          <w:rFonts w:hint="eastAsia"/>
          <w:b/>
          <w:bCs/>
          <w:lang w:val="en-US" w:eastAsia="zh-CN"/>
        </w:rPr>
      </w:pPr>
      <w:r>
        <w:rPr>
          <w:rFonts w:hint="eastAsia"/>
          <w:b/>
          <w:bCs/>
          <w:lang w:val="en-US" w:eastAsia="zh-CN"/>
        </w:rPr>
        <w:t>6.1.4 施工期固体废物污染防治措施</w:t>
      </w:r>
    </w:p>
    <w:p w14:paraId="669EF3B6">
      <w:pPr>
        <w:numPr>
          <w:ilvl w:val="0"/>
          <w:numId w:val="0"/>
        </w:numPr>
        <w:bidi w:val="0"/>
        <w:spacing w:line="360" w:lineRule="auto"/>
        <w:ind w:firstLine="480" w:firstLineChars="200"/>
        <w:jc w:val="both"/>
        <w:rPr>
          <w:rFonts w:hint="eastAsia"/>
          <w:lang w:val="en-US" w:eastAsia="zh-CN"/>
        </w:rPr>
      </w:pPr>
      <w:r>
        <w:rPr>
          <w:rFonts w:hint="eastAsia"/>
          <w:lang w:val="en-US" w:eastAsia="zh-CN"/>
        </w:rPr>
        <w:t>施工产生的固体废物主要有施工人员的生活垃圾、废建材、撒落的砂石料等。施工过程中建筑垃圾要及时清运、加以利用，防止其因长期堆放而产生扬尘。所产生的生活垃圾如不及时清运处理，则会腐烂变质、滋生蚊虫苍蝇，产生恶臭，传染疾病，从而对周围环境和作业人员的健康带来不利影响。因此对于施工中的固体废弃物应集中堆放及时清理，外运到环卫部门指定地点，防止露天长期堆放可能产生的二次污染。</w:t>
      </w:r>
    </w:p>
    <w:p w14:paraId="70E1EB34">
      <w:pPr>
        <w:numPr>
          <w:ilvl w:val="0"/>
          <w:numId w:val="0"/>
        </w:numPr>
        <w:bidi w:val="0"/>
        <w:spacing w:line="360" w:lineRule="auto"/>
        <w:jc w:val="both"/>
        <w:rPr>
          <w:rFonts w:hint="eastAsia"/>
          <w:b/>
          <w:bCs/>
          <w:lang w:val="en-US" w:eastAsia="zh-CN"/>
        </w:rPr>
      </w:pPr>
      <w:r>
        <w:rPr>
          <w:rFonts w:hint="eastAsia"/>
          <w:b/>
          <w:bCs/>
          <w:lang w:val="en-US" w:eastAsia="zh-CN"/>
        </w:rPr>
        <w:t>6.1.5 施工期生态污染防治措施</w:t>
      </w:r>
    </w:p>
    <w:p w14:paraId="21B087FA">
      <w:pPr>
        <w:numPr>
          <w:ilvl w:val="0"/>
          <w:numId w:val="0"/>
        </w:numPr>
        <w:bidi w:val="0"/>
        <w:spacing w:line="360" w:lineRule="auto"/>
        <w:ind w:firstLine="480" w:firstLineChars="200"/>
        <w:jc w:val="both"/>
        <w:rPr>
          <w:rFonts w:hint="eastAsia"/>
          <w:lang w:val="en-US" w:eastAsia="zh-CN"/>
        </w:rPr>
        <w:sectPr>
          <w:footerReference r:id="rId7" w:type="default"/>
          <w:pgSz w:w="11905" w:h="16838"/>
          <w:pgMar w:top="1417" w:right="1134" w:bottom="1134" w:left="1417" w:header="851" w:footer="992" w:gutter="0"/>
          <w:pgNumType w:fmt="decimal"/>
          <w:cols w:space="0" w:num="1"/>
          <w:rtlGutter w:val="0"/>
          <w:docGrid w:type="lines" w:linePitch="346" w:charSpace="0"/>
        </w:sectPr>
      </w:pPr>
      <w:r>
        <w:rPr>
          <w:rFonts w:hint="eastAsia"/>
          <w:lang w:val="en-US" w:eastAsia="zh-CN"/>
        </w:rPr>
        <w:t>本次技改项目依托厂区现有已建厂房进行改造建设，不新增用地、不破坏地表植被、不扰动原有地形地貌，施工期生态影响极小。施工完成后，及时清理作业现场，恢复厂房内部及周边场地原貌；对施工临时占用、轻微扰动的区域进行清理修整，保持厂区绿化及生态现状不发生改变。</w:t>
      </w:r>
    </w:p>
    <w:p w14:paraId="1C285C5D">
      <w:pPr>
        <w:pStyle w:val="2"/>
        <w:bidi w:val="0"/>
        <w:rPr>
          <w:rFonts w:hint="eastAsia"/>
          <w:lang w:val="en-US" w:eastAsia="zh-CN"/>
        </w:rPr>
      </w:pPr>
      <w:bookmarkStart w:id="87" w:name="_Toc20297"/>
      <w:bookmarkStart w:id="88" w:name="_Toc2609"/>
      <w:r>
        <w:rPr>
          <w:rFonts w:hint="eastAsia"/>
          <w:lang w:val="en-US" w:eastAsia="zh-CN"/>
        </w:rPr>
        <w:t>6.2 营运期生态环境影响预测与评价</w:t>
      </w:r>
      <w:bookmarkEnd w:id="87"/>
      <w:bookmarkEnd w:id="88"/>
    </w:p>
    <w:p w14:paraId="224917E9">
      <w:pPr>
        <w:numPr>
          <w:ilvl w:val="0"/>
          <w:numId w:val="0"/>
        </w:numPr>
        <w:bidi w:val="0"/>
        <w:spacing w:line="360" w:lineRule="auto"/>
        <w:jc w:val="both"/>
        <w:rPr>
          <w:rFonts w:hint="eastAsia"/>
          <w:b/>
          <w:bCs/>
          <w:lang w:val="en-US" w:eastAsia="zh-CN"/>
        </w:rPr>
      </w:pPr>
      <w:r>
        <w:rPr>
          <w:rFonts w:hint="eastAsia"/>
          <w:b/>
          <w:bCs/>
          <w:lang w:val="en-US" w:eastAsia="zh-CN"/>
        </w:rPr>
        <w:t>6.2.1大气环境影响预测与评价</w:t>
      </w:r>
    </w:p>
    <w:p w14:paraId="2EEB6DD8">
      <w:pPr>
        <w:numPr>
          <w:ilvl w:val="0"/>
          <w:numId w:val="0"/>
        </w:numPr>
        <w:bidi w:val="0"/>
        <w:spacing w:line="360" w:lineRule="auto"/>
        <w:jc w:val="both"/>
        <w:rPr>
          <w:rFonts w:hint="eastAsia"/>
          <w:b/>
          <w:bCs/>
          <w:lang w:val="en-US" w:eastAsia="zh-CN"/>
        </w:rPr>
      </w:pPr>
      <w:bookmarkStart w:id="89" w:name="_Toc458784915"/>
      <w:r>
        <w:rPr>
          <w:rFonts w:hint="eastAsia"/>
          <w:b/>
          <w:bCs/>
          <w:lang w:val="en-US" w:eastAsia="zh-CN"/>
        </w:rPr>
        <w:t xml:space="preserve">6.2.1.1 </w:t>
      </w:r>
      <w:bookmarkEnd w:id="89"/>
      <w:r>
        <w:rPr>
          <w:rFonts w:hint="eastAsia"/>
          <w:b/>
          <w:bCs/>
          <w:lang w:val="en-US" w:eastAsia="zh-CN"/>
        </w:rPr>
        <w:t>气象资料统计</w:t>
      </w:r>
    </w:p>
    <w:p w14:paraId="72DD197B">
      <w:pPr>
        <w:keepNext w:val="0"/>
        <w:keepLines w:val="0"/>
        <w:widowControl/>
        <w:suppressLineNumbers w:val="0"/>
        <w:ind w:firstLine="480" w:firstLineChars="200"/>
        <w:jc w:val="left"/>
        <w:rPr>
          <w:rFonts w:hint="eastAsia"/>
          <w:color w:val="auto"/>
        </w:rPr>
      </w:pPr>
      <w:r>
        <w:rPr>
          <w:rFonts w:hint="eastAsia" w:ascii="宋体" w:hAnsi="宋体" w:eastAsia="宋体" w:cs="宋体"/>
          <w:color w:val="000000"/>
          <w:kern w:val="0"/>
          <w:sz w:val="24"/>
          <w:szCs w:val="24"/>
          <w:lang w:val="en-US" w:eastAsia="zh-CN" w:bidi="ar"/>
        </w:rPr>
        <w:t>大气环境影响评价的气象数据采用的是</w:t>
      </w:r>
      <w:r>
        <w:rPr>
          <w:rFonts w:hint="eastAsia"/>
          <w:color w:val="auto"/>
          <w:lang w:val="en-US" w:eastAsia="zh-CN"/>
        </w:rPr>
        <w:t>肥东</w:t>
      </w:r>
      <w:r>
        <w:rPr>
          <w:rFonts w:hint="eastAsia"/>
          <w:color w:val="auto"/>
        </w:rPr>
        <w:t>气象站</w:t>
      </w:r>
      <w:r>
        <w:rPr>
          <w:rFonts w:hint="eastAsia"/>
          <w:color w:val="auto"/>
          <w:lang w:eastAsia="zh-CN"/>
        </w:rPr>
        <w:t>（</w:t>
      </w:r>
      <w:r>
        <w:rPr>
          <w:rFonts w:hint="eastAsia"/>
          <w:color w:val="auto"/>
        </w:rPr>
        <w:t>58</w:t>
      </w:r>
      <w:r>
        <w:rPr>
          <w:rFonts w:hint="eastAsia"/>
          <w:color w:val="auto"/>
          <w:lang w:val="en-US" w:eastAsia="zh-CN"/>
        </w:rPr>
        <w:t>323</w:t>
      </w:r>
      <w:r>
        <w:rPr>
          <w:rFonts w:hint="eastAsia"/>
          <w:color w:val="auto"/>
          <w:lang w:eastAsia="zh-CN"/>
        </w:rPr>
        <w:t>）</w:t>
      </w:r>
      <w:r>
        <w:rPr>
          <w:rFonts w:hint="eastAsia"/>
          <w:color w:val="auto"/>
        </w:rPr>
        <w:t>近二十年</w:t>
      </w:r>
      <w:r>
        <w:rPr>
          <w:rFonts w:hint="eastAsia"/>
          <w:color w:val="auto"/>
          <w:lang w:eastAsia="zh-CN"/>
        </w:rPr>
        <w:t>（</w:t>
      </w:r>
      <w:r>
        <w:rPr>
          <w:rFonts w:hint="eastAsia"/>
          <w:color w:val="auto"/>
        </w:rPr>
        <w:t>200</w:t>
      </w:r>
      <w:r>
        <w:rPr>
          <w:rFonts w:hint="eastAsia"/>
          <w:color w:val="auto"/>
          <w:lang w:val="en-US" w:eastAsia="zh-CN"/>
        </w:rPr>
        <w:t>5</w:t>
      </w:r>
      <w:r>
        <w:rPr>
          <w:rFonts w:hint="eastAsia"/>
          <w:color w:val="auto"/>
        </w:rPr>
        <w:t>-202</w:t>
      </w:r>
      <w:r>
        <w:rPr>
          <w:rFonts w:hint="eastAsia"/>
          <w:color w:val="auto"/>
          <w:lang w:val="en-US" w:eastAsia="zh-CN"/>
        </w:rPr>
        <w:t>4</w:t>
      </w:r>
      <w:r>
        <w:rPr>
          <w:rFonts w:hint="eastAsia"/>
          <w:color w:val="auto"/>
          <w:lang w:eastAsia="zh-CN"/>
        </w:rPr>
        <w:t>）</w:t>
      </w:r>
      <w:r>
        <w:rPr>
          <w:rFonts w:hint="eastAsia"/>
          <w:color w:val="auto"/>
        </w:rPr>
        <w:t>的气象资料统计，分析本地区污染气象。</w:t>
      </w:r>
      <w:r>
        <w:rPr>
          <w:rFonts w:hint="eastAsia"/>
          <w:color w:val="auto"/>
          <w:lang w:val="en-US" w:eastAsia="zh-CN"/>
        </w:rPr>
        <w:t>肥东</w:t>
      </w:r>
      <w:r>
        <w:rPr>
          <w:rFonts w:hint="eastAsia"/>
          <w:color w:val="auto"/>
        </w:rPr>
        <w:t>气象站经度为</w:t>
      </w:r>
      <w:r>
        <w:rPr>
          <w:rFonts w:hint="eastAsia"/>
          <w:color w:val="auto"/>
          <w:lang w:val="en-US" w:eastAsia="zh-CN"/>
        </w:rPr>
        <w:t>117.4556</w:t>
      </w:r>
      <w:r>
        <w:rPr>
          <w:rFonts w:hint="eastAsia"/>
          <w:color w:val="auto"/>
        </w:rPr>
        <w:t>，纬度为</w:t>
      </w:r>
      <w:r>
        <w:rPr>
          <w:rFonts w:hint="eastAsia"/>
          <w:color w:val="auto"/>
          <w:lang w:val="en-US" w:eastAsia="zh-CN"/>
        </w:rPr>
        <w:t>31.8567</w:t>
      </w:r>
      <w:r>
        <w:rPr>
          <w:rFonts w:hint="eastAsia"/>
          <w:color w:val="auto"/>
        </w:rPr>
        <w:t>，海拔</w:t>
      </w:r>
      <w:r>
        <w:rPr>
          <w:rFonts w:hint="eastAsia"/>
          <w:color w:val="auto"/>
          <w:lang w:val="en-US" w:eastAsia="zh-CN"/>
        </w:rPr>
        <w:t>高度</w:t>
      </w:r>
      <w:r>
        <w:rPr>
          <w:rFonts w:hint="eastAsia"/>
          <w:color w:val="auto"/>
        </w:rPr>
        <w:t>为</w:t>
      </w:r>
      <w:r>
        <w:rPr>
          <w:rFonts w:hint="eastAsia"/>
          <w:color w:val="auto"/>
          <w:lang w:val="en-US" w:eastAsia="zh-CN"/>
        </w:rPr>
        <w:t>18</w:t>
      </w:r>
      <w:r>
        <w:rPr>
          <w:rFonts w:hint="eastAsia"/>
          <w:color w:val="auto"/>
        </w:rPr>
        <w:t>m，</w:t>
      </w:r>
      <w:r>
        <w:rPr>
          <w:rFonts w:hint="eastAsia"/>
          <w:color w:val="auto"/>
          <w:lang w:val="en-US" w:eastAsia="zh-CN"/>
        </w:rPr>
        <w:t>肥东</w:t>
      </w:r>
      <w:r>
        <w:rPr>
          <w:rFonts w:hint="eastAsia"/>
          <w:color w:val="auto"/>
        </w:rPr>
        <w:t>气象站距离本项目约1</w:t>
      </w:r>
      <w:r>
        <w:rPr>
          <w:rFonts w:hint="eastAsia"/>
          <w:color w:val="auto"/>
          <w:lang w:val="en-US" w:eastAsia="zh-CN"/>
        </w:rPr>
        <w:t>1.7</w:t>
      </w:r>
      <w:r>
        <w:rPr>
          <w:rFonts w:hint="eastAsia"/>
          <w:color w:val="auto"/>
        </w:rPr>
        <w:t>km，小于50km，满足《环境影响评价技术导则 大气导则》（HJ2.2-2018），且与项目区域气象特征基本一致。根据</w:t>
      </w:r>
      <w:r>
        <w:rPr>
          <w:rFonts w:hint="eastAsia"/>
          <w:color w:val="auto"/>
          <w:lang w:val="en-US" w:eastAsia="zh-CN"/>
        </w:rPr>
        <w:t>肥东</w:t>
      </w:r>
      <w:r>
        <w:rPr>
          <w:rFonts w:hint="eastAsia"/>
          <w:color w:val="auto"/>
        </w:rPr>
        <w:t>气象站200</w:t>
      </w:r>
      <w:r>
        <w:rPr>
          <w:rFonts w:hint="eastAsia"/>
          <w:color w:val="auto"/>
          <w:lang w:val="en-US" w:eastAsia="zh-CN"/>
        </w:rPr>
        <w:t>5</w:t>
      </w:r>
      <w:r>
        <w:rPr>
          <w:rFonts w:hint="eastAsia"/>
          <w:color w:val="auto"/>
        </w:rPr>
        <w:t>-202</w:t>
      </w:r>
      <w:r>
        <w:rPr>
          <w:rFonts w:hint="eastAsia"/>
          <w:color w:val="auto"/>
          <w:lang w:val="en-US" w:eastAsia="zh-CN"/>
        </w:rPr>
        <w:t>4</w:t>
      </w:r>
      <w:r>
        <w:rPr>
          <w:rFonts w:hint="eastAsia"/>
          <w:color w:val="auto"/>
        </w:rPr>
        <w:t>年统计资料，区域内的主要气候特征汇总见下表。</w:t>
      </w:r>
    </w:p>
    <w:p w14:paraId="53EBFD39">
      <w:pPr>
        <w:jc w:val="center"/>
        <w:rPr>
          <w:b/>
          <w:bCs/>
          <w:color w:val="auto"/>
        </w:rPr>
      </w:pPr>
      <w:r>
        <w:rPr>
          <w:b/>
          <w:bCs/>
          <w:color w:val="auto"/>
        </w:rPr>
        <w:t>表6.</w:t>
      </w:r>
      <w:r>
        <w:rPr>
          <w:rFonts w:hint="eastAsia"/>
          <w:b/>
          <w:bCs/>
          <w:color w:val="auto"/>
          <w:lang w:val="en-US" w:eastAsia="zh-CN"/>
        </w:rPr>
        <w:t>2</w:t>
      </w:r>
      <w:r>
        <w:rPr>
          <w:b/>
          <w:bCs/>
          <w:color w:val="auto"/>
        </w:rPr>
        <w:t xml:space="preserve">.1-1 </w:t>
      </w:r>
      <w:r>
        <w:rPr>
          <w:rFonts w:hint="eastAsia"/>
          <w:b/>
          <w:bCs/>
          <w:color w:val="auto"/>
          <w:lang w:val="en-US" w:eastAsia="zh-CN"/>
        </w:rPr>
        <w:t>肥东</w:t>
      </w:r>
      <w:r>
        <w:rPr>
          <w:rFonts w:hint="eastAsia"/>
          <w:b/>
          <w:bCs/>
          <w:color w:val="auto"/>
        </w:rPr>
        <w:t>气象站</w:t>
      </w:r>
      <w:r>
        <w:rPr>
          <w:b/>
          <w:bCs/>
          <w:color w:val="auto"/>
        </w:rPr>
        <w:t>常规气象项目统计（200</w:t>
      </w:r>
      <w:r>
        <w:rPr>
          <w:rFonts w:hint="eastAsia"/>
          <w:b/>
          <w:bCs/>
          <w:color w:val="auto"/>
          <w:lang w:val="en-US" w:eastAsia="zh-CN"/>
        </w:rPr>
        <w:t>5</w:t>
      </w:r>
      <w:r>
        <w:rPr>
          <w:b/>
          <w:bCs/>
          <w:color w:val="auto"/>
        </w:rPr>
        <w:t>-202</w:t>
      </w:r>
      <w:r>
        <w:rPr>
          <w:rFonts w:hint="eastAsia"/>
          <w:b/>
          <w:bCs/>
          <w:color w:val="auto"/>
          <w:lang w:val="en-US" w:eastAsia="zh-CN"/>
        </w:rPr>
        <w:t>4</w:t>
      </w:r>
      <w:r>
        <w:rPr>
          <w:b/>
          <w:bCs/>
          <w:color w:val="auto"/>
        </w:rPr>
        <w:t>）</w:t>
      </w:r>
    </w:p>
    <w:tbl>
      <w:tblPr>
        <w:tblStyle w:val="25"/>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367"/>
        <w:gridCol w:w="2976"/>
        <w:gridCol w:w="1528"/>
        <w:gridCol w:w="1965"/>
        <w:gridCol w:w="1524"/>
      </w:tblGrid>
      <w:tr w14:paraId="4031BE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4134" w:type="dxa"/>
            <w:gridSpan w:val="2"/>
            <w:vAlign w:val="center"/>
          </w:tcPr>
          <w:p w14:paraId="1F98FCB5">
            <w:pPr>
              <w:widowControl w:val="0"/>
              <w:bidi w:val="0"/>
              <w:spacing w:line="240" w:lineRule="auto"/>
              <w:jc w:val="center"/>
              <w:rPr>
                <w:b/>
                <w:bCs/>
                <w:sz w:val="21"/>
                <w:szCs w:val="21"/>
              </w:rPr>
            </w:pPr>
            <w:r>
              <w:rPr>
                <w:b/>
                <w:bCs/>
                <w:sz w:val="21"/>
                <w:szCs w:val="21"/>
              </w:rPr>
              <w:t>统计项目</w:t>
            </w:r>
          </w:p>
        </w:tc>
        <w:tc>
          <w:tcPr>
            <w:tcW w:w="1455" w:type="dxa"/>
            <w:vAlign w:val="center"/>
          </w:tcPr>
          <w:p w14:paraId="1B6E0D71">
            <w:pPr>
              <w:widowControl w:val="0"/>
              <w:bidi w:val="0"/>
              <w:spacing w:line="240" w:lineRule="auto"/>
              <w:jc w:val="center"/>
              <w:rPr>
                <w:b/>
                <w:bCs/>
                <w:sz w:val="21"/>
                <w:szCs w:val="21"/>
              </w:rPr>
            </w:pPr>
            <w:r>
              <w:rPr>
                <w:b/>
                <w:bCs/>
                <w:sz w:val="21"/>
                <w:szCs w:val="21"/>
              </w:rPr>
              <w:t>*统计值</w:t>
            </w:r>
          </w:p>
        </w:tc>
        <w:tc>
          <w:tcPr>
            <w:tcW w:w="1871" w:type="dxa"/>
            <w:vAlign w:val="center"/>
          </w:tcPr>
          <w:p w14:paraId="2C008AB3">
            <w:pPr>
              <w:widowControl w:val="0"/>
              <w:bidi w:val="0"/>
              <w:spacing w:line="240" w:lineRule="auto"/>
              <w:jc w:val="center"/>
              <w:rPr>
                <w:b/>
                <w:bCs/>
                <w:sz w:val="21"/>
                <w:szCs w:val="21"/>
              </w:rPr>
            </w:pPr>
            <w:r>
              <w:rPr>
                <w:b/>
                <w:bCs/>
                <w:sz w:val="21"/>
                <w:szCs w:val="21"/>
              </w:rPr>
              <w:t>极值出现时间</w:t>
            </w:r>
          </w:p>
        </w:tc>
        <w:tc>
          <w:tcPr>
            <w:tcW w:w="1450" w:type="dxa"/>
            <w:vAlign w:val="center"/>
          </w:tcPr>
          <w:p w14:paraId="484FD60A">
            <w:pPr>
              <w:widowControl w:val="0"/>
              <w:bidi w:val="0"/>
              <w:spacing w:line="240" w:lineRule="auto"/>
              <w:jc w:val="center"/>
              <w:rPr>
                <w:b/>
                <w:bCs/>
                <w:sz w:val="21"/>
                <w:szCs w:val="21"/>
              </w:rPr>
            </w:pPr>
            <w:r>
              <w:rPr>
                <w:b/>
                <w:bCs/>
                <w:sz w:val="21"/>
                <w:szCs w:val="21"/>
              </w:rPr>
              <w:t>**极值</w:t>
            </w:r>
          </w:p>
        </w:tc>
      </w:tr>
      <w:tr w14:paraId="7C3094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4134" w:type="dxa"/>
            <w:gridSpan w:val="2"/>
            <w:vAlign w:val="center"/>
          </w:tcPr>
          <w:p w14:paraId="33368542">
            <w:pPr>
              <w:widowControl w:val="0"/>
              <w:bidi w:val="0"/>
              <w:spacing w:line="240" w:lineRule="auto"/>
              <w:jc w:val="center"/>
              <w:rPr>
                <w:sz w:val="21"/>
                <w:szCs w:val="21"/>
              </w:rPr>
            </w:pPr>
            <w:r>
              <w:rPr>
                <w:sz w:val="21"/>
                <w:szCs w:val="21"/>
              </w:rPr>
              <w:t>多年平均气温</w:t>
            </w:r>
            <w:r>
              <w:rPr>
                <w:rFonts w:hint="eastAsia"/>
                <w:sz w:val="21"/>
                <w:szCs w:val="21"/>
                <w:lang w:eastAsia="zh-CN"/>
              </w:rPr>
              <w:t>（</w:t>
            </w:r>
            <w:r>
              <w:rPr>
                <w:rFonts w:hint="eastAsia"/>
                <w:sz w:val="21"/>
                <w:szCs w:val="21"/>
                <w:lang w:val="en-US" w:eastAsia="zh-CN"/>
              </w:rPr>
              <w:t>℃</w:t>
            </w:r>
            <w:r>
              <w:rPr>
                <w:rFonts w:hint="eastAsia"/>
                <w:sz w:val="21"/>
                <w:szCs w:val="21"/>
                <w:lang w:eastAsia="zh-CN"/>
              </w:rPr>
              <w:t>）</w:t>
            </w:r>
          </w:p>
        </w:tc>
        <w:tc>
          <w:tcPr>
            <w:tcW w:w="1455" w:type="dxa"/>
            <w:vAlign w:val="center"/>
          </w:tcPr>
          <w:p w14:paraId="2721D163">
            <w:pPr>
              <w:widowControl w:val="0"/>
              <w:bidi w:val="0"/>
              <w:spacing w:line="240" w:lineRule="auto"/>
              <w:jc w:val="center"/>
              <w:rPr>
                <w:rFonts w:hint="default" w:eastAsia="宋体"/>
                <w:sz w:val="21"/>
                <w:szCs w:val="21"/>
                <w:lang w:val="en-US" w:eastAsia="zh-CN"/>
              </w:rPr>
            </w:pPr>
            <w:r>
              <w:rPr>
                <w:sz w:val="21"/>
                <w:szCs w:val="21"/>
              </w:rPr>
              <w:t>16.</w:t>
            </w:r>
            <w:r>
              <w:rPr>
                <w:rFonts w:hint="eastAsia"/>
                <w:sz w:val="21"/>
                <w:szCs w:val="21"/>
                <w:lang w:val="en-US" w:eastAsia="zh-CN"/>
              </w:rPr>
              <w:t>87</w:t>
            </w:r>
          </w:p>
        </w:tc>
        <w:tc>
          <w:tcPr>
            <w:tcW w:w="1871" w:type="dxa"/>
            <w:vAlign w:val="center"/>
          </w:tcPr>
          <w:p w14:paraId="2237DB13">
            <w:pPr>
              <w:widowControl w:val="0"/>
              <w:bidi w:val="0"/>
              <w:spacing w:line="240" w:lineRule="auto"/>
              <w:jc w:val="center"/>
              <w:rPr>
                <w:sz w:val="21"/>
                <w:szCs w:val="21"/>
              </w:rPr>
            </w:pPr>
          </w:p>
        </w:tc>
        <w:tc>
          <w:tcPr>
            <w:tcW w:w="1450" w:type="dxa"/>
            <w:vAlign w:val="center"/>
          </w:tcPr>
          <w:p w14:paraId="505C8841">
            <w:pPr>
              <w:widowControl w:val="0"/>
              <w:bidi w:val="0"/>
              <w:spacing w:line="240" w:lineRule="auto"/>
              <w:jc w:val="center"/>
              <w:rPr>
                <w:sz w:val="21"/>
                <w:szCs w:val="21"/>
              </w:rPr>
            </w:pPr>
          </w:p>
        </w:tc>
      </w:tr>
      <w:tr w14:paraId="602A44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4134" w:type="dxa"/>
            <w:gridSpan w:val="2"/>
            <w:vAlign w:val="center"/>
          </w:tcPr>
          <w:p w14:paraId="6098F39F">
            <w:pPr>
              <w:widowControl w:val="0"/>
              <w:bidi w:val="0"/>
              <w:spacing w:line="240" w:lineRule="auto"/>
              <w:jc w:val="center"/>
              <w:rPr>
                <w:sz w:val="21"/>
                <w:szCs w:val="21"/>
              </w:rPr>
            </w:pPr>
            <w:r>
              <w:rPr>
                <w:sz w:val="21"/>
                <w:szCs w:val="21"/>
              </w:rPr>
              <w:t>累年极端最高气温</w:t>
            </w:r>
            <w:r>
              <w:rPr>
                <w:rFonts w:hint="eastAsia"/>
                <w:sz w:val="21"/>
                <w:szCs w:val="21"/>
                <w:lang w:eastAsia="zh-CN"/>
              </w:rPr>
              <w:t>（</w:t>
            </w:r>
            <w:r>
              <w:rPr>
                <w:rFonts w:hint="eastAsia"/>
                <w:sz w:val="21"/>
                <w:szCs w:val="21"/>
                <w:lang w:val="en-US" w:eastAsia="zh-CN"/>
              </w:rPr>
              <w:t>℃</w:t>
            </w:r>
            <w:r>
              <w:rPr>
                <w:rFonts w:hint="eastAsia"/>
                <w:sz w:val="21"/>
                <w:szCs w:val="21"/>
                <w:lang w:eastAsia="zh-CN"/>
              </w:rPr>
              <w:t>）</w:t>
            </w:r>
          </w:p>
        </w:tc>
        <w:tc>
          <w:tcPr>
            <w:tcW w:w="1455" w:type="dxa"/>
            <w:vAlign w:val="center"/>
          </w:tcPr>
          <w:p w14:paraId="2EB4B79A">
            <w:pPr>
              <w:widowControl w:val="0"/>
              <w:bidi w:val="0"/>
              <w:spacing w:line="240" w:lineRule="auto"/>
              <w:jc w:val="center"/>
              <w:rPr>
                <w:rFonts w:hint="default" w:eastAsia="宋体"/>
                <w:sz w:val="21"/>
                <w:szCs w:val="21"/>
                <w:lang w:val="en-US" w:eastAsia="zh-CN"/>
              </w:rPr>
            </w:pPr>
            <w:r>
              <w:rPr>
                <w:sz w:val="21"/>
                <w:szCs w:val="21"/>
              </w:rPr>
              <w:t>3</w:t>
            </w:r>
            <w:r>
              <w:rPr>
                <w:rFonts w:hint="eastAsia"/>
                <w:sz w:val="21"/>
                <w:szCs w:val="21"/>
                <w:lang w:val="en-US" w:eastAsia="zh-CN"/>
              </w:rPr>
              <w:t>7.8</w:t>
            </w:r>
          </w:p>
        </w:tc>
        <w:tc>
          <w:tcPr>
            <w:tcW w:w="1871" w:type="dxa"/>
            <w:vAlign w:val="center"/>
          </w:tcPr>
          <w:p w14:paraId="59656752">
            <w:pPr>
              <w:widowControl w:val="0"/>
              <w:bidi w:val="0"/>
              <w:spacing w:line="240" w:lineRule="auto"/>
              <w:jc w:val="center"/>
              <w:rPr>
                <w:sz w:val="21"/>
                <w:szCs w:val="21"/>
              </w:rPr>
            </w:pPr>
            <w:r>
              <w:rPr>
                <w:sz w:val="21"/>
                <w:szCs w:val="21"/>
              </w:rPr>
              <w:t>2017-07-27</w:t>
            </w:r>
          </w:p>
        </w:tc>
        <w:tc>
          <w:tcPr>
            <w:tcW w:w="1450" w:type="dxa"/>
            <w:vAlign w:val="center"/>
          </w:tcPr>
          <w:p w14:paraId="4F7CC64B">
            <w:pPr>
              <w:widowControl w:val="0"/>
              <w:bidi w:val="0"/>
              <w:spacing w:line="240" w:lineRule="auto"/>
              <w:jc w:val="center"/>
              <w:rPr>
                <w:sz w:val="21"/>
                <w:szCs w:val="21"/>
              </w:rPr>
            </w:pPr>
            <w:r>
              <w:rPr>
                <w:sz w:val="21"/>
                <w:szCs w:val="21"/>
              </w:rPr>
              <w:t>40.2</w:t>
            </w:r>
          </w:p>
        </w:tc>
      </w:tr>
      <w:tr w14:paraId="3DA17D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4134" w:type="dxa"/>
            <w:gridSpan w:val="2"/>
            <w:vAlign w:val="center"/>
          </w:tcPr>
          <w:p w14:paraId="7B326784">
            <w:pPr>
              <w:widowControl w:val="0"/>
              <w:bidi w:val="0"/>
              <w:spacing w:line="240" w:lineRule="auto"/>
              <w:jc w:val="center"/>
              <w:rPr>
                <w:sz w:val="21"/>
                <w:szCs w:val="21"/>
              </w:rPr>
            </w:pPr>
            <w:r>
              <w:rPr>
                <w:sz w:val="21"/>
                <w:szCs w:val="21"/>
              </w:rPr>
              <w:t>累年极端最低气温</w:t>
            </w:r>
            <w:r>
              <w:rPr>
                <w:rFonts w:hint="eastAsia"/>
                <w:sz w:val="21"/>
                <w:szCs w:val="21"/>
                <w:lang w:eastAsia="zh-CN"/>
              </w:rPr>
              <w:t>（</w:t>
            </w:r>
            <w:r>
              <w:rPr>
                <w:rFonts w:hint="eastAsia"/>
                <w:sz w:val="21"/>
                <w:szCs w:val="21"/>
                <w:lang w:val="en-US" w:eastAsia="zh-CN"/>
              </w:rPr>
              <w:t>℃</w:t>
            </w:r>
            <w:r>
              <w:rPr>
                <w:rFonts w:hint="eastAsia"/>
                <w:sz w:val="21"/>
                <w:szCs w:val="21"/>
                <w:lang w:eastAsia="zh-CN"/>
              </w:rPr>
              <w:t>）</w:t>
            </w:r>
          </w:p>
        </w:tc>
        <w:tc>
          <w:tcPr>
            <w:tcW w:w="1455" w:type="dxa"/>
            <w:vAlign w:val="center"/>
          </w:tcPr>
          <w:p w14:paraId="28655162">
            <w:pPr>
              <w:widowControl w:val="0"/>
              <w:bidi w:val="0"/>
              <w:spacing w:line="240" w:lineRule="auto"/>
              <w:jc w:val="center"/>
              <w:rPr>
                <w:rFonts w:hint="default" w:eastAsia="宋体"/>
                <w:sz w:val="21"/>
                <w:szCs w:val="21"/>
                <w:lang w:val="en-US" w:eastAsia="zh-CN"/>
              </w:rPr>
            </w:pPr>
            <w:r>
              <w:rPr>
                <w:sz w:val="21"/>
                <w:szCs w:val="21"/>
              </w:rPr>
              <w:t>-6.</w:t>
            </w:r>
            <w:r>
              <w:rPr>
                <w:rFonts w:hint="eastAsia"/>
                <w:sz w:val="21"/>
                <w:szCs w:val="21"/>
                <w:lang w:val="en-US" w:eastAsia="zh-CN"/>
              </w:rPr>
              <w:t>98</w:t>
            </w:r>
          </w:p>
        </w:tc>
        <w:tc>
          <w:tcPr>
            <w:tcW w:w="1871" w:type="dxa"/>
            <w:vAlign w:val="center"/>
          </w:tcPr>
          <w:p w14:paraId="720CA6CF">
            <w:pPr>
              <w:widowControl w:val="0"/>
              <w:bidi w:val="0"/>
              <w:spacing w:line="240" w:lineRule="auto"/>
              <w:jc w:val="center"/>
              <w:rPr>
                <w:sz w:val="21"/>
                <w:szCs w:val="21"/>
              </w:rPr>
            </w:pPr>
            <w:r>
              <w:rPr>
                <w:sz w:val="21"/>
                <w:szCs w:val="21"/>
              </w:rPr>
              <w:t>2008-02-03</w:t>
            </w:r>
          </w:p>
        </w:tc>
        <w:tc>
          <w:tcPr>
            <w:tcW w:w="1450" w:type="dxa"/>
            <w:vAlign w:val="center"/>
          </w:tcPr>
          <w:p w14:paraId="7C1EA523">
            <w:pPr>
              <w:widowControl w:val="0"/>
              <w:bidi w:val="0"/>
              <w:spacing w:line="240" w:lineRule="auto"/>
              <w:jc w:val="center"/>
              <w:rPr>
                <w:sz w:val="21"/>
                <w:szCs w:val="21"/>
              </w:rPr>
            </w:pPr>
            <w:r>
              <w:rPr>
                <w:rFonts w:hint="eastAsia"/>
                <w:sz w:val="21"/>
                <w:szCs w:val="21"/>
                <w:lang w:val="en-US" w:eastAsia="zh-CN"/>
              </w:rPr>
              <w:t>-</w:t>
            </w:r>
            <w:r>
              <w:rPr>
                <w:sz w:val="21"/>
                <w:szCs w:val="21"/>
              </w:rPr>
              <w:t>13.0</w:t>
            </w:r>
          </w:p>
        </w:tc>
      </w:tr>
      <w:tr w14:paraId="665448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4134" w:type="dxa"/>
            <w:gridSpan w:val="2"/>
            <w:vAlign w:val="center"/>
          </w:tcPr>
          <w:p w14:paraId="1AAD4E5F">
            <w:pPr>
              <w:widowControl w:val="0"/>
              <w:bidi w:val="0"/>
              <w:spacing w:line="240" w:lineRule="auto"/>
              <w:jc w:val="center"/>
              <w:rPr>
                <w:sz w:val="21"/>
                <w:szCs w:val="21"/>
              </w:rPr>
            </w:pPr>
            <w:r>
              <w:rPr>
                <w:sz w:val="21"/>
                <w:szCs w:val="21"/>
              </w:rPr>
              <w:t>多年平均气压（hPa）</w:t>
            </w:r>
          </w:p>
        </w:tc>
        <w:tc>
          <w:tcPr>
            <w:tcW w:w="1455" w:type="dxa"/>
            <w:vAlign w:val="center"/>
          </w:tcPr>
          <w:p w14:paraId="1FC66E0A">
            <w:pPr>
              <w:widowControl w:val="0"/>
              <w:bidi w:val="0"/>
              <w:spacing w:line="240" w:lineRule="auto"/>
              <w:jc w:val="center"/>
              <w:rPr>
                <w:sz w:val="21"/>
                <w:szCs w:val="21"/>
              </w:rPr>
            </w:pPr>
            <w:r>
              <w:rPr>
                <w:rFonts w:hint="eastAsia"/>
                <w:sz w:val="21"/>
                <w:szCs w:val="21"/>
              </w:rPr>
              <w:t>1013.66</w:t>
            </w:r>
          </w:p>
        </w:tc>
        <w:tc>
          <w:tcPr>
            <w:tcW w:w="1871" w:type="dxa"/>
            <w:vAlign w:val="center"/>
          </w:tcPr>
          <w:p w14:paraId="130E9059">
            <w:pPr>
              <w:widowControl w:val="0"/>
              <w:bidi w:val="0"/>
              <w:spacing w:line="240" w:lineRule="auto"/>
              <w:jc w:val="center"/>
              <w:rPr>
                <w:sz w:val="21"/>
                <w:szCs w:val="21"/>
              </w:rPr>
            </w:pPr>
          </w:p>
        </w:tc>
        <w:tc>
          <w:tcPr>
            <w:tcW w:w="1450" w:type="dxa"/>
            <w:vAlign w:val="center"/>
          </w:tcPr>
          <w:p w14:paraId="45B55EAC">
            <w:pPr>
              <w:widowControl w:val="0"/>
              <w:bidi w:val="0"/>
              <w:spacing w:line="240" w:lineRule="auto"/>
              <w:jc w:val="center"/>
              <w:rPr>
                <w:sz w:val="21"/>
                <w:szCs w:val="21"/>
              </w:rPr>
            </w:pPr>
          </w:p>
        </w:tc>
      </w:tr>
      <w:tr w14:paraId="46204E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588743E8">
            <w:pPr>
              <w:widowControl w:val="0"/>
              <w:bidi w:val="0"/>
              <w:spacing w:line="240" w:lineRule="auto"/>
              <w:jc w:val="center"/>
              <w:rPr>
                <w:sz w:val="21"/>
                <w:szCs w:val="21"/>
              </w:rPr>
            </w:pPr>
            <w:r>
              <w:rPr>
                <w:sz w:val="21"/>
                <w:szCs w:val="21"/>
              </w:rPr>
              <w:t>多年平均水汽压（hPa）</w:t>
            </w:r>
          </w:p>
        </w:tc>
        <w:tc>
          <w:tcPr>
            <w:tcW w:w="1455" w:type="dxa"/>
            <w:vAlign w:val="center"/>
          </w:tcPr>
          <w:p w14:paraId="19CEEC7E">
            <w:pPr>
              <w:widowControl w:val="0"/>
              <w:bidi w:val="0"/>
              <w:spacing w:line="240" w:lineRule="auto"/>
              <w:jc w:val="center"/>
              <w:rPr>
                <w:rFonts w:hint="default" w:eastAsia="宋体"/>
                <w:sz w:val="21"/>
                <w:szCs w:val="21"/>
                <w:lang w:val="en-US" w:eastAsia="zh-CN"/>
              </w:rPr>
            </w:pPr>
            <w:r>
              <w:rPr>
                <w:sz w:val="21"/>
                <w:szCs w:val="21"/>
              </w:rPr>
              <w:t>1</w:t>
            </w:r>
            <w:r>
              <w:rPr>
                <w:rFonts w:hint="eastAsia"/>
                <w:sz w:val="21"/>
                <w:szCs w:val="21"/>
                <w:lang w:val="en-US" w:eastAsia="zh-CN"/>
              </w:rPr>
              <w:t>6.21</w:t>
            </w:r>
          </w:p>
        </w:tc>
        <w:tc>
          <w:tcPr>
            <w:tcW w:w="1871" w:type="dxa"/>
            <w:vAlign w:val="center"/>
          </w:tcPr>
          <w:p w14:paraId="675990BA">
            <w:pPr>
              <w:widowControl w:val="0"/>
              <w:bidi w:val="0"/>
              <w:spacing w:line="240" w:lineRule="auto"/>
              <w:jc w:val="center"/>
              <w:rPr>
                <w:sz w:val="21"/>
                <w:szCs w:val="21"/>
              </w:rPr>
            </w:pPr>
          </w:p>
        </w:tc>
        <w:tc>
          <w:tcPr>
            <w:tcW w:w="1450" w:type="dxa"/>
            <w:vAlign w:val="center"/>
          </w:tcPr>
          <w:p w14:paraId="2EB03805">
            <w:pPr>
              <w:widowControl w:val="0"/>
              <w:bidi w:val="0"/>
              <w:spacing w:line="240" w:lineRule="auto"/>
              <w:jc w:val="center"/>
              <w:rPr>
                <w:sz w:val="21"/>
                <w:szCs w:val="21"/>
              </w:rPr>
            </w:pPr>
          </w:p>
        </w:tc>
      </w:tr>
      <w:tr w14:paraId="770C0E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2E6C20A8">
            <w:pPr>
              <w:widowControl w:val="0"/>
              <w:bidi w:val="0"/>
              <w:spacing w:line="240" w:lineRule="auto"/>
              <w:jc w:val="center"/>
              <w:rPr>
                <w:sz w:val="21"/>
                <w:szCs w:val="21"/>
              </w:rPr>
            </w:pPr>
            <w:r>
              <w:rPr>
                <w:sz w:val="21"/>
                <w:szCs w:val="21"/>
              </w:rPr>
              <w:t>多年平均相对湿度</w:t>
            </w:r>
            <w:r>
              <w:rPr>
                <w:rFonts w:hint="eastAsia"/>
                <w:sz w:val="21"/>
                <w:szCs w:val="21"/>
                <w:lang w:eastAsia="zh-CN"/>
              </w:rPr>
              <w:t>（</w:t>
            </w:r>
            <w:r>
              <w:rPr>
                <w:sz w:val="21"/>
                <w:szCs w:val="21"/>
              </w:rPr>
              <w:t>%</w:t>
            </w:r>
            <w:r>
              <w:rPr>
                <w:rFonts w:hint="eastAsia"/>
                <w:sz w:val="21"/>
                <w:szCs w:val="21"/>
                <w:lang w:eastAsia="zh-CN"/>
              </w:rPr>
              <w:t>）</w:t>
            </w:r>
          </w:p>
        </w:tc>
        <w:tc>
          <w:tcPr>
            <w:tcW w:w="1455" w:type="dxa"/>
            <w:vAlign w:val="center"/>
          </w:tcPr>
          <w:p w14:paraId="1C85A9FB">
            <w:pPr>
              <w:widowControl w:val="0"/>
              <w:bidi w:val="0"/>
              <w:spacing w:line="240" w:lineRule="auto"/>
              <w:jc w:val="center"/>
              <w:rPr>
                <w:rFonts w:hint="default" w:eastAsia="宋体"/>
                <w:sz w:val="21"/>
                <w:szCs w:val="21"/>
                <w:lang w:val="en-US" w:eastAsia="zh-CN"/>
              </w:rPr>
            </w:pPr>
            <w:r>
              <w:rPr>
                <w:sz w:val="21"/>
                <w:szCs w:val="21"/>
              </w:rPr>
              <w:t>7</w:t>
            </w:r>
            <w:r>
              <w:rPr>
                <w:rFonts w:hint="eastAsia"/>
                <w:sz w:val="21"/>
                <w:szCs w:val="21"/>
                <w:lang w:val="en-US" w:eastAsia="zh-CN"/>
              </w:rPr>
              <w:t>3.39</w:t>
            </w:r>
          </w:p>
        </w:tc>
        <w:tc>
          <w:tcPr>
            <w:tcW w:w="1871" w:type="dxa"/>
            <w:vAlign w:val="center"/>
          </w:tcPr>
          <w:p w14:paraId="0AFE9A4B">
            <w:pPr>
              <w:widowControl w:val="0"/>
              <w:bidi w:val="0"/>
              <w:spacing w:line="240" w:lineRule="auto"/>
              <w:jc w:val="center"/>
              <w:rPr>
                <w:sz w:val="21"/>
                <w:szCs w:val="21"/>
              </w:rPr>
            </w:pPr>
          </w:p>
        </w:tc>
        <w:tc>
          <w:tcPr>
            <w:tcW w:w="1450" w:type="dxa"/>
            <w:vAlign w:val="center"/>
          </w:tcPr>
          <w:p w14:paraId="2FBCC8DD">
            <w:pPr>
              <w:widowControl w:val="0"/>
              <w:bidi w:val="0"/>
              <w:spacing w:line="240" w:lineRule="auto"/>
              <w:jc w:val="center"/>
              <w:rPr>
                <w:sz w:val="21"/>
                <w:szCs w:val="21"/>
              </w:rPr>
            </w:pPr>
          </w:p>
        </w:tc>
      </w:tr>
      <w:tr w14:paraId="1552D2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18D731F9">
            <w:pPr>
              <w:widowControl w:val="0"/>
              <w:bidi w:val="0"/>
              <w:spacing w:line="240" w:lineRule="auto"/>
              <w:jc w:val="center"/>
              <w:rPr>
                <w:sz w:val="21"/>
                <w:szCs w:val="21"/>
              </w:rPr>
            </w:pPr>
            <w:r>
              <w:rPr>
                <w:sz w:val="21"/>
                <w:szCs w:val="21"/>
              </w:rPr>
              <w:t>多年平均降雨量</w:t>
            </w:r>
            <w:r>
              <w:rPr>
                <w:rFonts w:hint="eastAsia"/>
                <w:sz w:val="21"/>
                <w:szCs w:val="21"/>
                <w:lang w:eastAsia="zh-CN"/>
              </w:rPr>
              <w:t>（</w:t>
            </w:r>
            <w:r>
              <w:rPr>
                <w:sz w:val="21"/>
                <w:szCs w:val="21"/>
              </w:rPr>
              <w:t>mm</w:t>
            </w:r>
            <w:r>
              <w:rPr>
                <w:rFonts w:hint="eastAsia"/>
                <w:sz w:val="21"/>
                <w:szCs w:val="21"/>
                <w:lang w:eastAsia="zh-CN"/>
              </w:rPr>
              <w:t>）</w:t>
            </w:r>
          </w:p>
        </w:tc>
        <w:tc>
          <w:tcPr>
            <w:tcW w:w="1455" w:type="dxa"/>
            <w:vAlign w:val="center"/>
          </w:tcPr>
          <w:p w14:paraId="43504D7F">
            <w:pPr>
              <w:widowControl w:val="0"/>
              <w:bidi w:val="0"/>
              <w:spacing w:line="240" w:lineRule="auto"/>
              <w:jc w:val="center"/>
              <w:rPr>
                <w:rFonts w:hint="default" w:eastAsia="宋体"/>
                <w:sz w:val="21"/>
                <w:szCs w:val="21"/>
                <w:lang w:val="en-US" w:eastAsia="zh-CN"/>
              </w:rPr>
            </w:pPr>
            <w:r>
              <w:rPr>
                <w:sz w:val="21"/>
                <w:szCs w:val="21"/>
              </w:rPr>
              <w:t>10</w:t>
            </w:r>
            <w:r>
              <w:rPr>
                <w:rFonts w:hint="eastAsia"/>
                <w:sz w:val="21"/>
                <w:szCs w:val="21"/>
                <w:lang w:val="en-US" w:eastAsia="zh-CN"/>
              </w:rPr>
              <w:t>44.26</w:t>
            </w:r>
          </w:p>
        </w:tc>
        <w:tc>
          <w:tcPr>
            <w:tcW w:w="1871" w:type="dxa"/>
            <w:vAlign w:val="center"/>
          </w:tcPr>
          <w:p w14:paraId="6D8D56C1">
            <w:pPr>
              <w:widowControl w:val="0"/>
              <w:bidi w:val="0"/>
              <w:spacing w:line="240" w:lineRule="auto"/>
              <w:jc w:val="center"/>
              <w:rPr>
                <w:sz w:val="21"/>
                <w:szCs w:val="21"/>
              </w:rPr>
            </w:pPr>
            <w:r>
              <w:rPr>
                <w:sz w:val="21"/>
                <w:szCs w:val="21"/>
              </w:rPr>
              <w:t>2018-08- 16</w:t>
            </w:r>
          </w:p>
        </w:tc>
        <w:tc>
          <w:tcPr>
            <w:tcW w:w="1450" w:type="dxa"/>
            <w:vAlign w:val="center"/>
          </w:tcPr>
          <w:p w14:paraId="495B5432">
            <w:pPr>
              <w:widowControl w:val="0"/>
              <w:bidi w:val="0"/>
              <w:spacing w:line="240" w:lineRule="auto"/>
              <w:jc w:val="center"/>
              <w:rPr>
                <w:sz w:val="21"/>
                <w:szCs w:val="21"/>
              </w:rPr>
            </w:pPr>
            <w:r>
              <w:rPr>
                <w:sz w:val="21"/>
                <w:szCs w:val="21"/>
              </w:rPr>
              <w:t>153.4</w:t>
            </w:r>
          </w:p>
        </w:tc>
      </w:tr>
      <w:tr w14:paraId="2487C8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301" w:type="dxa"/>
            <w:vMerge w:val="restart"/>
            <w:tcBorders>
              <w:bottom w:val="nil"/>
            </w:tcBorders>
            <w:vAlign w:val="center"/>
          </w:tcPr>
          <w:p w14:paraId="308F7903">
            <w:pPr>
              <w:widowControl w:val="0"/>
              <w:bidi w:val="0"/>
              <w:spacing w:line="240" w:lineRule="auto"/>
              <w:jc w:val="center"/>
              <w:rPr>
                <w:sz w:val="21"/>
                <w:szCs w:val="21"/>
              </w:rPr>
            </w:pPr>
            <w:r>
              <w:rPr>
                <w:sz w:val="21"/>
                <w:szCs w:val="21"/>
              </w:rPr>
              <w:t>灾害天气统计</w:t>
            </w:r>
          </w:p>
        </w:tc>
        <w:tc>
          <w:tcPr>
            <w:tcW w:w="2833" w:type="dxa"/>
            <w:vAlign w:val="center"/>
          </w:tcPr>
          <w:p w14:paraId="6EE3EDF5">
            <w:pPr>
              <w:widowControl w:val="0"/>
              <w:bidi w:val="0"/>
              <w:spacing w:line="240" w:lineRule="auto"/>
              <w:jc w:val="center"/>
              <w:rPr>
                <w:sz w:val="21"/>
                <w:szCs w:val="21"/>
              </w:rPr>
            </w:pPr>
            <w:r>
              <w:rPr>
                <w:sz w:val="21"/>
                <w:szCs w:val="21"/>
              </w:rPr>
              <w:t>多年平均沙暴日数</w:t>
            </w:r>
            <w:r>
              <w:rPr>
                <w:rFonts w:hint="eastAsia"/>
                <w:sz w:val="21"/>
                <w:szCs w:val="21"/>
                <w:lang w:eastAsia="zh-CN"/>
              </w:rPr>
              <w:t>（</w:t>
            </w:r>
            <w:r>
              <w:rPr>
                <w:sz w:val="21"/>
                <w:szCs w:val="21"/>
              </w:rPr>
              <w:t>d</w:t>
            </w:r>
            <w:r>
              <w:rPr>
                <w:rFonts w:hint="eastAsia"/>
                <w:sz w:val="21"/>
                <w:szCs w:val="21"/>
                <w:lang w:eastAsia="zh-CN"/>
              </w:rPr>
              <w:t>）</w:t>
            </w:r>
          </w:p>
        </w:tc>
        <w:tc>
          <w:tcPr>
            <w:tcW w:w="1455" w:type="dxa"/>
            <w:vAlign w:val="center"/>
          </w:tcPr>
          <w:p w14:paraId="671F8228">
            <w:pPr>
              <w:widowControl w:val="0"/>
              <w:bidi w:val="0"/>
              <w:spacing w:line="240" w:lineRule="auto"/>
              <w:jc w:val="center"/>
              <w:rPr>
                <w:rFonts w:hint="default" w:eastAsia="宋体"/>
                <w:sz w:val="21"/>
                <w:szCs w:val="21"/>
                <w:lang w:val="en-US" w:eastAsia="zh-CN"/>
              </w:rPr>
            </w:pPr>
            <w:r>
              <w:rPr>
                <w:sz w:val="21"/>
                <w:szCs w:val="21"/>
              </w:rPr>
              <w:t>0</w:t>
            </w:r>
            <w:r>
              <w:rPr>
                <w:rFonts w:hint="eastAsia"/>
                <w:sz w:val="21"/>
                <w:szCs w:val="21"/>
                <w:lang w:val="en-US" w:eastAsia="zh-CN"/>
              </w:rPr>
              <w:t>.1</w:t>
            </w:r>
          </w:p>
        </w:tc>
        <w:tc>
          <w:tcPr>
            <w:tcW w:w="1871" w:type="dxa"/>
            <w:vAlign w:val="center"/>
          </w:tcPr>
          <w:p w14:paraId="4B34018A">
            <w:pPr>
              <w:widowControl w:val="0"/>
              <w:bidi w:val="0"/>
              <w:spacing w:line="240" w:lineRule="auto"/>
              <w:jc w:val="center"/>
              <w:rPr>
                <w:sz w:val="21"/>
                <w:szCs w:val="21"/>
              </w:rPr>
            </w:pPr>
          </w:p>
        </w:tc>
        <w:tc>
          <w:tcPr>
            <w:tcW w:w="1450" w:type="dxa"/>
            <w:vAlign w:val="center"/>
          </w:tcPr>
          <w:p w14:paraId="046386C6">
            <w:pPr>
              <w:widowControl w:val="0"/>
              <w:bidi w:val="0"/>
              <w:spacing w:line="240" w:lineRule="auto"/>
              <w:jc w:val="center"/>
              <w:rPr>
                <w:sz w:val="21"/>
                <w:szCs w:val="21"/>
              </w:rPr>
            </w:pPr>
          </w:p>
        </w:tc>
      </w:tr>
      <w:tr w14:paraId="69D32D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301" w:type="dxa"/>
            <w:vMerge w:val="continue"/>
            <w:tcBorders>
              <w:top w:val="nil"/>
              <w:bottom w:val="nil"/>
            </w:tcBorders>
            <w:vAlign w:val="center"/>
          </w:tcPr>
          <w:p w14:paraId="07137760">
            <w:pPr>
              <w:widowControl w:val="0"/>
              <w:bidi w:val="0"/>
              <w:spacing w:line="240" w:lineRule="auto"/>
              <w:jc w:val="center"/>
              <w:rPr>
                <w:sz w:val="21"/>
                <w:szCs w:val="21"/>
              </w:rPr>
            </w:pPr>
          </w:p>
        </w:tc>
        <w:tc>
          <w:tcPr>
            <w:tcW w:w="2833" w:type="dxa"/>
            <w:vAlign w:val="center"/>
          </w:tcPr>
          <w:p w14:paraId="615EA791">
            <w:pPr>
              <w:widowControl w:val="0"/>
              <w:bidi w:val="0"/>
              <w:spacing w:line="240" w:lineRule="auto"/>
              <w:jc w:val="center"/>
              <w:rPr>
                <w:sz w:val="21"/>
                <w:szCs w:val="21"/>
              </w:rPr>
            </w:pPr>
            <w:r>
              <w:rPr>
                <w:sz w:val="21"/>
                <w:szCs w:val="21"/>
              </w:rPr>
              <w:t>多年平均雷暴日数</w:t>
            </w:r>
            <w:r>
              <w:rPr>
                <w:rFonts w:hint="eastAsia"/>
                <w:sz w:val="21"/>
                <w:szCs w:val="21"/>
                <w:lang w:eastAsia="zh-CN"/>
              </w:rPr>
              <w:t>（</w:t>
            </w:r>
            <w:r>
              <w:rPr>
                <w:sz w:val="21"/>
                <w:szCs w:val="21"/>
              </w:rPr>
              <w:t>d</w:t>
            </w:r>
            <w:r>
              <w:rPr>
                <w:rFonts w:hint="eastAsia"/>
                <w:sz w:val="21"/>
                <w:szCs w:val="21"/>
                <w:lang w:eastAsia="zh-CN"/>
              </w:rPr>
              <w:t>）</w:t>
            </w:r>
          </w:p>
        </w:tc>
        <w:tc>
          <w:tcPr>
            <w:tcW w:w="1455" w:type="dxa"/>
            <w:vAlign w:val="center"/>
          </w:tcPr>
          <w:p w14:paraId="72B60F23">
            <w:pPr>
              <w:widowControl w:val="0"/>
              <w:bidi w:val="0"/>
              <w:spacing w:line="240" w:lineRule="auto"/>
              <w:jc w:val="center"/>
              <w:rPr>
                <w:rFonts w:hint="eastAsia" w:eastAsia="宋体"/>
                <w:sz w:val="21"/>
                <w:szCs w:val="21"/>
                <w:lang w:eastAsia="zh-CN"/>
              </w:rPr>
            </w:pPr>
            <w:r>
              <w:rPr>
                <w:sz w:val="21"/>
                <w:szCs w:val="21"/>
              </w:rPr>
              <w:t>22.</w:t>
            </w:r>
            <w:r>
              <w:rPr>
                <w:rFonts w:hint="eastAsia"/>
                <w:sz w:val="21"/>
                <w:szCs w:val="21"/>
                <w:lang w:val="en-US" w:eastAsia="zh-CN"/>
              </w:rPr>
              <w:t>5</w:t>
            </w:r>
          </w:p>
        </w:tc>
        <w:tc>
          <w:tcPr>
            <w:tcW w:w="1871" w:type="dxa"/>
            <w:vAlign w:val="center"/>
          </w:tcPr>
          <w:p w14:paraId="5C5943FE">
            <w:pPr>
              <w:widowControl w:val="0"/>
              <w:bidi w:val="0"/>
              <w:spacing w:line="240" w:lineRule="auto"/>
              <w:jc w:val="center"/>
              <w:rPr>
                <w:sz w:val="21"/>
                <w:szCs w:val="21"/>
              </w:rPr>
            </w:pPr>
          </w:p>
        </w:tc>
        <w:tc>
          <w:tcPr>
            <w:tcW w:w="1450" w:type="dxa"/>
            <w:vAlign w:val="center"/>
          </w:tcPr>
          <w:p w14:paraId="17B10D98">
            <w:pPr>
              <w:widowControl w:val="0"/>
              <w:bidi w:val="0"/>
              <w:spacing w:line="240" w:lineRule="auto"/>
              <w:jc w:val="center"/>
              <w:rPr>
                <w:sz w:val="21"/>
                <w:szCs w:val="21"/>
              </w:rPr>
            </w:pPr>
          </w:p>
        </w:tc>
      </w:tr>
      <w:tr w14:paraId="0F47E7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301" w:type="dxa"/>
            <w:vMerge w:val="continue"/>
            <w:tcBorders>
              <w:top w:val="nil"/>
              <w:bottom w:val="nil"/>
            </w:tcBorders>
            <w:vAlign w:val="center"/>
          </w:tcPr>
          <w:p w14:paraId="0229DDFE">
            <w:pPr>
              <w:widowControl w:val="0"/>
              <w:bidi w:val="0"/>
              <w:spacing w:line="240" w:lineRule="auto"/>
              <w:jc w:val="center"/>
              <w:rPr>
                <w:sz w:val="21"/>
                <w:szCs w:val="21"/>
              </w:rPr>
            </w:pPr>
          </w:p>
        </w:tc>
        <w:tc>
          <w:tcPr>
            <w:tcW w:w="2833" w:type="dxa"/>
            <w:vAlign w:val="center"/>
          </w:tcPr>
          <w:p w14:paraId="65A926B3">
            <w:pPr>
              <w:widowControl w:val="0"/>
              <w:bidi w:val="0"/>
              <w:spacing w:line="240" w:lineRule="auto"/>
              <w:jc w:val="center"/>
              <w:rPr>
                <w:sz w:val="21"/>
                <w:szCs w:val="21"/>
              </w:rPr>
            </w:pPr>
            <w:r>
              <w:rPr>
                <w:sz w:val="21"/>
                <w:szCs w:val="21"/>
              </w:rPr>
              <w:t>多年平均冰雹日数</w:t>
            </w:r>
            <w:r>
              <w:rPr>
                <w:rFonts w:hint="eastAsia"/>
                <w:sz w:val="21"/>
                <w:szCs w:val="21"/>
                <w:lang w:eastAsia="zh-CN"/>
              </w:rPr>
              <w:t>（</w:t>
            </w:r>
            <w:r>
              <w:rPr>
                <w:sz w:val="21"/>
                <w:szCs w:val="21"/>
              </w:rPr>
              <w:t>d</w:t>
            </w:r>
            <w:r>
              <w:rPr>
                <w:rFonts w:hint="eastAsia"/>
                <w:sz w:val="21"/>
                <w:szCs w:val="21"/>
                <w:lang w:eastAsia="zh-CN"/>
              </w:rPr>
              <w:t>）</w:t>
            </w:r>
          </w:p>
        </w:tc>
        <w:tc>
          <w:tcPr>
            <w:tcW w:w="1455" w:type="dxa"/>
            <w:vAlign w:val="center"/>
          </w:tcPr>
          <w:p w14:paraId="37171161">
            <w:pPr>
              <w:widowControl w:val="0"/>
              <w:bidi w:val="0"/>
              <w:spacing w:line="240" w:lineRule="auto"/>
              <w:jc w:val="center"/>
              <w:rPr>
                <w:rFonts w:hint="eastAsia" w:eastAsia="宋体"/>
                <w:sz w:val="21"/>
                <w:szCs w:val="21"/>
                <w:lang w:eastAsia="zh-CN"/>
              </w:rPr>
            </w:pPr>
            <w:r>
              <w:rPr>
                <w:sz w:val="21"/>
                <w:szCs w:val="21"/>
              </w:rPr>
              <w:t>0.</w:t>
            </w:r>
            <w:r>
              <w:rPr>
                <w:rFonts w:hint="eastAsia"/>
                <w:sz w:val="21"/>
                <w:szCs w:val="21"/>
                <w:lang w:val="en-US" w:eastAsia="zh-CN"/>
              </w:rPr>
              <w:t>1</w:t>
            </w:r>
          </w:p>
        </w:tc>
        <w:tc>
          <w:tcPr>
            <w:tcW w:w="1871" w:type="dxa"/>
            <w:vAlign w:val="center"/>
          </w:tcPr>
          <w:p w14:paraId="11A5796E">
            <w:pPr>
              <w:widowControl w:val="0"/>
              <w:bidi w:val="0"/>
              <w:spacing w:line="240" w:lineRule="auto"/>
              <w:jc w:val="center"/>
              <w:rPr>
                <w:sz w:val="21"/>
                <w:szCs w:val="21"/>
              </w:rPr>
            </w:pPr>
          </w:p>
        </w:tc>
        <w:tc>
          <w:tcPr>
            <w:tcW w:w="1450" w:type="dxa"/>
            <w:vAlign w:val="center"/>
          </w:tcPr>
          <w:p w14:paraId="57F2555F">
            <w:pPr>
              <w:widowControl w:val="0"/>
              <w:bidi w:val="0"/>
              <w:spacing w:line="240" w:lineRule="auto"/>
              <w:jc w:val="center"/>
              <w:rPr>
                <w:sz w:val="21"/>
                <w:szCs w:val="21"/>
              </w:rPr>
            </w:pPr>
          </w:p>
        </w:tc>
      </w:tr>
      <w:tr w14:paraId="20A0CB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301" w:type="dxa"/>
            <w:vMerge w:val="continue"/>
            <w:tcBorders>
              <w:top w:val="nil"/>
            </w:tcBorders>
            <w:vAlign w:val="center"/>
          </w:tcPr>
          <w:p w14:paraId="0B0A4397">
            <w:pPr>
              <w:widowControl w:val="0"/>
              <w:bidi w:val="0"/>
              <w:spacing w:line="240" w:lineRule="auto"/>
              <w:jc w:val="center"/>
              <w:rPr>
                <w:sz w:val="21"/>
                <w:szCs w:val="21"/>
              </w:rPr>
            </w:pPr>
          </w:p>
        </w:tc>
        <w:tc>
          <w:tcPr>
            <w:tcW w:w="2833" w:type="dxa"/>
            <w:vAlign w:val="center"/>
          </w:tcPr>
          <w:p w14:paraId="72DC716F">
            <w:pPr>
              <w:widowControl w:val="0"/>
              <w:bidi w:val="0"/>
              <w:spacing w:line="240" w:lineRule="auto"/>
              <w:jc w:val="center"/>
              <w:rPr>
                <w:sz w:val="21"/>
                <w:szCs w:val="21"/>
              </w:rPr>
            </w:pPr>
            <w:r>
              <w:rPr>
                <w:sz w:val="21"/>
                <w:szCs w:val="21"/>
              </w:rPr>
              <w:t>多年平均大风日数</w:t>
            </w:r>
            <w:r>
              <w:rPr>
                <w:rFonts w:hint="eastAsia"/>
                <w:sz w:val="21"/>
                <w:szCs w:val="21"/>
                <w:lang w:eastAsia="zh-CN"/>
              </w:rPr>
              <w:t>（</w:t>
            </w:r>
            <w:r>
              <w:rPr>
                <w:sz w:val="21"/>
                <w:szCs w:val="21"/>
              </w:rPr>
              <w:t>d</w:t>
            </w:r>
            <w:r>
              <w:rPr>
                <w:rFonts w:hint="eastAsia"/>
                <w:sz w:val="21"/>
                <w:szCs w:val="21"/>
                <w:lang w:eastAsia="zh-CN"/>
              </w:rPr>
              <w:t>）</w:t>
            </w:r>
          </w:p>
        </w:tc>
        <w:tc>
          <w:tcPr>
            <w:tcW w:w="1455" w:type="dxa"/>
            <w:vAlign w:val="center"/>
          </w:tcPr>
          <w:p w14:paraId="2B0ACF23">
            <w:pPr>
              <w:widowControl w:val="0"/>
              <w:bidi w:val="0"/>
              <w:spacing w:line="240" w:lineRule="auto"/>
              <w:jc w:val="center"/>
              <w:rPr>
                <w:rFonts w:hint="default" w:eastAsia="宋体"/>
                <w:sz w:val="21"/>
                <w:szCs w:val="21"/>
                <w:lang w:val="en-US" w:eastAsia="zh-CN"/>
              </w:rPr>
            </w:pPr>
            <w:r>
              <w:rPr>
                <w:sz w:val="21"/>
                <w:szCs w:val="21"/>
              </w:rPr>
              <w:t>1.</w:t>
            </w:r>
            <w:r>
              <w:rPr>
                <w:rFonts w:hint="eastAsia"/>
                <w:sz w:val="21"/>
                <w:szCs w:val="21"/>
                <w:lang w:val="en-US" w:eastAsia="zh-CN"/>
              </w:rPr>
              <w:t>15</w:t>
            </w:r>
          </w:p>
        </w:tc>
        <w:tc>
          <w:tcPr>
            <w:tcW w:w="1871" w:type="dxa"/>
            <w:vAlign w:val="center"/>
          </w:tcPr>
          <w:p w14:paraId="3C02DF8A">
            <w:pPr>
              <w:widowControl w:val="0"/>
              <w:bidi w:val="0"/>
              <w:spacing w:line="240" w:lineRule="auto"/>
              <w:jc w:val="center"/>
              <w:rPr>
                <w:sz w:val="21"/>
                <w:szCs w:val="21"/>
              </w:rPr>
            </w:pPr>
          </w:p>
        </w:tc>
        <w:tc>
          <w:tcPr>
            <w:tcW w:w="1450" w:type="dxa"/>
            <w:vAlign w:val="center"/>
          </w:tcPr>
          <w:p w14:paraId="0B5DA464">
            <w:pPr>
              <w:widowControl w:val="0"/>
              <w:bidi w:val="0"/>
              <w:spacing w:line="240" w:lineRule="auto"/>
              <w:jc w:val="center"/>
              <w:rPr>
                <w:sz w:val="21"/>
                <w:szCs w:val="21"/>
              </w:rPr>
            </w:pPr>
          </w:p>
        </w:tc>
      </w:tr>
      <w:tr w14:paraId="1DDFE9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7C425C1B">
            <w:pPr>
              <w:widowControl w:val="0"/>
              <w:bidi w:val="0"/>
              <w:spacing w:line="240" w:lineRule="auto"/>
              <w:jc w:val="center"/>
              <w:rPr>
                <w:sz w:val="21"/>
                <w:szCs w:val="21"/>
              </w:rPr>
            </w:pPr>
            <w:r>
              <w:rPr>
                <w:sz w:val="21"/>
                <w:szCs w:val="21"/>
              </w:rPr>
              <w:t>多年实测极大风速（m/s）、相应风向</w:t>
            </w:r>
          </w:p>
        </w:tc>
        <w:tc>
          <w:tcPr>
            <w:tcW w:w="1455" w:type="dxa"/>
            <w:vAlign w:val="center"/>
          </w:tcPr>
          <w:p w14:paraId="70B63C06">
            <w:pPr>
              <w:widowControl w:val="0"/>
              <w:bidi w:val="0"/>
              <w:spacing w:line="240" w:lineRule="auto"/>
              <w:jc w:val="center"/>
              <w:rPr>
                <w:rFonts w:hint="default" w:eastAsia="宋体"/>
                <w:sz w:val="21"/>
                <w:szCs w:val="21"/>
                <w:lang w:val="en-US" w:eastAsia="zh-CN"/>
              </w:rPr>
            </w:pPr>
            <w:r>
              <w:rPr>
                <w:sz w:val="21"/>
                <w:szCs w:val="21"/>
              </w:rPr>
              <w:t>1</w:t>
            </w:r>
            <w:r>
              <w:rPr>
                <w:rFonts w:hint="eastAsia"/>
                <w:sz w:val="21"/>
                <w:szCs w:val="21"/>
                <w:lang w:val="en-US" w:eastAsia="zh-CN"/>
              </w:rPr>
              <w:t>7.75</w:t>
            </w:r>
          </w:p>
        </w:tc>
        <w:tc>
          <w:tcPr>
            <w:tcW w:w="1871" w:type="dxa"/>
            <w:vAlign w:val="center"/>
          </w:tcPr>
          <w:p w14:paraId="2838F419">
            <w:pPr>
              <w:widowControl w:val="0"/>
              <w:bidi w:val="0"/>
              <w:spacing w:line="240" w:lineRule="auto"/>
              <w:jc w:val="center"/>
              <w:rPr>
                <w:sz w:val="21"/>
                <w:szCs w:val="21"/>
              </w:rPr>
            </w:pPr>
            <w:r>
              <w:rPr>
                <w:sz w:val="21"/>
                <w:szCs w:val="21"/>
              </w:rPr>
              <w:t>2007-07-26</w:t>
            </w:r>
          </w:p>
        </w:tc>
        <w:tc>
          <w:tcPr>
            <w:tcW w:w="1450" w:type="dxa"/>
            <w:vAlign w:val="center"/>
          </w:tcPr>
          <w:p w14:paraId="0F42F1AC">
            <w:pPr>
              <w:widowControl w:val="0"/>
              <w:bidi w:val="0"/>
              <w:spacing w:line="240" w:lineRule="auto"/>
              <w:jc w:val="center"/>
              <w:rPr>
                <w:sz w:val="21"/>
                <w:szCs w:val="21"/>
              </w:rPr>
            </w:pPr>
            <w:r>
              <w:rPr>
                <w:sz w:val="21"/>
                <w:szCs w:val="21"/>
              </w:rPr>
              <w:t>23.2SW</w:t>
            </w:r>
          </w:p>
        </w:tc>
      </w:tr>
      <w:tr w14:paraId="7E48E2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7642CBD7">
            <w:pPr>
              <w:widowControl w:val="0"/>
              <w:bidi w:val="0"/>
              <w:spacing w:line="240" w:lineRule="auto"/>
              <w:jc w:val="center"/>
              <w:rPr>
                <w:sz w:val="21"/>
                <w:szCs w:val="21"/>
              </w:rPr>
            </w:pPr>
            <w:r>
              <w:rPr>
                <w:sz w:val="21"/>
                <w:szCs w:val="21"/>
              </w:rPr>
              <w:t>多年平均风速（m/s）</w:t>
            </w:r>
          </w:p>
        </w:tc>
        <w:tc>
          <w:tcPr>
            <w:tcW w:w="1455" w:type="dxa"/>
            <w:vAlign w:val="center"/>
          </w:tcPr>
          <w:p w14:paraId="2DF1200E">
            <w:pPr>
              <w:widowControl w:val="0"/>
              <w:bidi w:val="0"/>
              <w:spacing w:line="240" w:lineRule="auto"/>
              <w:jc w:val="center"/>
              <w:rPr>
                <w:rFonts w:hint="eastAsia" w:eastAsia="宋体"/>
                <w:sz w:val="21"/>
                <w:szCs w:val="21"/>
                <w:lang w:eastAsia="zh-CN"/>
              </w:rPr>
            </w:pPr>
            <w:r>
              <w:rPr>
                <w:rFonts w:hint="eastAsia"/>
                <w:sz w:val="21"/>
                <w:szCs w:val="21"/>
                <w:lang w:val="en-US" w:eastAsia="zh-CN"/>
              </w:rPr>
              <w:t>2</w:t>
            </w:r>
          </w:p>
        </w:tc>
        <w:tc>
          <w:tcPr>
            <w:tcW w:w="1871" w:type="dxa"/>
            <w:vAlign w:val="center"/>
          </w:tcPr>
          <w:p w14:paraId="0539446C">
            <w:pPr>
              <w:widowControl w:val="0"/>
              <w:bidi w:val="0"/>
              <w:spacing w:line="240" w:lineRule="auto"/>
              <w:jc w:val="center"/>
              <w:rPr>
                <w:sz w:val="21"/>
                <w:szCs w:val="21"/>
              </w:rPr>
            </w:pPr>
          </w:p>
        </w:tc>
        <w:tc>
          <w:tcPr>
            <w:tcW w:w="1450" w:type="dxa"/>
            <w:vAlign w:val="center"/>
          </w:tcPr>
          <w:p w14:paraId="0A61A8EA">
            <w:pPr>
              <w:widowControl w:val="0"/>
              <w:bidi w:val="0"/>
              <w:spacing w:line="240" w:lineRule="auto"/>
              <w:jc w:val="center"/>
              <w:rPr>
                <w:sz w:val="21"/>
                <w:szCs w:val="21"/>
              </w:rPr>
            </w:pPr>
          </w:p>
        </w:tc>
      </w:tr>
      <w:tr w14:paraId="6CDED9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64F32496">
            <w:pPr>
              <w:widowControl w:val="0"/>
              <w:bidi w:val="0"/>
              <w:spacing w:line="240" w:lineRule="auto"/>
              <w:jc w:val="center"/>
              <w:rPr>
                <w:sz w:val="21"/>
                <w:szCs w:val="21"/>
              </w:rPr>
            </w:pPr>
            <w:r>
              <w:rPr>
                <w:sz w:val="21"/>
                <w:szCs w:val="21"/>
              </w:rPr>
              <w:t>多年主导风向、风向频率</w:t>
            </w:r>
            <w:r>
              <w:rPr>
                <w:rFonts w:hint="eastAsia"/>
                <w:sz w:val="21"/>
                <w:szCs w:val="21"/>
                <w:lang w:eastAsia="zh-CN"/>
              </w:rPr>
              <w:t>（</w:t>
            </w:r>
            <w:r>
              <w:rPr>
                <w:sz w:val="21"/>
                <w:szCs w:val="21"/>
              </w:rPr>
              <w:t>%</w:t>
            </w:r>
            <w:r>
              <w:rPr>
                <w:rFonts w:hint="eastAsia"/>
                <w:sz w:val="21"/>
                <w:szCs w:val="21"/>
                <w:lang w:eastAsia="zh-CN"/>
              </w:rPr>
              <w:t>）</w:t>
            </w:r>
          </w:p>
        </w:tc>
        <w:tc>
          <w:tcPr>
            <w:tcW w:w="1455" w:type="dxa"/>
            <w:vAlign w:val="center"/>
          </w:tcPr>
          <w:p w14:paraId="1757AC35">
            <w:pPr>
              <w:widowControl w:val="0"/>
              <w:bidi w:val="0"/>
              <w:spacing w:line="240" w:lineRule="auto"/>
              <w:jc w:val="center"/>
              <w:rPr>
                <w:sz w:val="21"/>
                <w:szCs w:val="21"/>
              </w:rPr>
            </w:pPr>
            <w:r>
              <w:rPr>
                <w:sz w:val="21"/>
                <w:szCs w:val="21"/>
              </w:rPr>
              <w:t>NE12</w:t>
            </w:r>
            <w:r>
              <w:rPr>
                <w:rFonts w:hint="eastAsia"/>
                <w:sz w:val="21"/>
                <w:szCs w:val="21"/>
                <w:lang w:val="en-US" w:eastAsia="zh-CN"/>
              </w:rPr>
              <w:t>.85</w:t>
            </w:r>
            <w:r>
              <w:rPr>
                <w:sz w:val="21"/>
                <w:szCs w:val="21"/>
              </w:rPr>
              <w:t>%</w:t>
            </w:r>
          </w:p>
        </w:tc>
        <w:tc>
          <w:tcPr>
            <w:tcW w:w="1871" w:type="dxa"/>
            <w:vAlign w:val="center"/>
          </w:tcPr>
          <w:p w14:paraId="0B0E5CFB">
            <w:pPr>
              <w:widowControl w:val="0"/>
              <w:bidi w:val="0"/>
              <w:spacing w:line="240" w:lineRule="auto"/>
              <w:jc w:val="center"/>
              <w:rPr>
                <w:sz w:val="21"/>
                <w:szCs w:val="21"/>
              </w:rPr>
            </w:pPr>
          </w:p>
        </w:tc>
        <w:tc>
          <w:tcPr>
            <w:tcW w:w="1450" w:type="dxa"/>
            <w:vAlign w:val="center"/>
          </w:tcPr>
          <w:p w14:paraId="2EE9350A">
            <w:pPr>
              <w:widowControl w:val="0"/>
              <w:bidi w:val="0"/>
              <w:spacing w:line="240" w:lineRule="auto"/>
              <w:jc w:val="center"/>
              <w:rPr>
                <w:sz w:val="21"/>
                <w:szCs w:val="21"/>
              </w:rPr>
            </w:pPr>
          </w:p>
        </w:tc>
      </w:tr>
      <w:tr w14:paraId="74788C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134" w:type="dxa"/>
            <w:gridSpan w:val="2"/>
            <w:vAlign w:val="center"/>
          </w:tcPr>
          <w:p w14:paraId="62A3632F">
            <w:pPr>
              <w:widowControl w:val="0"/>
              <w:bidi w:val="0"/>
              <w:spacing w:line="240" w:lineRule="auto"/>
              <w:jc w:val="center"/>
              <w:rPr>
                <w:sz w:val="21"/>
                <w:szCs w:val="21"/>
              </w:rPr>
            </w:pPr>
            <w:r>
              <w:rPr>
                <w:sz w:val="21"/>
                <w:szCs w:val="21"/>
              </w:rPr>
              <w:t>多年静风频率</w:t>
            </w:r>
            <w:r>
              <w:rPr>
                <w:rFonts w:hint="eastAsia"/>
                <w:sz w:val="21"/>
                <w:szCs w:val="21"/>
                <w:lang w:eastAsia="zh-CN"/>
              </w:rPr>
              <w:t>（</w:t>
            </w:r>
            <w:r>
              <w:rPr>
                <w:sz w:val="21"/>
                <w:szCs w:val="21"/>
              </w:rPr>
              <w:t>风速&lt;=0.2m/s</w:t>
            </w:r>
            <w:r>
              <w:rPr>
                <w:rFonts w:hint="eastAsia"/>
                <w:sz w:val="21"/>
                <w:szCs w:val="21"/>
                <w:lang w:eastAsia="zh-CN"/>
              </w:rPr>
              <w:t>）（</w:t>
            </w:r>
            <w:r>
              <w:rPr>
                <w:sz w:val="21"/>
                <w:szCs w:val="21"/>
              </w:rPr>
              <w:t>%</w:t>
            </w:r>
            <w:r>
              <w:rPr>
                <w:rFonts w:hint="eastAsia"/>
                <w:sz w:val="21"/>
                <w:szCs w:val="21"/>
                <w:lang w:eastAsia="zh-CN"/>
              </w:rPr>
              <w:t>）</w:t>
            </w:r>
          </w:p>
        </w:tc>
        <w:tc>
          <w:tcPr>
            <w:tcW w:w="1455" w:type="dxa"/>
            <w:vAlign w:val="center"/>
          </w:tcPr>
          <w:p w14:paraId="3B45867E">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4.25</w:t>
            </w:r>
          </w:p>
        </w:tc>
        <w:tc>
          <w:tcPr>
            <w:tcW w:w="1871" w:type="dxa"/>
            <w:vAlign w:val="center"/>
          </w:tcPr>
          <w:p w14:paraId="1EF91AEF">
            <w:pPr>
              <w:widowControl w:val="0"/>
              <w:bidi w:val="0"/>
              <w:spacing w:line="240" w:lineRule="auto"/>
              <w:jc w:val="center"/>
              <w:rPr>
                <w:sz w:val="21"/>
                <w:szCs w:val="21"/>
              </w:rPr>
            </w:pPr>
          </w:p>
        </w:tc>
        <w:tc>
          <w:tcPr>
            <w:tcW w:w="1450" w:type="dxa"/>
            <w:vAlign w:val="center"/>
          </w:tcPr>
          <w:p w14:paraId="0979EFD6">
            <w:pPr>
              <w:widowControl w:val="0"/>
              <w:bidi w:val="0"/>
              <w:spacing w:line="240" w:lineRule="auto"/>
              <w:jc w:val="center"/>
              <w:rPr>
                <w:sz w:val="21"/>
                <w:szCs w:val="21"/>
              </w:rPr>
            </w:pPr>
          </w:p>
        </w:tc>
      </w:tr>
      <w:tr w14:paraId="06DB79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4" w:hRule="atLeast"/>
        </w:trPr>
        <w:tc>
          <w:tcPr>
            <w:tcW w:w="4134" w:type="dxa"/>
            <w:gridSpan w:val="2"/>
            <w:vAlign w:val="center"/>
          </w:tcPr>
          <w:p w14:paraId="1D0E2E83">
            <w:pPr>
              <w:widowControl w:val="0"/>
              <w:bidi w:val="0"/>
              <w:spacing w:line="240" w:lineRule="auto"/>
              <w:jc w:val="center"/>
              <w:rPr>
                <w:sz w:val="21"/>
                <w:szCs w:val="21"/>
              </w:rPr>
            </w:pPr>
            <w:r>
              <w:rPr>
                <w:sz w:val="21"/>
                <w:szCs w:val="21"/>
              </w:rPr>
              <w:t>*统计值代表均值</w:t>
            </w:r>
          </w:p>
          <w:p w14:paraId="1311A6F8">
            <w:pPr>
              <w:widowControl w:val="0"/>
              <w:bidi w:val="0"/>
              <w:spacing w:line="240" w:lineRule="auto"/>
              <w:jc w:val="center"/>
              <w:rPr>
                <w:sz w:val="21"/>
                <w:szCs w:val="21"/>
              </w:rPr>
            </w:pPr>
            <w:r>
              <w:rPr>
                <w:sz w:val="21"/>
                <w:szCs w:val="21"/>
              </w:rPr>
              <w:t>**极值代表极端值</w:t>
            </w:r>
          </w:p>
        </w:tc>
        <w:tc>
          <w:tcPr>
            <w:tcW w:w="1455" w:type="dxa"/>
            <w:vAlign w:val="center"/>
          </w:tcPr>
          <w:p w14:paraId="015D2E7D">
            <w:pPr>
              <w:widowControl w:val="0"/>
              <w:bidi w:val="0"/>
              <w:spacing w:line="240" w:lineRule="auto"/>
              <w:jc w:val="center"/>
              <w:rPr>
                <w:sz w:val="21"/>
                <w:szCs w:val="21"/>
              </w:rPr>
            </w:pPr>
            <w:r>
              <w:rPr>
                <w:sz w:val="21"/>
                <w:szCs w:val="21"/>
              </w:rPr>
              <w:t>举例：累年极端最高气温</w:t>
            </w:r>
          </w:p>
        </w:tc>
        <w:tc>
          <w:tcPr>
            <w:tcW w:w="1871" w:type="dxa"/>
            <w:vAlign w:val="center"/>
          </w:tcPr>
          <w:p w14:paraId="0CB6D48D">
            <w:pPr>
              <w:widowControl w:val="0"/>
              <w:bidi w:val="0"/>
              <w:spacing w:line="240" w:lineRule="auto"/>
              <w:jc w:val="center"/>
              <w:rPr>
                <w:sz w:val="21"/>
                <w:szCs w:val="21"/>
              </w:rPr>
            </w:pPr>
            <w:r>
              <w:rPr>
                <w:sz w:val="21"/>
                <w:szCs w:val="21"/>
              </w:rPr>
              <w:t>*代表极端最高气温的累年平均值</w:t>
            </w:r>
          </w:p>
        </w:tc>
        <w:tc>
          <w:tcPr>
            <w:tcW w:w="1450" w:type="dxa"/>
            <w:vAlign w:val="center"/>
          </w:tcPr>
          <w:p w14:paraId="12D8D5B4">
            <w:pPr>
              <w:widowControl w:val="0"/>
              <w:bidi w:val="0"/>
              <w:spacing w:line="240" w:lineRule="auto"/>
              <w:jc w:val="center"/>
              <w:rPr>
                <w:sz w:val="21"/>
                <w:szCs w:val="21"/>
              </w:rPr>
            </w:pPr>
            <w:r>
              <w:rPr>
                <w:sz w:val="21"/>
                <w:szCs w:val="21"/>
              </w:rPr>
              <w:t>**代表极端最高气温的累年</w:t>
            </w:r>
          </w:p>
        </w:tc>
      </w:tr>
    </w:tbl>
    <w:p w14:paraId="47B9A609">
      <w:pPr>
        <w:bidi w:val="0"/>
        <w:rPr>
          <w:rFonts w:hint="eastAsia"/>
          <w:b/>
          <w:bCs/>
          <w:lang w:val="en-US" w:eastAsia="zh-CN"/>
        </w:rPr>
      </w:pPr>
      <w:r>
        <w:rPr>
          <w:rFonts w:hint="eastAsia"/>
          <w:b/>
          <w:bCs/>
          <w:lang w:val="en-US" w:eastAsia="zh-CN"/>
        </w:rPr>
        <w:t>6.2.1.2 大气环境影响预测</w:t>
      </w:r>
    </w:p>
    <w:p w14:paraId="033F543D">
      <w:pPr>
        <w:bidi w:val="0"/>
        <w:ind w:firstLine="482" w:firstLineChars="200"/>
        <w:rPr>
          <w:rFonts w:hint="eastAsia"/>
          <w:lang w:val="en-US" w:eastAsia="zh-CN"/>
        </w:rPr>
      </w:pPr>
      <w:r>
        <w:rPr>
          <w:rFonts w:hint="eastAsia"/>
          <w:b/>
          <w:bCs/>
          <w:lang w:val="en-US" w:eastAsia="zh-CN"/>
        </w:rPr>
        <w:t>（1）估算模式参数筛选</w:t>
      </w:r>
    </w:p>
    <w:p w14:paraId="5BCD57AF">
      <w:pPr>
        <w:bidi w:val="0"/>
        <w:ind w:firstLine="480" w:firstLineChars="200"/>
        <w:rPr>
          <w:rFonts w:hint="default"/>
          <w:lang w:val="en-US" w:eastAsia="zh-CN"/>
        </w:rPr>
      </w:pPr>
      <w:r>
        <w:rPr>
          <w:rFonts w:hint="default"/>
          <w:lang w:val="en-US" w:eastAsia="zh-CN"/>
        </w:rPr>
        <w:t>①估算模型</w:t>
      </w:r>
    </w:p>
    <w:p w14:paraId="685FBE29">
      <w:pPr>
        <w:bidi w:val="0"/>
        <w:ind w:firstLine="480" w:firstLineChars="200"/>
        <w:rPr>
          <w:rFonts w:hint="default"/>
          <w:lang w:val="en-US" w:eastAsia="zh-CN"/>
        </w:rPr>
      </w:pPr>
      <w:r>
        <w:rPr>
          <w:rFonts w:hint="default"/>
          <w:lang w:val="en-US" w:eastAsia="zh-CN"/>
        </w:rPr>
        <w:t>根据《环境影响评价技术导则 大气环境》（HJ2.2-2018）要求，本次大气环境影响预测先采用AERSCREEN估算模型进行最大落地浓度及占标率的计算，具体估算模型参数如下表。</w:t>
      </w:r>
    </w:p>
    <w:p w14:paraId="65B99D57">
      <w:pPr>
        <w:bidi w:val="0"/>
        <w:jc w:val="center"/>
        <w:rPr>
          <w:rFonts w:hint="default"/>
          <w:b/>
          <w:bCs/>
          <w:lang w:val="en-US" w:eastAsia="zh-CN"/>
        </w:rPr>
      </w:pPr>
      <w:r>
        <w:rPr>
          <w:rFonts w:hint="default"/>
          <w:b/>
          <w:bCs/>
          <w:lang w:val="en-US" w:eastAsia="zh-CN"/>
        </w:rPr>
        <w:t>表6.2.</w:t>
      </w:r>
      <w:r>
        <w:rPr>
          <w:rFonts w:hint="eastAsia"/>
          <w:b/>
          <w:bCs/>
          <w:lang w:val="en-US" w:eastAsia="zh-CN"/>
        </w:rPr>
        <w:t>1</w:t>
      </w:r>
      <w:r>
        <w:rPr>
          <w:rFonts w:hint="default"/>
          <w:b/>
          <w:bCs/>
          <w:lang w:val="en-US" w:eastAsia="zh-CN"/>
        </w:rPr>
        <w:t>-</w:t>
      </w:r>
      <w:r>
        <w:rPr>
          <w:rFonts w:hint="eastAsia"/>
          <w:b/>
          <w:bCs/>
          <w:lang w:val="en-US" w:eastAsia="zh-CN"/>
        </w:rPr>
        <w:t>2</w:t>
      </w:r>
      <w:r>
        <w:rPr>
          <w:rFonts w:hint="default"/>
          <w:b/>
          <w:bCs/>
          <w:lang w:val="en-US" w:eastAsia="zh-CN"/>
        </w:rPr>
        <w:t xml:space="preserve"> 估算模型参数一览表</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088"/>
        <w:gridCol w:w="4809"/>
        <w:gridCol w:w="2467"/>
      </w:tblGrid>
      <w:tr w14:paraId="26196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tblHeader/>
          <w:jc w:val="center"/>
        </w:trPr>
        <w:tc>
          <w:tcPr>
            <w:tcW w:w="3683" w:type="pct"/>
            <w:gridSpan w:val="2"/>
            <w:vAlign w:val="center"/>
          </w:tcPr>
          <w:p w14:paraId="67492677">
            <w:pPr>
              <w:bidi w:val="0"/>
              <w:spacing w:line="240" w:lineRule="auto"/>
              <w:jc w:val="center"/>
              <w:rPr>
                <w:b/>
                <w:bCs/>
                <w:sz w:val="21"/>
                <w:szCs w:val="21"/>
              </w:rPr>
            </w:pPr>
            <w:r>
              <w:rPr>
                <w:b/>
                <w:bCs/>
                <w:sz w:val="21"/>
                <w:szCs w:val="21"/>
              </w:rPr>
              <w:t>参数</w:t>
            </w:r>
          </w:p>
        </w:tc>
        <w:tc>
          <w:tcPr>
            <w:tcW w:w="1317" w:type="pct"/>
            <w:vAlign w:val="center"/>
          </w:tcPr>
          <w:p w14:paraId="4818D21A">
            <w:pPr>
              <w:bidi w:val="0"/>
              <w:spacing w:line="240" w:lineRule="auto"/>
              <w:jc w:val="center"/>
              <w:rPr>
                <w:b/>
                <w:bCs/>
                <w:sz w:val="21"/>
                <w:szCs w:val="21"/>
              </w:rPr>
            </w:pPr>
            <w:r>
              <w:rPr>
                <w:b/>
                <w:bCs/>
                <w:sz w:val="21"/>
                <w:szCs w:val="21"/>
              </w:rPr>
              <w:t>取值</w:t>
            </w:r>
          </w:p>
        </w:tc>
      </w:tr>
      <w:tr w14:paraId="3B8A3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restart"/>
            <w:vAlign w:val="center"/>
          </w:tcPr>
          <w:p w14:paraId="23813ADB">
            <w:pPr>
              <w:bidi w:val="0"/>
              <w:spacing w:line="240" w:lineRule="auto"/>
              <w:jc w:val="center"/>
              <w:rPr>
                <w:sz w:val="21"/>
                <w:szCs w:val="21"/>
              </w:rPr>
            </w:pPr>
            <w:r>
              <w:rPr>
                <w:sz w:val="21"/>
                <w:szCs w:val="21"/>
              </w:rPr>
              <w:t>城市/农村选项</w:t>
            </w:r>
          </w:p>
        </w:tc>
        <w:tc>
          <w:tcPr>
            <w:tcW w:w="2568" w:type="pct"/>
            <w:vAlign w:val="center"/>
          </w:tcPr>
          <w:p w14:paraId="1EF188FB">
            <w:pPr>
              <w:bidi w:val="0"/>
              <w:spacing w:line="240" w:lineRule="auto"/>
              <w:jc w:val="center"/>
              <w:rPr>
                <w:sz w:val="21"/>
                <w:szCs w:val="21"/>
              </w:rPr>
            </w:pPr>
            <w:r>
              <w:rPr>
                <w:sz w:val="21"/>
                <w:szCs w:val="21"/>
              </w:rPr>
              <w:t>城市/农村</w:t>
            </w:r>
          </w:p>
        </w:tc>
        <w:tc>
          <w:tcPr>
            <w:tcW w:w="1317" w:type="pct"/>
            <w:vAlign w:val="center"/>
          </w:tcPr>
          <w:p w14:paraId="571DEA27">
            <w:pPr>
              <w:bidi w:val="0"/>
              <w:spacing w:line="240" w:lineRule="auto"/>
              <w:jc w:val="center"/>
              <w:rPr>
                <w:sz w:val="21"/>
                <w:szCs w:val="21"/>
              </w:rPr>
            </w:pPr>
            <w:r>
              <w:rPr>
                <w:rFonts w:hint="eastAsia"/>
                <w:sz w:val="21"/>
                <w:szCs w:val="21"/>
              </w:rPr>
              <w:t>城市</w:t>
            </w:r>
          </w:p>
        </w:tc>
      </w:tr>
      <w:tr w14:paraId="112C7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continue"/>
            <w:vAlign w:val="center"/>
          </w:tcPr>
          <w:p w14:paraId="7E7BE2BA">
            <w:pPr>
              <w:bidi w:val="0"/>
              <w:spacing w:line="240" w:lineRule="auto"/>
              <w:jc w:val="center"/>
              <w:rPr>
                <w:sz w:val="21"/>
                <w:szCs w:val="21"/>
              </w:rPr>
            </w:pPr>
          </w:p>
        </w:tc>
        <w:tc>
          <w:tcPr>
            <w:tcW w:w="2568" w:type="pct"/>
            <w:vAlign w:val="center"/>
          </w:tcPr>
          <w:p w14:paraId="1509A228">
            <w:pPr>
              <w:bidi w:val="0"/>
              <w:spacing w:line="240" w:lineRule="auto"/>
              <w:jc w:val="center"/>
              <w:rPr>
                <w:sz w:val="21"/>
                <w:szCs w:val="21"/>
              </w:rPr>
            </w:pPr>
            <w:r>
              <w:rPr>
                <w:sz w:val="21"/>
                <w:szCs w:val="21"/>
              </w:rPr>
              <w:t>人口数（城市选项时）</w:t>
            </w:r>
          </w:p>
        </w:tc>
        <w:tc>
          <w:tcPr>
            <w:tcW w:w="1317" w:type="pct"/>
            <w:vAlign w:val="center"/>
          </w:tcPr>
          <w:p w14:paraId="2574768B">
            <w:pPr>
              <w:bidi w:val="0"/>
              <w:spacing w:line="240" w:lineRule="auto"/>
              <w:jc w:val="center"/>
              <w:rPr>
                <w:sz w:val="21"/>
                <w:szCs w:val="21"/>
              </w:rPr>
            </w:pPr>
            <w:r>
              <w:rPr>
                <w:rFonts w:hint="eastAsia"/>
                <w:sz w:val="21"/>
                <w:szCs w:val="21"/>
                <w:lang w:val="en-US" w:eastAsia="zh-CN"/>
              </w:rPr>
              <w:t>91.6</w:t>
            </w:r>
            <w:r>
              <w:rPr>
                <w:rFonts w:hint="eastAsia"/>
                <w:sz w:val="21"/>
                <w:szCs w:val="21"/>
              </w:rPr>
              <w:t>万</w:t>
            </w:r>
          </w:p>
        </w:tc>
      </w:tr>
      <w:tr w14:paraId="228DA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3683" w:type="pct"/>
            <w:gridSpan w:val="2"/>
            <w:vAlign w:val="center"/>
          </w:tcPr>
          <w:p w14:paraId="6A73E511">
            <w:pPr>
              <w:bidi w:val="0"/>
              <w:spacing w:line="240" w:lineRule="auto"/>
              <w:jc w:val="center"/>
              <w:rPr>
                <w:sz w:val="21"/>
                <w:szCs w:val="21"/>
              </w:rPr>
            </w:pPr>
            <w:r>
              <w:rPr>
                <w:sz w:val="21"/>
                <w:szCs w:val="21"/>
              </w:rPr>
              <w:t>最高环境温度（</w:t>
            </w:r>
            <w:r>
              <w:rPr>
                <w:rFonts w:hint="eastAsia"/>
                <w:sz w:val="21"/>
                <w:szCs w:val="21"/>
              </w:rPr>
              <w:t>℃</w:t>
            </w:r>
            <w:r>
              <w:rPr>
                <w:sz w:val="21"/>
                <w:szCs w:val="21"/>
              </w:rPr>
              <w:t>）</w:t>
            </w:r>
          </w:p>
        </w:tc>
        <w:tc>
          <w:tcPr>
            <w:tcW w:w="1317" w:type="pct"/>
            <w:vAlign w:val="center"/>
          </w:tcPr>
          <w:p w14:paraId="7DFF25F7">
            <w:pPr>
              <w:bidi w:val="0"/>
              <w:spacing w:line="240" w:lineRule="auto"/>
              <w:jc w:val="center"/>
              <w:rPr>
                <w:rFonts w:hint="eastAsia" w:eastAsia="宋体"/>
                <w:sz w:val="21"/>
                <w:szCs w:val="21"/>
                <w:lang w:eastAsia="zh-CN"/>
              </w:rPr>
            </w:pPr>
            <w:r>
              <w:rPr>
                <w:sz w:val="21"/>
                <w:szCs w:val="21"/>
              </w:rPr>
              <w:t>40.</w:t>
            </w:r>
            <w:r>
              <w:rPr>
                <w:rFonts w:hint="eastAsia"/>
                <w:sz w:val="21"/>
                <w:szCs w:val="21"/>
                <w:lang w:val="en-US" w:eastAsia="zh-CN"/>
              </w:rPr>
              <w:t>2</w:t>
            </w:r>
          </w:p>
        </w:tc>
      </w:tr>
      <w:tr w14:paraId="6629E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3683" w:type="pct"/>
            <w:gridSpan w:val="2"/>
            <w:vAlign w:val="center"/>
          </w:tcPr>
          <w:p w14:paraId="6616619B">
            <w:pPr>
              <w:bidi w:val="0"/>
              <w:spacing w:line="240" w:lineRule="auto"/>
              <w:jc w:val="center"/>
              <w:rPr>
                <w:sz w:val="21"/>
                <w:szCs w:val="21"/>
              </w:rPr>
            </w:pPr>
            <w:r>
              <w:rPr>
                <w:sz w:val="21"/>
                <w:szCs w:val="21"/>
              </w:rPr>
              <w:t>最低环境温度（</w:t>
            </w:r>
            <w:r>
              <w:rPr>
                <w:rFonts w:hint="eastAsia"/>
                <w:sz w:val="21"/>
                <w:szCs w:val="21"/>
              </w:rPr>
              <w:t>℃</w:t>
            </w:r>
            <w:r>
              <w:rPr>
                <w:sz w:val="21"/>
                <w:szCs w:val="21"/>
              </w:rPr>
              <w:t>）</w:t>
            </w:r>
          </w:p>
        </w:tc>
        <w:tc>
          <w:tcPr>
            <w:tcW w:w="1317" w:type="pct"/>
            <w:vAlign w:val="center"/>
          </w:tcPr>
          <w:p w14:paraId="35DBBF60">
            <w:pPr>
              <w:bidi w:val="0"/>
              <w:spacing w:line="240" w:lineRule="auto"/>
              <w:jc w:val="center"/>
              <w:rPr>
                <w:rFonts w:hint="eastAsia" w:eastAsia="宋体"/>
                <w:sz w:val="21"/>
                <w:szCs w:val="21"/>
                <w:lang w:eastAsia="zh-CN"/>
              </w:rPr>
            </w:pPr>
            <w:r>
              <w:rPr>
                <w:sz w:val="21"/>
                <w:szCs w:val="21"/>
              </w:rPr>
              <w:t>-13.</w:t>
            </w:r>
            <w:r>
              <w:rPr>
                <w:rFonts w:hint="eastAsia"/>
                <w:sz w:val="21"/>
                <w:szCs w:val="21"/>
                <w:lang w:val="en-US" w:eastAsia="zh-CN"/>
              </w:rPr>
              <w:t>0</w:t>
            </w:r>
          </w:p>
        </w:tc>
      </w:tr>
      <w:tr w14:paraId="36DB6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3683" w:type="pct"/>
            <w:gridSpan w:val="2"/>
            <w:vAlign w:val="center"/>
          </w:tcPr>
          <w:p w14:paraId="226D0D4C">
            <w:pPr>
              <w:bidi w:val="0"/>
              <w:spacing w:line="240" w:lineRule="auto"/>
              <w:jc w:val="center"/>
              <w:rPr>
                <w:sz w:val="21"/>
                <w:szCs w:val="21"/>
              </w:rPr>
            </w:pPr>
            <w:r>
              <w:rPr>
                <w:sz w:val="21"/>
                <w:szCs w:val="21"/>
              </w:rPr>
              <w:t>土地利用类型</w:t>
            </w:r>
          </w:p>
        </w:tc>
        <w:tc>
          <w:tcPr>
            <w:tcW w:w="1317" w:type="pct"/>
            <w:vAlign w:val="center"/>
          </w:tcPr>
          <w:p w14:paraId="7CCA998D">
            <w:pPr>
              <w:bidi w:val="0"/>
              <w:spacing w:line="240" w:lineRule="auto"/>
              <w:jc w:val="center"/>
              <w:rPr>
                <w:sz w:val="21"/>
                <w:szCs w:val="21"/>
              </w:rPr>
            </w:pPr>
            <w:r>
              <w:rPr>
                <w:rFonts w:hint="eastAsia"/>
                <w:sz w:val="21"/>
                <w:szCs w:val="21"/>
              </w:rPr>
              <w:t>城市</w:t>
            </w:r>
          </w:p>
        </w:tc>
      </w:tr>
      <w:tr w14:paraId="0523F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3683" w:type="pct"/>
            <w:gridSpan w:val="2"/>
            <w:vAlign w:val="center"/>
          </w:tcPr>
          <w:p w14:paraId="24AF12A4">
            <w:pPr>
              <w:bidi w:val="0"/>
              <w:spacing w:line="240" w:lineRule="auto"/>
              <w:jc w:val="center"/>
              <w:rPr>
                <w:sz w:val="21"/>
                <w:szCs w:val="21"/>
              </w:rPr>
            </w:pPr>
            <w:r>
              <w:rPr>
                <w:sz w:val="21"/>
                <w:szCs w:val="21"/>
              </w:rPr>
              <w:t>区域湿度条件</w:t>
            </w:r>
          </w:p>
        </w:tc>
        <w:tc>
          <w:tcPr>
            <w:tcW w:w="1317" w:type="pct"/>
            <w:vAlign w:val="center"/>
          </w:tcPr>
          <w:p w14:paraId="136E9461">
            <w:pPr>
              <w:bidi w:val="0"/>
              <w:spacing w:line="240" w:lineRule="auto"/>
              <w:jc w:val="center"/>
              <w:rPr>
                <w:sz w:val="21"/>
                <w:szCs w:val="21"/>
              </w:rPr>
            </w:pPr>
            <w:r>
              <w:rPr>
                <w:rFonts w:hint="eastAsia"/>
                <w:sz w:val="21"/>
                <w:szCs w:val="21"/>
                <w:lang w:val="en-US" w:eastAsia="zh-CN"/>
              </w:rPr>
              <w:t>中等湿度</w:t>
            </w:r>
          </w:p>
        </w:tc>
      </w:tr>
      <w:tr w14:paraId="0AFEB3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restart"/>
            <w:vAlign w:val="center"/>
          </w:tcPr>
          <w:p w14:paraId="06FC4DEF">
            <w:pPr>
              <w:bidi w:val="0"/>
              <w:spacing w:line="240" w:lineRule="auto"/>
              <w:jc w:val="center"/>
              <w:rPr>
                <w:sz w:val="21"/>
                <w:szCs w:val="21"/>
              </w:rPr>
            </w:pPr>
            <w:r>
              <w:rPr>
                <w:sz w:val="21"/>
                <w:szCs w:val="21"/>
              </w:rPr>
              <w:t>是否考虑地形</w:t>
            </w:r>
          </w:p>
        </w:tc>
        <w:tc>
          <w:tcPr>
            <w:tcW w:w="2568" w:type="pct"/>
            <w:vAlign w:val="center"/>
          </w:tcPr>
          <w:p w14:paraId="59944EA4">
            <w:pPr>
              <w:bidi w:val="0"/>
              <w:spacing w:line="240" w:lineRule="auto"/>
              <w:jc w:val="center"/>
              <w:rPr>
                <w:sz w:val="21"/>
                <w:szCs w:val="21"/>
              </w:rPr>
            </w:pPr>
            <w:r>
              <w:rPr>
                <w:sz w:val="21"/>
                <w:szCs w:val="21"/>
              </w:rPr>
              <w:t>考虑地形</w:t>
            </w:r>
          </w:p>
        </w:tc>
        <w:tc>
          <w:tcPr>
            <w:tcW w:w="1317" w:type="pct"/>
            <w:vAlign w:val="center"/>
          </w:tcPr>
          <w:p w14:paraId="08DB5F01">
            <w:pPr>
              <w:bidi w:val="0"/>
              <w:spacing w:line="240" w:lineRule="auto"/>
              <w:jc w:val="center"/>
              <w:rPr>
                <w:rFonts w:hint="eastAsia"/>
                <w:sz w:val="21"/>
                <w:szCs w:val="21"/>
              </w:rPr>
            </w:pPr>
            <w:r>
              <w:rPr>
                <w:sz w:val="21"/>
                <w:szCs w:val="21"/>
              </w:rPr>
              <w:t>是√     否</w:t>
            </w:r>
          </w:p>
        </w:tc>
      </w:tr>
      <w:tr w14:paraId="36EF2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continue"/>
            <w:vAlign w:val="center"/>
          </w:tcPr>
          <w:p w14:paraId="4C59CDA7">
            <w:pPr>
              <w:bidi w:val="0"/>
              <w:spacing w:line="240" w:lineRule="auto"/>
              <w:jc w:val="center"/>
              <w:rPr>
                <w:sz w:val="21"/>
                <w:szCs w:val="21"/>
              </w:rPr>
            </w:pPr>
          </w:p>
        </w:tc>
        <w:tc>
          <w:tcPr>
            <w:tcW w:w="2568" w:type="pct"/>
            <w:vAlign w:val="center"/>
          </w:tcPr>
          <w:p w14:paraId="0FD7A86D">
            <w:pPr>
              <w:bidi w:val="0"/>
              <w:spacing w:line="240" w:lineRule="auto"/>
              <w:jc w:val="center"/>
              <w:rPr>
                <w:sz w:val="21"/>
                <w:szCs w:val="21"/>
              </w:rPr>
            </w:pPr>
            <w:r>
              <w:rPr>
                <w:sz w:val="21"/>
                <w:szCs w:val="21"/>
              </w:rPr>
              <w:t>地形数据分辨率（m）</w:t>
            </w:r>
          </w:p>
        </w:tc>
        <w:tc>
          <w:tcPr>
            <w:tcW w:w="1317" w:type="pct"/>
            <w:vAlign w:val="center"/>
          </w:tcPr>
          <w:p w14:paraId="596AC3E0">
            <w:pPr>
              <w:bidi w:val="0"/>
              <w:spacing w:line="240" w:lineRule="auto"/>
              <w:jc w:val="center"/>
              <w:rPr>
                <w:sz w:val="21"/>
                <w:szCs w:val="21"/>
              </w:rPr>
            </w:pPr>
            <w:r>
              <w:rPr>
                <w:sz w:val="21"/>
                <w:szCs w:val="21"/>
              </w:rPr>
              <w:t>90m</w:t>
            </w:r>
          </w:p>
        </w:tc>
      </w:tr>
      <w:tr w14:paraId="2FC3C7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restart"/>
            <w:vAlign w:val="center"/>
          </w:tcPr>
          <w:p w14:paraId="2AF5ED69">
            <w:pPr>
              <w:bidi w:val="0"/>
              <w:spacing w:line="240" w:lineRule="auto"/>
              <w:jc w:val="center"/>
              <w:rPr>
                <w:sz w:val="21"/>
                <w:szCs w:val="21"/>
              </w:rPr>
            </w:pPr>
            <w:r>
              <w:rPr>
                <w:sz w:val="21"/>
                <w:szCs w:val="21"/>
              </w:rPr>
              <w:t>是否考虑岸线熏烟</w:t>
            </w:r>
          </w:p>
        </w:tc>
        <w:tc>
          <w:tcPr>
            <w:tcW w:w="2568" w:type="pct"/>
            <w:vAlign w:val="center"/>
          </w:tcPr>
          <w:p w14:paraId="2B04B985">
            <w:pPr>
              <w:bidi w:val="0"/>
              <w:spacing w:line="240" w:lineRule="auto"/>
              <w:jc w:val="center"/>
              <w:rPr>
                <w:sz w:val="21"/>
                <w:szCs w:val="21"/>
              </w:rPr>
            </w:pPr>
            <w:r>
              <w:rPr>
                <w:sz w:val="21"/>
                <w:szCs w:val="21"/>
              </w:rPr>
              <w:t>考虑岸线熏烟</w:t>
            </w:r>
          </w:p>
        </w:tc>
        <w:tc>
          <w:tcPr>
            <w:tcW w:w="1317" w:type="pct"/>
            <w:vAlign w:val="center"/>
          </w:tcPr>
          <w:p w14:paraId="1BE259A8">
            <w:pPr>
              <w:bidi w:val="0"/>
              <w:spacing w:line="240" w:lineRule="auto"/>
              <w:jc w:val="center"/>
              <w:rPr>
                <w:rFonts w:hint="eastAsia"/>
                <w:sz w:val="21"/>
                <w:szCs w:val="21"/>
              </w:rPr>
            </w:pPr>
            <w:r>
              <w:rPr>
                <w:sz w:val="21"/>
                <w:szCs w:val="21"/>
              </w:rPr>
              <w:t>是      否√</w:t>
            </w:r>
          </w:p>
        </w:tc>
      </w:tr>
      <w:tr w14:paraId="6B655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continue"/>
            <w:vAlign w:val="center"/>
          </w:tcPr>
          <w:p w14:paraId="10AB8B60">
            <w:pPr>
              <w:bidi w:val="0"/>
              <w:spacing w:line="240" w:lineRule="auto"/>
              <w:jc w:val="center"/>
              <w:rPr>
                <w:sz w:val="21"/>
                <w:szCs w:val="21"/>
              </w:rPr>
            </w:pPr>
          </w:p>
        </w:tc>
        <w:tc>
          <w:tcPr>
            <w:tcW w:w="2568" w:type="pct"/>
            <w:vAlign w:val="center"/>
          </w:tcPr>
          <w:p w14:paraId="03297311">
            <w:pPr>
              <w:bidi w:val="0"/>
              <w:spacing w:line="240" w:lineRule="auto"/>
              <w:jc w:val="center"/>
              <w:rPr>
                <w:sz w:val="21"/>
                <w:szCs w:val="21"/>
              </w:rPr>
            </w:pPr>
            <w:r>
              <w:rPr>
                <w:sz w:val="21"/>
                <w:szCs w:val="21"/>
              </w:rPr>
              <w:t>岸线距离（km）</w:t>
            </w:r>
          </w:p>
        </w:tc>
        <w:tc>
          <w:tcPr>
            <w:tcW w:w="1317" w:type="pct"/>
            <w:vAlign w:val="center"/>
          </w:tcPr>
          <w:p w14:paraId="7DC24DE2">
            <w:pPr>
              <w:bidi w:val="0"/>
              <w:spacing w:line="240" w:lineRule="auto"/>
              <w:jc w:val="center"/>
              <w:rPr>
                <w:sz w:val="21"/>
                <w:szCs w:val="21"/>
              </w:rPr>
            </w:pPr>
            <w:r>
              <w:rPr>
                <w:sz w:val="21"/>
                <w:szCs w:val="21"/>
              </w:rPr>
              <w:t>/</w:t>
            </w:r>
          </w:p>
        </w:tc>
      </w:tr>
      <w:tr w14:paraId="3EBF5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exact"/>
          <w:jc w:val="center"/>
        </w:trPr>
        <w:tc>
          <w:tcPr>
            <w:tcW w:w="1115" w:type="pct"/>
            <w:vMerge w:val="continue"/>
            <w:vAlign w:val="center"/>
          </w:tcPr>
          <w:p w14:paraId="296CFAD7">
            <w:pPr>
              <w:bidi w:val="0"/>
              <w:spacing w:line="240" w:lineRule="auto"/>
              <w:jc w:val="center"/>
              <w:rPr>
                <w:sz w:val="21"/>
                <w:szCs w:val="21"/>
              </w:rPr>
            </w:pPr>
          </w:p>
        </w:tc>
        <w:tc>
          <w:tcPr>
            <w:tcW w:w="2568" w:type="pct"/>
            <w:vAlign w:val="center"/>
          </w:tcPr>
          <w:p w14:paraId="11FEB35C">
            <w:pPr>
              <w:bidi w:val="0"/>
              <w:spacing w:line="240" w:lineRule="auto"/>
              <w:jc w:val="center"/>
              <w:rPr>
                <w:sz w:val="21"/>
                <w:szCs w:val="21"/>
              </w:rPr>
            </w:pPr>
            <w:r>
              <w:rPr>
                <w:sz w:val="21"/>
                <w:szCs w:val="21"/>
              </w:rPr>
              <w:t>岸线方向</w:t>
            </w:r>
            <w:r>
              <w:rPr>
                <w:rFonts w:hint="eastAsia"/>
                <w:sz w:val="21"/>
                <w:szCs w:val="21"/>
                <w:lang w:eastAsia="zh-CN"/>
              </w:rPr>
              <w:t>（</w:t>
            </w:r>
            <w:r>
              <w:rPr>
                <w:sz w:val="21"/>
                <w:szCs w:val="21"/>
              </w:rPr>
              <w:t>°</w:t>
            </w:r>
            <w:r>
              <w:rPr>
                <w:rFonts w:hint="eastAsia"/>
                <w:sz w:val="21"/>
                <w:szCs w:val="21"/>
                <w:lang w:eastAsia="zh-CN"/>
              </w:rPr>
              <w:t>）</w:t>
            </w:r>
          </w:p>
        </w:tc>
        <w:tc>
          <w:tcPr>
            <w:tcW w:w="1317" w:type="pct"/>
            <w:vAlign w:val="center"/>
          </w:tcPr>
          <w:p w14:paraId="68536981">
            <w:pPr>
              <w:bidi w:val="0"/>
              <w:spacing w:line="240" w:lineRule="auto"/>
              <w:jc w:val="center"/>
              <w:rPr>
                <w:sz w:val="21"/>
                <w:szCs w:val="21"/>
              </w:rPr>
            </w:pPr>
            <w:r>
              <w:rPr>
                <w:sz w:val="21"/>
                <w:szCs w:val="21"/>
              </w:rPr>
              <w:t>/</w:t>
            </w:r>
          </w:p>
        </w:tc>
      </w:tr>
    </w:tbl>
    <w:p w14:paraId="66730EE4">
      <w:pPr>
        <w:bidi w:val="0"/>
        <w:ind w:firstLine="480" w:firstLineChars="200"/>
      </w:pPr>
      <w:r>
        <w:rPr>
          <w:rFonts w:hint="default"/>
        </w:rPr>
        <w:t>②</w:t>
      </w:r>
      <w:r>
        <w:t>预测因子</w:t>
      </w:r>
    </w:p>
    <w:p w14:paraId="24F59B90">
      <w:pPr>
        <w:ind w:firstLine="480"/>
        <w:rPr>
          <w:rFonts w:hint="eastAsia" w:ascii="宋体" w:hAnsi="宋体"/>
          <w:color w:val="auto"/>
        </w:rPr>
      </w:pPr>
      <w:r>
        <w:rPr>
          <w:rFonts w:hint="eastAsia" w:ascii="宋体" w:hAnsi="宋体"/>
          <w:color w:val="auto"/>
        </w:rPr>
        <w:t>本</w:t>
      </w:r>
      <w:r>
        <w:rPr>
          <w:rFonts w:hint="eastAsia" w:ascii="宋体" w:hAnsi="宋体"/>
          <w:color w:val="auto"/>
          <w:lang w:val="en-US" w:eastAsia="zh-CN"/>
        </w:rPr>
        <w:t>次技改</w:t>
      </w:r>
      <w:r>
        <w:rPr>
          <w:rFonts w:hint="eastAsia" w:ascii="宋体" w:hAnsi="宋体"/>
          <w:color w:val="auto"/>
        </w:rPr>
        <w:t>项目</w:t>
      </w:r>
      <w:r>
        <w:rPr>
          <w:rFonts w:hint="eastAsia" w:ascii="宋体" w:hAnsi="宋体"/>
          <w:color w:val="auto"/>
          <w:lang w:val="en-US" w:eastAsia="zh-CN"/>
        </w:rPr>
        <w:t>涉及到的废气</w:t>
      </w:r>
      <w:r>
        <w:rPr>
          <w:rFonts w:hint="eastAsia" w:ascii="宋体" w:hAnsi="宋体"/>
          <w:color w:val="auto"/>
        </w:rPr>
        <w:t>污染物主要为颗粒物</w:t>
      </w:r>
      <w:r>
        <w:rPr>
          <w:rFonts w:hint="eastAsia" w:ascii="宋体" w:hAnsi="宋体"/>
          <w:color w:val="auto"/>
          <w:lang w:val="en-US" w:eastAsia="zh-CN"/>
        </w:rPr>
        <w:t>和非甲烷总烃</w:t>
      </w:r>
      <w:r>
        <w:rPr>
          <w:rFonts w:hint="eastAsia" w:ascii="宋体" w:hAnsi="宋体"/>
          <w:color w:val="auto"/>
        </w:rPr>
        <w:t>，因此本次预测因子选定为非甲烷总烃、</w:t>
      </w:r>
      <w:r>
        <w:rPr>
          <w:color w:val="auto"/>
        </w:rPr>
        <w:t>PM</w:t>
      </w:r>
      <w:r>
        <w:rPr>
          <w:rFonts w:hint="eastAsia"/>
          <w:color w:val="auto"/>
          <w:vertAlign w:val="subscript"/>
        </w:rPr>
        <w:t>2.5</w:t>
      </w:r>
      <w:r>
        <w:rPr>
          <w:rFonts w:hint="eastAsia" w:ascii="宋体" w:hAnsi="宋体"/>
          <w:color w:val="auto"/>
        </w:rPr>
        <w:t>、</w:t>
      </w:r>
      <w:r>
        <w:rPr>
          <w:color w:val="auto"/>
        </w:rPr>
        <w:t>PM</w:t>
      </w:r>
      <w:r>
        <w:rPr>
          <w:color w:val="auto"/>
          <w:vertAlign w:val="subscript"/>
        </w:rPr>
        <w:t>10</w:t>
      </w:r>
      <w:r>
        <w:rPr>
          <w:rFonts w:hint="eastAsia" w:ascii="宋体" w:hAnsi="宋体"/>
          <w:color w:val="auto"/>
        </w:rPr>
        <w:t>、</w:t>
      </w:r>
      <w:r>
        <w:rPr>
          <w:color w:val="auto"/>
        </w:rPr>
        <w:t>TSP</w:t>
      </w:r>
      <w:r>
        <w:rPr>
          <w:rFonts w:hint="eastAsia" w:ascii="宋体" w:hAnsi="宋体"/>
          <w:color w:val="auto"/>
        </w:rPr>
        <w:t>。</w:t>
      </w:r>
      <w:r>
        <w:rPr>
          <w:rFonts w:hint="eastAsia"/>
          <w:color w:val="auto"/>
        </w:rPr>
        <w:t>其中PM</w:t>
      </w:r>
      <w:r>
        <w:rPr>
          <w:rFonts w:hint="eastAsia"/>
          <w:color w:val="auto"/>
          <w:vertAlign w:val="subscript"/>
        </w:rPr>
        <w:t>2.5</w:t>
      </w:r>
      <w:r>
        <w:rPr>
          <w:rFonts w:hint="eastAsia"/>
          <w:color w:val="auto"/>
        </w:rPr>
        <w:t>的源强为计算颗粒物的50%，PM</w:t>
      </w:r>
      <w:r>
        <w:rPr>
          <w:rFonts w:hint="eastAsia"/>
          <w:color w:val="auto"/>
          <w:vertAlign w:val="subscript"/>
        </w:rPr>
        <w:t>10</w:t>
      </w:r>
      <w:r>
        <w:rPr>
          <w:rFonts w:hint="eastAsia"/>
          <w:color w:val="auto"/>
        </w:rPr>
        <w:t>的源强为计算颗粒物的100%。</w:t>
      </w:r>
    </w:p>
    <w:p w14:paraId="7C4E72A6">
      <w:pPr>
        <w:bidi w:val="0"/>
        <w:ind w:firstLine="480" w:firstLineChars="200"/>
      </w:pPr>
      <w:r>
        <w:rPr>
          <w:rFonts w:hint="default"/>
        </w:rPr>
        <w:t>③</w:t>
      </w:r>
      <w:r>
        <w:t>预测评价标准</w:t>
      </w:r>
    </w:p>
    <w:p w14:paraId="7A7F44F4">
      <w:pPr>
        <w:ind w:firstLine="480" w:firstLineChars="200"/>
        <w:rPr>
          <w:rFonts w:cs="Times New Roman"/>
          <w:color w:val="auto"/>
        </w:rPr>
      </w:pPr>
      <w:r>
        <w:rPr>
          <w:rFonts w:hint="eastAsia"/>
          <w:color w:val="auto"/>
        </w:rPr>
        <w:t>项目</w:t>
      </w:r>
      <w:r>
        <w:rPr>
          <w:color w:val="auto"/>
        </w:rPr>
        <w:t>评价区域</w:t>
      </w:r>
      <w:r>
        <w:rPr>
          <w:rFonts w:hint="eastAsia"/>
          <w:color w:val="auto"/>
          <w:lang w:val="en-US"/>
        </w:rPr>
        <w:t>PM</w:t>
      </w:r>
      <w:r>
        <w:rPr>
          <w:rFonts w:hint="eastAsia"/>
          <w:color w:val="auto"/>
          <w:vertAlign w:val="subscript"/>
          <w:lang w:val="en-US"/>
        </w:rPr>
        <w:t>2.5</w:t>
      </w:r>
      <w:r>
        <w:rPr>
          <w:rFonts w:hint="eastAsia"/>
          <w:color w:val="auto"/>
          <w:lang w:val="en-US" w:eastAsia="zh-CN"/>
        </w:rPr>
        <w:t>、</w:t>
      </w:r>
      <w:r>
        <w:rPr>
          <w:rFonts w:hint="eastAsia"/>
          <w:color w:val="auto"/>
          <w:lang w:val="en-US"/>
        </w:rPr>
        <w:t>PM</w:t>
      </w:r>
      <w:r>
        <w:rPr>
          <w:rFonts w:hint="eastAsia"/>
          <w:color w:val="auto"/>
          <w:vertAlign w:val="subscript"/>
          <w:lang w:val="en-US"/>
        </w:rPr>
        <w:t>10</w:t>
      </w:r>
      <w:r>
        <w:rPr>
          <w:rFonts w:hint="eastAsia"/>
          <w:color w:val="auto"/>
          <w:vertAlign w:val="baseline"/>
          <w:lang w:val="en-US" w:eastAsia="zh-CN"/>
        </w:rPr>
        <w:t>、TSP</w:t>
      </w:r>
      <w:r>
        <w:rPr>
          <w:color w:val="auto"/>
        </w:rPr>
        <w:t>大气环境质量评价</w:t>
      </w:r>
      <w:r>
        <w:rPr>
          <w:rFonts w:hint="eastAsia"/>
          <w:color w:val="auto"/>
        </w:rPr>
        <w:t>执行</w:t>
      </w:r>
      <w:r>
        <w:rPr>
          <w:color w:val="auto"/>
        </w:rPr>
        <w:t>《环境空气质量标准》</w:t>
      </w:r>
      <w:r>
        <w:rPr>
          <w:rFonts w:hint="eastAsia"/>
          <w:color w:val="auto"/>
        </w:rPr>
        <w:t>（</w:t>
      </w:r>
      <w:r>
        <w:rPr>
          <w:color w:val="auto"/>
        </w:rPr>
        <w:t>GB3096</w:t>
      </w:r>
      <w:r>
        <w:rPr>
          <w:rFonts w:hint="eastAsia"/>
          <w:color w:val="auto"/>
        </w:rPr>
        <w:t>-20</w:t>
      </w:r>
      <w:r>
        <w:rPr>
          <w:rFonts w:hint="eastAsia"/>
          <w:color w:val="auto"/>
          <w:lang w:val="en-US" w:eastAsia="zh-CN"/>
        </w:rPr>
        <w:t>26</w:t>
      </w:r>
      <w:r>
        <w:rPr>
          <w:rFonts w:hint="eastAsia"/>
          <w:color w:val="auto"/>
        </w:rPr>
        <w:t>）</w:t>
      </w:r>
      <w:r>
        <w:rPr>
          <w:color w:val="auto"/>
        </w:rPr>
        <w:t>中的</w:t>
      </w:r>
      <w:r>
        <w:rPr>
          <w:rFonts w:hint="eastAsia"/>
          <w:color w:val="auto"/>
        </w:rPr>
        <w:t>二</w:t>
      </w:r>
      <w:r>
        <w:rPr>
          <w:color w:val="auto"/>
        </w:rPr>
        <w:t>级标准</w:t>
      </w:r>
      <w:r>
        <w:rPr>
          <w:rFonts w:hint="eastAsia"/>
          <w:color w:val="auto"/>
          <w:lang w:eastAsia="zh-CN"/>
        </w:rPr>
        <w:t>；</w:t>
      </w:r>
      <w:r>
        <w:rPr>
          <w:rFonts w:hint="eastAsia" w:ascii="宋体" w:hAnsi="宋体"/>
          <w:color w:val="auto"/>
        </w:rPr>
        <w:t>非甲烷总烃</w:t>
      </w:r>
      <w:r>
        <w:rPr>
          <w:rFonts w:hint="eastAsia" w:ascii="宋体" w:hAnsi="宋体"/>
          <w:color w:val="auto"/>
          <w:lang w:val="en-US" w:eastAsia="zh-CN"/>
        </w:rPr>
        <w:t>执行《大气污染物综合排放标准详解》中推荐值，具体如下</w:t>
      </w:r>
      <w:r>
        <w:rPr>
          <w:rFonts w:hint="eastAsia"/>
          <w:color w:val="auto"/>
        </w:rPr>
        <w:t>。</w:t>
      </w:r>
    </w:p>
    <w:p w14:paraId="5A6D4E1E">
      <w:pPr>
        <w:bidi w:val="0"/>
        <w:jc w:val="center"/>
        <w:rPr>
          <w:rFonts w:hint="eastAsia"/>
          <w:b/>
          <w:bCs/>
          <w:color w:val="auto"/>
          <w:lang w:val="en-US"/>
        </w:rPr>
      </w:pPr>
      <w:r>
        <w:rPr>
          <w:rFonts w:hint="eastAsia"/>
          <w:b/>
          <w:bCs/>
          <w:color w:val="auto"/>
          <w:lang w:val="en-US"/>
        </w:rPr>
        <w:t>表</w:t>
      </w:r>
      <w:r>
        <w:rPr>
          <w:rFonts w:hint="default"/>
          <w:b/>
          <w:bCs/>
          <w:lang w:val="en-US" w:eastAsia="zh-CN"/>
        </w:rPr>
        <w:t>6.2.</w:t>
      </w:r>
      <w:r>
        <w:rPr>
          <w:rFonts w:hint="eastAsia"/>
          <w:b/>
          <w:bCs/>
          <w:lang w:val="en-US" w:eastAsia="zh-CN"/>
        </w:rPr>
        <w:t>1</w:t>
      </w:r>
      <w:r>
        <w:rPr>
          <w:rFonts w:hint="default"/>
          <w:b/>
          <w:bCs/>
          <w:lang w:val="en-US" w:eastAsia="zh-CN"/>
        </w:rPr>
        <w:t>-</w:t>
      </w:r>
      <w:r>
        <w:rPr>
          <w:rFonts w:hint="eastAsia"/>
          <w:b/>
          <w:bCs/>
          <w:lang w:val="en-US" w:eastAsia="zh-CN"/>
        </w:rPr>
        <w:t>3</w:t>
      </w:r>
      <w:r>
        <w:rPr>
          <w:rFonts w:hint="eastAsia"/>
          <w:b/>
          <w:bCs/>
          <w:color w:val="auto"/>
          <w:lang w:val="en-US"/>
        </w:rPr>
        <w:t xml:space="preserve"> 评价因子和评价标准表</w:t>
      </w:r>
    </w:p>
    <w:tbl>
      <w:tblPr>
        <w:tblStyle w:val="17"/>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547"/>
        <w:gridCol w:w="1451"/>
        <w:gridCol w:w="1245"/>
        <w:gridCol w:w="5327"/>
      </w:tblGrid>
      <w:tr w14:paraId="19A55F9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8" w:type="pct"/>
            <w:tcBorders>
              <w:top w:val="single" w:color="auto" w:sz="4" w:space="0"/>
              <w:left w:val="single" w:color="auto" w:sz="4" w:space="0"/>
            </w:tcBorders>
            <w:noWrap w:val="0"/>
            <w:vAlign w:val="center"/>
          </w:tcPr>
          <w:p w14:paraId="6D182550">
            <w:pPr>
              <w:pStyle w:val="30"/>
              <w:rPr>
                <w:rFonts w:hint="eastAsia"/>
                <w:b/>
                <w:bCs w:val="0"/>
                <w:color w:val="auto"/>
                <w:lang w:val="en-US"/>
              </w:rPr>
            </w:pPr>
            <w:r>
              <w:rPr>
                <w:rFonts w:hint="eastAsia"/>
                <w:b/>
                <w:bCs w:val="0"/>
                <w:color w:val="auto"/>
                <w:lang w:val="en-US"/>
              </w:rPr>
              <w:t>评价因子</w:t>
            </w:r>
          </w:p>
        </w:tc>
        <w:tc>
          <w:tcPr>
            <w:tcW w:w="758" w:type="pct"/>
            <w:tcBorders>
              <w:top w:val="single" w:color="auto" w:sz="4" w:space="0"/>
            </w:tcBorders>
            <w:noWrap w:val="0"/>
            <w:vAlign w:val="center"/>
          </w:tcPr>
          <w:p w14:paraId="546FEA94">
            <w:pPr>
              <w:pStyle w:val="30"/>
              <w:rPr>
                <w:rFonts w:hint="eastAsia"/>
                <w:b/>
                <w:bCs w:val="0"/>
                <w:color w:val="auto"/>
                <w:lang w:val="en-US"/>
              </w:rPr>
            </w:pPr>
            <w:r>
              <w:rPr>
                <w:rFonts w:hint="eastAsia"/>
                <w:b/>
                <w:bCs w:val="0"/>
                <w:color w:val="auto"/>
                <w:lang w:val="en-US"/>
              </w:rPr>
              <w:t>平均时段</w:t>
            </w:r>
          </w:p>
        </w:tc>
        <w:tc>
          <w:tcPr>
            <w:tcW w:w="650" w:type="pct"/>
            <w:tcBorders>
              <w:top w:val="single" w:color="auto" w:sz="4" w:space="0"/>
            </w:tcBorders>
            <w:noWrap w:val="0"/>
            <w:vAlign w:val="center"/>
          </w:tcPr>
          <w:p w14:paraId="1E131723">
            <w:pPr>
              <w:pStyle w:val="30"/>
              <w:rPr>
                <w:rFonts w:hint="eastAsia"/>
                <w:b/>
                <w:bCs w:val="0"/>
                <w:color w:val="auto"/>
                <w:lang w:val="en-US"/>
              </w:rPr>
            </w:pPr>
            <w:r>
              <w:rPr>
                <w:rFonts w:hint="eastAsia"/>
                <w:b/>
                <w:bCs w:val="0"/>
                <w:color w:val="auto"/>
                <w:lang w:val="en-US"/>
              </w:rPr>
              <w:t>标准值（</w:t>
            </w:r>
            <w:r>
              <w:rPr>
                <w:b/>
                <w:bCs w:val="0"/>
                <w:color w:val="auto"/>
                <w:lang w:val="en-US"/>
              </w:rPr>
              <w:t>μg/m</w:t>
            </w:r>
            <w:r>
              <w:rPr>
                <w:b/>
                <w:bCs w:val="0"/>
                <w:color w:val="auto"/>
                <w:vertAlign w:val="superscript"/>
                <w:lang w:val="en-US"/>
              </w:rPr>
              <w:t>3</w:t>
            </w:r>
            <w:r>
              <w:rPr>
                <w:rFonts w:hint="eastAsia"/>
                <w:b/>
                <w:bCs w:val="0"/>
                <w:color w:val="auto"/>
                <w:lang w:val="en-US"/>
              </w:rPr>
              <w:t>）</w:t>
            </w:r>
          </w:p>
        </w:tc>
        <w:tc>
          <w:tcPr>
            <w:tcW w:w="2782" w:type="pct"/>
            <w:tcBorders>
              <w:top w:val="single" w:color="auto" w:sz="4" w:space="0"/>
              <w:right w:val="single" w:color="auto" w:sz="4" w:space="0"/>
            </w:tcBorders>
            <w:noWrap w:val="0"/>
            <w:vAlign w:val="center"/>
          </w:tcPr>
          <w:p w14:paraId="5F75924F">
            <w:pPr>
              <w:pStyle w:val="30"/>
              <w:rPr>
                <w:rFonts w:hint="eastAsia"/>
                <w:b/>
                <w:bCs w:val="0"/>
                <w:color w:val="auto"/>
                <w:lang w:val="en-US"/>
              </w:rPr>
            </w:pPr>
            <w:r>
              <w:rPr>
                <w:rFonts w:hint="eastAsia"/>
                <w:b/>
                <w:bCs w:val="0"/>
                <w:color w:val="auto"/>
                <w:lang w:val="en-US"/>
              </w:rPr>
              <w:t>标准来源</w:t>
            </w:r>
          </w:p>
        </w:tc>
      </w:tr>
      <w:tr w14:paraId="2B45613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8" w:type="pct"/>
            <w:tcBorders>
              <w:left w:val="single" w:color="auto" w:sz="4" w:space="0"/>
            </w:tcBorders>
            <w:noWrap w:val="0"/>
            <w:vAlign w:val="center"/>
          </w:tcPr>
          <w:p w14:paraId="55940795">
            <w:pPr>
              <w:pStyle w:val="30"/>
              <w:rPr>
                <w:color w:val="auto"/>
                <w:lang w:val="en-US"/>
              </w:rPr>
            </w:pPr>
            <w:r>
              <w:rPr>
                <w:rFonts w:hint="eastAsia"/>
                <w:color w:val="auto"/>
                <w:lang w:val="en-US"/>
              </w:rPr>
              <w:t>PM</w:t>
            </w:r>
            <w:r>
              <w:rPr>
                <w:rFonts w:hint="eastAsia"/>
                <w:color w:val="auto"/>
                <w:vertAlign w:val="subscript"/>
                <w:lang w:val="en-US"/>
              </w:rPr>
              <w:t>2.5</w:t>
            </w:r>
          </w:p>
        </w:tc>
        <w:tc>
          <w:tcPr>
            <w:tcW w:w="758" w:type="pct"/>
            <w:noWrap w:val="0"/>
            <w:vAlign w:val="center"/>
          </w:tcPr>
          <w:p w14:paraId="6FA76605">
            <w:pPr>
              <w:pStyle w:val="30"/>
              <w:rPr>
                <w:rFonts w:hint="eastAsia"/>
                <w:color w:val="auto"/>
                <w:lang w:val="en-US"/>
              </w:rPr>
            </w:pPr>
            <w:r>
              <w:rPr>
                <w:rFonts w:hint="eastAsia"/>
                <w:color w:val="auto"/>
                <w:lang w:val="en-US"/>
              </w:rPr>
              <w:t>24h平均</w:t>
            </w:r>
          </w:p>
        </w:tc>
        <w:tc>
          <w:tcPr>
            <w:tcW w:w="650" w:type="pct"/>
            <w:noWrap w:val="0"/>
            <w:vAlign w:val="center"/>
          </w:tcPr>
          <w:p w14:paraId="4439D192">
            <w:pPr>
              <w:pStyle w:val="30"/>
              <w:rPr>
                <w:rFonts w:hint="default" w:eastAsia="宋体"/>
                <w:color w:val="auto"/>
                <w:lang w:val="en-US" w:eastAsia="zh-CN"/>
              </w:rPr>
            </w:pPr>
            <w:r>
              <w:rPr>
                <w:rFonts w:hint="eastAsia"/>
                <w:color w:val="auto"/>
                <w:lang w:val="en-US" w:eastAsia="zh-CN"/>
              </w:rPr>
              <w:t>60</w:t>
            </w:r>
          </w:p>
        </w:tc>
        <w:tc>
          <w:tcPr>
            <w:tcW w:w="2782" w:type="pct"/>
            <w:vMerge w:val="restart"/>
            <w:tcBorders>
              <w:right w:val="single" w:color="auto" w:sz="4" w:space="0"/>
            </w:tcBorders>
            <w:noWrap w:val="0"/>
            <w:vAlign w:val="center"/>
          </w:tcPr>
          <w:p w14:paraId="0FCC01D0">
            <w:pPr>
              <w:pStyle w:val="30"/>
              <w:rPr>
                <w:color w:val="auto"/>
                <w:lang w:val="en-US"/>
              </w:rPr>
            </w:pPr>
            <w:r>
              <w:rPr>
                <w:rFonts w:hint="eastAsia"/>
                <w:color w:val="auto"/>
                <w:lang w:val="en-US"/>
              </w:rPr>
              <w:t>《</w:t>
            </w:r>
            <w:bookmarkStart w:id="90" w:name="OLE_LINK18"/>
            <w:r>
              <w:rPr>
                <w:rFonts w:hint="eastAsia"/>
                <w:color w:val="auto"/>
                <w:lang w:val="en-US"/>
              </w:rPr>
              <w:t>环境空气质量标准</w:t>
            </w:r>
            <w:bookmarkEnd w:id="90"/>
            <w:r>
              <w:rPr>
                <w:rFonts w:hint="eastAsia"/>
                <w:color w:val="auto"/>
                <w:lang w:val="en-US"/>
              </w:rPr>
              <w:t>》（GB3095-20</w:t>
            </w:r>
            <w:r>
              <w:rPr>
                <w:rFonts w:hint="eastAsia"/>
                <w:color w:val="auto"/>
                <w:lang w:val="en-US" w:eastAsia="zh-CN"/>
              </w:rPr>
              <w:t>26</w:t>
            </w:r>
            <w:r>
              <w:rPr>
                <w:rFonts w:hint="eastAsia"/>
                <w:color w:val="auto"/>
                <w:lang w:val="en-US"/>
              </w:rPr>
              <w:t>）</w:t>
            </w:r>
          </w:p>
        </w:tc>
      </w:tr>
      <w:tr w14:paraId="692B62D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8" w:type="pct"/>
            <w:tcBorders>
              <w:left w:val="single" w:color="auto" w:sz="4" w:space="0"/>
            </w:tcBorders>
            <w:noWrap w:val="0"/>
            <w:vAlign w:val="center"/>
          </w:tcPr>
          <w:p w14:paraId="6A3FC06F">
            <w:pPr>
              <w:pStyle w:val="30"/>
              <w:rPr>
                <w:color w:val="auto"/>
                <w:lang w:val="en-US"/>
              </w:rPr>
            </w:pPr>
            <w:r>
              <w:rPr>
                <w:rFonts w:hint="eastAsia"/>
                <w:color w:val="auto"/>
                <w:lang w:val="en-US"/>
              </w:rPr>
              <w:t>PM</w:t>
            </w:r>
            <w:r>
              <w:rPr>
                <w:rFonts w:hint="eastAsia"/>
                <w:color w:val="auto"/>
                <w:vertAlign w:val="subscript"/>
                <w:lang w:val="en-US"/>
              </w:rPr>
              <w:t>10</w:t>
            </w:r>
          </w:p>
        </w:tc>
        <w:tc>
          <w:tcPr>
            <w:tcW w:w="758" w:type="pct"/>
            <w:noWrap w:val="0"/>
            <w:vAlign w:val="center"/>
          </w:tcPr>
          <w:p w14:paraId="5709B3AB">
            <w:pPr>
              <w:pStyle w:val="30"/>
              <w:rPr>
                <w:rFonts w:hint="eastAsia"/>
                <w:color w:val="auto"/>
                <w:lang w:val="en-US"/>
              </w:rPr>
            </w:pPr>
            <w:r>
              <w:rPr>
                <w:rFonts w:hint="eastAsia"/>
                <w:color w:val="auto"/>
                <w:lang w:val="en-US"/>
              </w:rPr>
              <w:t>24h平均</w:t>
            </w:r>
          </w:p>
        </w:tc>
        <w:tc>
          <w:tcPr>
            <w:tcW w:w="650" w:type="pct"/>
            <w:noWrap w:val="0"/>
            <w:vAlign w:val="center"/>
          </w:tcPr>
          <w:p w14:paraId="07C7439E">
            <w:pPr>
              <w:pStyle w:val="30"/>
              <w:rPr>
                <w:rFonts w:hint="default" w:eastAsia="宋体"/>
                <w:color w:val="auto"/>
                <w:lang w:val="en-US" w:eastAsia="zh-CN"/>
              </w:rPr>
            </w:pPr>
            <w:r>
              <w:rPr>
                <w:rFonts w:hint="eastAsia"/>
                <w:color w:val="auto"/>
                <w:lang w:val="en-US" w:eastAsia="zh-CN"/>
              </w:rPr>
              <w:t>120</w:t>
            </w:r>
          </w:p>
        </w:tc>
        <w:tc>
          <w:tcPr>
            <w:tcW w:w="2782" w:type="pct"/>
            <w:vMerge w:val="continue"/>
            <w:tcBorders>
              <w:right w:val="single" w:color="auto" w:sz="4" w:space="0"/>
            </w:tcBorders>
            <w:noWrap w:val="0"/>
            <w:vAlign w:val="center"/>
          </w:tcPr>
          <w:p w14:paraId="18E84C96">
            <w:pPr>
              <w:pStyle w:val="30"/>
              <w:rPr>
                <w:color w:val="auto"/>
                <w:lang w:val="en-US"/>
              </w:rPr>
            </w:pPr>
          </w:p>
        </w:tc>
      </w:tr>
      <w:tr w14:paraId="43ADB7B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8" w:type="pct"/>
            <w:tcBorders>
              <w:left w:val="single" w:color="auto" w:sz="4" w:space="0"/>
            </w:tcBorders>
            <w:noWrap w:val="0"/>
            <w:vAlign w:val="center"/>
          </w:tcPr>
          <w:p w14:paraId="6882E926">
            <w:pPr>
              <w:pStyle w:val="30"/>
              <w:rPr>
                <w:color w:val="auto"/>
                <w:lang w:val="en-US"/>
              </w:rPr>
            </w:pPr>
            <w:r>
              <w:rPr>
                <w:rFonts w:hint="eastAsia"/>
                <w:color w:val="auto"/>
                <w:lang w:val="en-US"/>
              </w:rPr>
              <w:t>TSP</w:t>
            </w:r>
          </w:p>
        </w:tc>
        <w:tc>
          <w:tcPr>
            <w:tcW w:w="758" w:type="pct"/>
            <w:noWrap w:val="0"/>
            <w:vAlign w:val="center"/>
          </w:tcPr>
          <w:p w14:paraId="501096AA">
            <w:pPr>
              <w:pStyle w:val="30"/>
              <w:rPr>
                <w:color w:val="auto"/>
                <w:lang w:val="en-US"/>
              </w:rPr>
            </w:pPr>
            <w:r>
              <w:rPr>
                <w:rFonts w:hint="eastAsia"/>
                <w:color w:val="auto"/>
                <w:lang w:val="en-US"/>
              </w:rPr>
              <w:t>24h平均</w:t>
            </w:r>
          </w:p>
        </w:tc>
        <w:tc>
          <w:tcPr>
            <w:tcW w:w="650" w:type="pct"/>
            <w:noWrap w:val="0"/>
            <w:vAlign w:val="center"/>
          </w:tcPr>
          <w:p w14:paraId="394B5ACC">
            <w:pPr>
              <w:pStyle w:val="30"/>
              <w:rPr>
                <w:color w:val="auto"/>
                <w:lang w:val="en-US"/>
              </w:rPr>
            </w:pPr>
            <w:r>
              <w:rPr>
                <w:rFonts w:hint="eastAsia"/>
                <w:color w:val="auto"/>
                <w:lang w:val="en-US"/>
              </w:rPr>
              <w:t>300</w:t>
            </w:r>
          </w:p>
        </w:tc>
        <w:tc>
          <w:tcPr>
            <w:tcW w:w="2782" w:type="pct"/>
            <w:vMerge w:val="continue"/>
            <w:tcBorders>
              <w:right w:val="single" w:color="auto" w:sz="4" w:space="0"/>
            </w:tcBorders>
            <w:noWrap w:val="0"/>
            <w:vAlign w:val="center"/>
          </w:tcPr>
          <w:p w14:paraId="174FE68E">
            <w:pPr>
              <w:pStyle w:val="30"/>
              <w:rPr>
                <w:color w:val="auto"/>
                <w:lang w:val="en-US"/>
              </w:rPr>
            </w:pPr>
          </w:p>
        </w:tc>
      </w:tr>
      <w:tr w14:paraId="1DC6B04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808" w:type="pct"/>
            <w:tcBorders>
              <w:left w:val="single" w:color="auto" w:sz="4" w:space="0"/>
              <w:bottom w:val="single" w:color="auto" w:sz="4" w:space="0"/>
            </w:tcBorders>
            <w:noWrap w:val="0"/>
            <w:vAlign w:val="center"/>
          </w:tcPr>
          <w:p w14:paraId="5A9C3352">
            <w:pPr>
              <w:pStyle w:val="30"/>
              <w:rPr>
                <w:rFonts w:hint="eastAsia"/>
                <w:color w:val="auto"/>
                <w:lang w:val="en-US"/>
              </w:rPr>
            </w:pPr>
            <w:r>
              <w:rPr>
                <w:rFonts w:hint="eastAsia"/>
                <w:color w:val="auto"/>
                <w:lang w:val="en-US"/>
              </w:rPr>
              <w:t>非甲烷总烃</w:t>
            </w:r>
          </w:p>
        </w:tc>
        <w:tc>
          <w:tcPr>
            <w:tcW w:w="758" w:type="pct"/>
            <w:tcBorders>
              <w:bottom w:val="single" w:color="auto" w:sz="4" w:space="0"/>
            </w:tcBorders>
            <w:noWrap w:val="0"/>
            <w:vAlign w:val="center"/>
          </w:tcPr>
          <w:p w14:paraId="4D1B1694">
            <w:pPr>
              <w:pStyle w:val="30"/>
              <w:rPr>
                <w:rFonts w:hint="eastAsia"/>
                <w:color w:val="auto"/>
                <w:lang w:val="en-US"/>
              </w:rPr>
            </w:pPr>
            <w:r>
              <w:rPr>
                <w:rFonts w:hint="eastAsia"/>
                <w:color w:val="auto"/>
                <w:lang w:val="en-US"/>
              </w:rPr>
              <w:t>1小时</w:t>
            </w:r>
          </w:p>
        </w:tc>
        <w:tc>
          <w:tcPr>
            <w:tcW w:w="650" w:type="pct"/>
            <w:tcBorders>
              <w:bottom w:val="single" w:color="auto" w:sz="4" w:space="0"/>
            </w:tcBorders>
            <w:noWrap w:val="0"/>
            <w:vAlign w:val="center"/>
          </w:tcPr>
          <w:p w14:paraId="7E8E497D">
            <w:pPr>
              <w:pStyle w:val="30"/>
              <w:rPr>
                <w:rFonts w:hint="default" w:eastAsia="宋体"/>
                <w:color w:val="auto"/>
                <w:lang w:val="en-US" w:eastAsia="zh-CN"/>
              </w:rPr>
            </w:pPr>
            <w:r>
              <w:rPr>
                <w:rFonts w:hint="eastAsia"/>
                <w:color w:val="auto"/>
                <w:lang w:val="en-US" w:eastAsia="zh-CN"/>
              </w:rPr>
              <w:t>2000</w:t>
            </w:r>
          </w:p>
        </w:tc>
        <w:tc>
          <w:tcPr>
            <w:tcW w:w="2782" w:type="pct"/>
            <w:tcBorders>
              <w:bottom w:val="single" w:color="auto" w:sz="4" w:space="0"/>
              <w:right w:val="single" w:color="auto" w:sz="4" w:space="0"/>
            </w:tcBorders>
            <w:noWrap w:val="0"/>
            <w:vAlign w:val="center"/>
          </w:tcPr>
          <w:p w14:paraId="6220F3E3">
            <w:pPr>
              <w:pStyle w:val="30"/>
              <w:rPr>
                <w:color w:val="auto"/>
                <w:lang w:val="en-US"/>
              </w:rPr>
            </w:pPr>
            <w:r>
              <w:rPr>
                <w:rFonts w:hint="eastAsia"/>
                <w:color w:val="auto"/>
                <w:lang w:val="en-US" w:eastAsia="zh-CN"/>
              </w:rPr>
              <w:t>《大气污染物综合排放标准详解》</w:t>
            </w:r>
          </w:p>
        </w:tc>
      </w:tr>
    </w:tbl>
    <w:p w14:paraId="1CEE10E2">
      <w:pPr>
        <w:bidi w:val="0"/>
        <w:ind w:firstLine="480" w:firstLineChars="200"/>
      </w:pPr>
      <w:r>
        <w:rPr>
          <w:rFonts w:hint="eastAsia"/>
        </w:rPr>
        <w:t>④</w:t>
      </w:r>
      <w:r>
        <w:t>预测范围</w:t>
      </w:r>
    </w:p>
    <w:p w14:paraId="3B29CAA2">
      <w:pPr>
        <w:widowControl w:val="0"/>
        <w:ind w:firstLine="480" w:firstLineChars="200"/>
        <w:rPr>
          <w:rFonts w:cs="Times New Roman"/>
          <w:color w:val="auto"/>
        </w:rPr>
      </w:pPr>
      <w:r>
        <w:rPr>
          <w:rFonts w:cs="Times New Roman"/>
          <w:color w:val="auto"/>
        </w:rPr>
        <w:t>根据《大气环境影响评价技术导则 大气环境》</w:t>
      </w:r>
      <w:r>
        <w:rPr>
          <w:rFonts w:hint="eastAsia" w:cs="Times New Roman"/>
          <w:color w:val="auto"/>
          <w:lang w:eastAsia="zh-CN"/>
        </w:rPr>
        <w:t>（</w:t>
      </w:r>
      <w:r>
        <w:rPr>
          <w:rFonts w:cs="Times New Roman"/>
          <w:color w:val="auto"/>
        </w:rPr>
        <w:t>HJ2.2-2018</w:t>
      </w:r>
      <w:r>
        <w:rPr>
          <w:rFonts w:hint="eastAsia" w:cs="Times New Roman"/>
          <w:color w:val="auto"/>
          <w:lang w:eastAsia="zh-CN"/>
        </w:rPr>
        <w:t>）</w:t>
      </w:r>
      <w:r>
        <w:rPr>
          <w:rFonts w:cs="Times New Roman"/>
          <w:color w:val="auto"/>
        </w:rPr>
        <w:t>中推荐的估算模型计算结果判定，同时考虑区域主导风向以及敏感点的位置，判定本次评价的大气环境影响预测评价范围为以本项目厂区</w:t>
      </w:r>
      <w:r>
        <w:rPr>
          <w:rFonts w:hint="eastAsia" w:cs="Times New Roman"/>
          <w:color w:val="auto"/>
        </w:rPr>
        <w:t>中心</w:t>
      </w:r>
      <w:r>
        <w:rPr>
          <w:rFonts w:cs="Times New Roman"/>
          <w:color w:val="auto"/>
        </w:rPr>
        <w:t>为中心点、东西向长5km、南北长5km的正方形区域，共计25km</w:t>
      </w:r>
      <w:r>
        <w:rPr>
          <w:rFonts w:cs="Times New Roman"/>
          <w:color w:val="auto"/>
          <w:vertAlign w:val="superscript"/>
        </w:rPr>
        <w:t>2</w:t>
      </w:r>
      <w:r>
        <w:rPr>
          <w:rFonts w:cs="Times New Roman"/>
          <w:color w:val="auto"/>
        </w:rPr>
        <w:t>的区域。</w:t>
      </w:r>
    </w:p>
    <w:p w14:paraId="0A9B88E7">
      <w:pPr>
        <w:bidi w:val="0"/>
        <w:ind w:firstLine="480" w:firstLineChars="200"/>
      </w:pPr>
      <w:r>
        <w:rPr>
          <w:rFonts w:hint="eastAsia"/>
        </w:rPr>
        <w:t>⑤</w:t>
      </w:r>
      <w:r>
        <w:t>预测内容</w:t>
      </w:r>
    </w:p>
    <w:p w14:paraId="2C4A9663">
      <w:pPr>
        <w:ind w:firstLine="480"/>
        <w:rPr>
          <w:rFonts w:hint="eastAsia"/>
          <w:color w:val="auto"/>
        </w:rPr>
      </w:pPr>
      <w:r>
        <w:rPr>
          <w:rFonts w:hint="eastAsia"/>
          <w:color w:val="auto"/>
        </w:rPr>
        <w:t>根据《建设项目环境影响评价技术导则 大气环境》（HJ2.2-2018）中推荐的估算模式（AERSCREEN），本项目大气影响评价等级为二级，二级评价项目不进行进一步预测与评价，只对污染物排放量进行核算。</w:t>
      </w:r>
    </w:p>
    <w:p w14:paraId="27F14175">
      <w:pPr>
        <w:ind w:firstLine="480" w:firstLineChars="200"/>
        <w:rPr>
          <w:rFonts w:hint="eastAsia"/>
          <w:color w:val="auto"/>
        </w:rPr>
      </w:pPr>
      <w:r>
        <w:rPr>
          <w:rFonts w:hint="eastAsia"/>
          <w:color w:val="auto"/>
        </w:rPr>
        <w:t>通过估算模式计算出各类污染物的最大1h地面空气质量浓度及最大地面空气质量浓度占标率。</w:t>
      </w:r>
    </w:p>
    <w:p w14:paraId="30DA2B0B">
      <w:pPr>
        <w:bidi w:val="0"/>
        <w:ind w:firstLine="480" w:firstLineChars="200"/>
        <w:rPr>
          <w:rFonts w:hint="eastAsia"/>
          <w:lang w:val="en-US" w:eastAsia="zh-CN"/>
        </w:rPr>
      </w:pPr>
      <w:r>
        <w:rPr>
          <w:rFonts w:hint="eastAsia"/>
          <w:lang w:val="en-US" w:eastAsia="zh-CN"/>
        </w:rPr>
        <w:t>⑥</w:t>
      </w:r>
      <w:r>
        <w:rPr>
          <w:rFonts w:hint="eastAsia"/>
        </w:rPr>
        <w:t>污染源源强分析</w:t>
      </w:r>
    </w:p>
    <w:p w14:paraId="1150B72A">
      <w:pPr>
        <w:ind w:firstLine="480"/>
        <w:rPr>
          <w:rFonts w:hint="default" w:ascii="Times New Roman" w:hAnsi="Times New Roman" w:cs="Times New Roman"/>
          <w:color w:val="auto"/>
        </w:rPr>
      </w:pPr>
      <w:r>
        <w:rPr>
          <w:rFonts w:hint="eastAsia"/>
          <w:color w:val="auto"/>
          <w:lang w:val="en-US" w:eastAsia="zh-CN"/>
        </w:rPr>
        <w:t>现有工程涉及的排气筒主要为丝网印刷、烧结废气排放口（DA023）；AC印刷、固化废气排放口（DA004）；四分片钝化废气排放口（DA008）</w:t>
      </w:r>
      <w:r>
        <w:rPr>
          <w:rFonts w:hint="eastAsia"/>
          <w:color w:val="auto"/>
          <w:lang w:eastAsia="zh-CN"/>
        </w:rPr>
        <w:t>。</w:t>
      </w:r>
      <w:r>
        <w:rPr>
          <w:rFonts w:hint="eastAsia"/>
          <w:color w:val="auto"/>
        </w:rPr>
        <w:t>根据工程分析</w:t>
      </w:r>
      <w:r>
        <w:rPr>
          <w:rFonts w:hint="eastAsia" w:ascii="宋体" w:hAnsi="宋体"/>
          <w:color w:val="auto"/>
        </w:rPr>
        <w:t>，项目正常工况下废气点源排放源强参数</w:t>
      </w:r>
      <w:r>
        <w:rPr>
          <w:rFonts w:hint="default" w:ascii="Times New Roman" w:hAnsi="Times New Roman" w:cs="Times New Roman"/>
          <w:color w:val="auto"/>
        </w:rPr>
        <w:t>见表</w:t>
      </w:r>
      <w:r>
        <w:rPr>
          <w:rFonts w:hint="default" w:ascii="Times New Roman" w:hAnsi="Times New Roman" w:cs="Times New Roman"/>
          <w:color w:val="auto"/>
          <w:lang w:val="en-US" w:eastAsia="zh-CN"/>
        </w:rPr>
        <w:t>6.2.</w:t>
      </w:r>
      <w:r>
        <w:rPr>
          <w:rFonts w:hint="eastAsia" w:ascii="Times New Roman" w:hAnsi="Times New Roman" w:cs="Times New Roman"/>
          <w:color w:val="auto"/>
          <w:lang w:val="en-US" w:eastAsia="zh-CN"/>
        </w:rPr>
        <w:t>1</w:t>
      </w:r>
      <w:r>
        <w:rPr>
          <w:rFonts w:hint="default" w:ascii="Times New Roman" w:hAnsi="Times New Roman" w:cs="Times New Roman"/>
          <w:color w:val="auto"/>
          <w:lang w:val="en-US"/>
        </w:rPr>
        <w:t>-</w:t>
      </w:r>
      <w:r>
        <w:rPr>
          <w:rFonts w:hint="eastAsia" w:ascii="Times New Roman" w:hAnsi="Times New Roman" w:cs="Times New Roman"/>
          <w:color w:val="auto"/>
          <w:lang w:val="en-US" w:eastAsia="zh-CN"/>
        </w:rPr>
        <w:t>4，面</w:t>
      </w:r>
      <w:r>
        <w:rPr>
          <w:rFonts w:hint="eastAsia" w:ascii="宋体" w:hAnsi="宋体"/>
          <w:color w:val="auto"/>
        </w:rPr>
        <w:t>源排放源强参数</w:t>
      </w:r>
      <w:r>
        <w:rPr>
          <w:rFonts w:hint="default" w:ascii="Times New Roman" w:hAnsi="Times New Roman" w:cs="Times New Roman"/>
          <w:color w:val="auto"/>
        </w:rPr>
        <w:t>见表</w:t>
      </w:r>
      <w:r>
        <w:rPr>
          <w:rFonts w:hint="default" w:ascii="Times New Roman" w:hAnsi="Times New Roman" w:cs="Times New Roman"/>
          <w:color w:val="auto"/>
          <w:lang w:val="en-US" w:eastAsia="zh-CN"/>
        </w:rPr>
        <w:t>6.2.</w:t>
      </w:r>
      <w:r>
        <w:rPr>
          <w:rFonts w:hint="eastAsia" w:ascii="Times New Roman" w:hAnsi="Times New Roman" w:cs="Times New Roman"/>
          <w:color w:val="auto"/>
          <w:lang w:val="en-US" w:eastAsia="zh-CN"/>
        </w:rPr>
        <w:t>1</w:t>
      </w:r>
      <w:r>
        <w:rPr>
          <w:rFonts w:hint="default" w:ascii="Times New Roman" w:hAnsi="Times New Roman" w:cs="Times New Roman"/>
          <w:color w:val="auto"/>
          <w:lang w:val="en-US"/>
        </w:rPr>
        <w:t>-</w:t>
      </w:r>
      <w:r>
        <w:rPr>
          <w:rFonts w:hint="eastAsia" w:ascii="Times New Roman" w:hAnsi="Times New Roman" w:cs="Times New Roman"/>
          <w:color w:val="auto"/>
          <w:lang w:val="en-US" w:eastAsia="zh-CN"/>
        </w:rPr>
        <w:t>5</w:t>
      </w:r>
      <w:r>
        <w:rPr>
          <w:rFonts w:hint="default" w:ascii="Times New Roman" w:hAnsi="Times New Roman" w:cs="Times New Roman"/>
          <w:color w:val="auto"/>
        </w:rPr>
        <w:t>。</w:t>
      </w:r>
    </w:p>
    <w:p w14:paraId="15C1CAA2">
      <w:pPr>
        <w:bidi w:val="0"/>
        <w:jc w:val="center"/>
        <w:rPr>
          <w:b/>
          <w:bCs/>
          <w:color w:val="auto"/>
          <w:lang w:val="en-US"/>
        </w:rPr>
      </w:pPr>
      <w:r>
        <w:rPr>
          <w:b/>
          <w:bCs/>
          <w:color w:val="auto"/>
          <w:lang w:val="en-US"/>
        </w:rPr>
        <w:t>表</w:t>
      </w:r>
      <w:r>
        <w:rPr>
          <w:rFonts w:hint="default"/>
          <w:b/>
          <w:bCs/>
          <w:lang w:val="en-US" w:eastAsia="zh-CN"/>
        </w:rPr>
        <w:t>6.2.</w:t>
      </w:r>
      <w:r>
        <w:rPr>
          <w:rFonts w:hint="eastAsia"/>
          <w:b/>
          <w:bCs/>
          <w:lang w:val="en-US" w:eastAsia="zh-CN"/>
        </w:rPr>
        <w:t>1</w:t>
      </w:r>
      <w:r>
        <w:rPr>
          <w:rFonts w:hint="default"/>
          <w:b/>
          <w:bCs/>
          <w:lang w:val="en-US" w:eastAsia="zh-CN"/>
        </w:rPr>
        <w:t>-</w:t>
      </w:r>
      <w:r>
        <w:rPr>
          <w:rFonts w:hint="eastAsia"/>
          <w:b/>
          <w:bCs/>
          <w:lang w:val="en-US" w:eastAsia="zh-CN"/>
        </w:rPr>
        <w:t>4</w:t>
      </w:r>
      <w:r>
        <w:rPr>
          <w:b/>
          <w:bCs/>
          <w:color w:val="auto"/>
          <w:lang w:val="en-US"/>
        </w:rPr>
        <w:t xml:space="preserve"> 项目</w:t>
      </w:r>
      <w:r>
        <w:rPr>
          <w:rFonts w:hint="eastAsia"/>
          <w:b/>
          <w:bCs/>
          <w:color w:val="auto"/>
          <w:lang w:val="en-US"/>
        </w:rPr>
        <w:t>点</w:t>
      </w:r>
      <w:r>
        <w:rPr>
          <w:b/>
          <w:bCs/>
          <w:color w:val="auto"/>
          <w:lang w:val="en-US"/>
        </w:rPr>
        <w:t>源参数一览表</w:t>
      </w:r>
    </w:p>
    <w:tbl>
      <w:tblPr>
        <w:tblStyle w:val="17"/>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28" w:type="dxa"/>
          <w:bottom w:w="0" w:type="dxa"/>
          <w:right w:w="28" w:type="dxa"/>
        </w:tblCellMar>
      </w:tblPr>
      <w:tblGrid>
        <w:gridCol w:w="675"/>
        <w:gridCol w:w="1598"/>
        <w:gridCol w:w="1493"/>
        <w:gridCol w:w="585"/>
        <w:gridCol w:w="440"/>
        <w:gridCol w:w="382"/>
        <w:gridCol w:w="284"/>
        <w:gridCol w:w="686"/>
        <w:gridCol w:w="476"/>
        <w:gridCol w:w="443"/>
        <w:gridCol w:w="759"/>
        <w:gridCol w:w="706"/>
        <w:gridCol w:w="874"/>
      </w:tblGrid>
      <w:tr w14:paraId="09D509BD">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rPr>
        <w:tc>
          <w:tcPr>
            <w:tcW w:w="366" w:type="pct"/>
            <w:vMerge w:val="restart"/>
            <w:tcBorders>
              <w:top w:val="single" w:color="auto" w:sz="4" w:space="0"/>
              <w:left w:val="single" w:color="auto" w:sz="4" w:space="0"/>
            </w:tcBorders>
            <w:noWrap w:val="0"/>
            <w:vAlign w:val="center"/>
          </w:tcPr>
          <w:p w14:paraId="6389D81C">
            <w:pPr>
              <w:bidi w:val="0"/>
              <w:spacing w:line="240" w:lineRule="auto"/>
              <w:jc w:val="center"/>
              <w:rPr>
                <w:b/>
                <w:bCs/>
                <w:color w:val="auto"/>
                <w:sz w:val="21"/>
                <w:szCs w:val="21"/>
              </w:rPr>
            </w:pPr>
            <w:r>
              <w:rPr>
                <w:b/>
                <w:bCs/>
                <w:color w:val="auto"/>
                <w:sz w:val="21"/>
                <w:szCs w:val="21"/>
              </w:rPr>
              <w:t>污染源名称</w:t>
            </w:r>
          </w:p>
        </w:tc>
        <w:tc>
          <w:tcPr>
            <w:tcW w:w="1601" w:type="pct"/>
            <w:gridSpan w:val="2"/>
            <w:tcBorders>
              <w:top w:val="single" w:color="auto" w:sz="4" w:space="0"/>
            </w:tcBorders>
            <w:noWrap w:val="0"/>
            <w:vAlign w:val="center"/>
          </w:tcPr>
          <w:p w14:paraId="20BECDBE">
            <w:pPr>
              <w:bidi w:val="0"/>
              <w:spacing w:line="240" w:lineRule="auto"/>
              <w:jc w:val="center"/>
              <w:rPr>
                <w:rFonts w:hint="eastAsia"/>
                <w:b/>
                <w:bCs/>
                <w:color w:val="auto"/>
                <w:sz w:val="21"/>
                <w:szCs w:val="21"/>
              </w:rPr>
            </w:pPr>
            <w:r>
              <w:rPr>
                <w:b/>
                <w:bCs/>
                <w:color w:val="auto"/>
                <w:sz w:val="21"/>
                <w:szCs w:val="21"/>
              </w:rPr>
              <w:t>排气筒</w:t>
            </w:r>
            <w:r>
              <w:rPr>
                <w:rFonts w:hint="eastAsia"/>
                <w:b/>
                <w:bCs/>
                <w:color w:val="auto"/>
                <w:sz w:val="21"/>
                <w:szCs w:val="21"/>
                <w:lang w:val="en-US"/>
              </w:rPr>
              <w:t>底部</w:t>
            </w:r>
            <w:r>
              <w:rPr>
                <w:b/>
                <w:bCs/>
                <w:color w:val="auto"/>
                <w:sz w:val="21"/>
                <w:szCs w:val="21"/>
              </w:rPr>
              <w:t>中心坐标</w:t>
            </w:r>
            <w:r>
              <w:rPr>
                <w:rFonts w:hint="eastAsia"/>
                <w:b/>
                <w:bCs/>
                <w:color w:val="auto"/>
                <w:sz w:val="21"/>
                <w:szCs w:val="21"/>
                <w:lang w:val="en-US"/>
              </w:rPr>
              <w:t>/°</w:t>
            </w:r>
          </w:p>
        </w:tc>
        <w:tc>
          <w:tcPr>
            <w:tcW w:w="328" w:type="pct"/>
            <w:vMerge w:val="restart"/>
            <w:tcBorders>
              <w:top w:val="single" w:color="auto" w:sz="4" w:space="0"/>
            </w:tcBorders>
            <w:noWrap w:val="0"/>
            <w:vAlign w:val="center"/>
          </w:tcPr>
          <w:p w14:paraId="29F3E300">
            <w:pPr>
              <w:bidi w:val="0"/>
              <w:spacing w:line="240" w:lineRule="auto"/>
              <w:jc w:val="center"/>
              <w:rPr>
                <w:b/>
                <w:bCs/>
                <w:color w:val="auto"/>
                <w:sz w:val="21"/>
                <w:szCs w:val="21"/>
              </w:rPr>
            </w:pPr>
            <w:r>
              <w:rPr>
                <w:b/>
                <w:bCs/>
                <w:color w:val="auto"/>
                <w:sz w:val="21"/>
                <w:szCs w:val="21"/>
              </w:rPr>
              <w:t>排气筒底部海拔高度</w:t>
            </w:r>
            <w:r>
              <w:rPr>
                <w:rFonts w:hint="eastAsia"/>
                <w:b/>
                <w:bCs/>
                <w:color w:val="auto"/>
                <w:sz w:val="21"/>
                <w:szCs w:val="21"/>
                <w:lang w:val="en-US"/>
              </w:rPr>
              <w:t>/</w:t>
            </w:r>
            <w:r>
              <w:rPr>
                <w:b/>
                <w:bCs/>
                <w:color w:val="auto"/>
                <w:sz w:val="21"/>
                <w:szCs w:val="21"/>
              </w:rPr>
              <w:t>m</w:t>
            </w:r>
          </w:p>
        </w:tc>
        <w:tc>
          <w:tcPr>
            <w:tcW w:w="246" w:type="pct"/>
            <w:vMerge w:val="restart"/>
            <w:tcBorders>
              <w:top w:val="single" w:color="auto" w:sz="4" w:space="0"/>
            </w:tcBorders>
            <w:noWrap w:val="0"/>
            <w:vAlign w:val="center"/>
          </w:tcPr>
          <w:p w14:paraId="0CB39B32">
            <w:pPr>
              <w:bidi w:val="0"/>
              <w:spacing w:line="240" w:lineRule="auto"/>
              <w:jc w:val="center"/>
              <w:rPr>
                <w:b/>
                <w:bCs/>
                <w:color w:val="auto"/>
                <w:sz w:val="21"/>
                <w:szCs w:val="21"/>
              </w:rPr>
            </w:pPr>
            <w:r>
              <w:rPr>
                <w:rFonts w:hint="eastAsia"/>
                <w:b/>
                <w:bCs/>
                <w:color w:val="auto"/>
                <w:sz w:val="21"/>
                <w:szCs w:val="21"/>
                <w:lang w:val="en-US"/>
              </w:rPr>
              <w:t>排气筒</w:t>
            </w:r>
            <w:r>
              <w:rPr>
                <w:b/>
                <w:bCs/>
                <w:color w:val="auto"/>
                <w:sz w:val="21"/>
                <w:szCs w:val="21"/>
              </w:rPr>
              <w:t>高度</w:t>
            </w:r>
            <w:r>
              <w:rPr>
                <w:rFonts w:hint="eastAsia"/>
                <w:b/>
                <w:bCs/>
                <w:color w:val="auto"/>
                <w:sz w:val="21"/>
                <w:szCs w:val="21"/>
                <w:lang w:val="en-US"/>
              </w:rPr>
              <w:t>/</w:t>
            </w:r>
            <w:r>
              <w:rPr>
                <w:b/>
                <w:bCs/>
                <w:color w:val="auto"/>
                <w:sz w:val="21"/>
                <w:szCs w:val="21"/>
              </w:rPr>
              <w:t>m</w:t>
            </w:r>
          </w:p>
        </w:tc>
        <w:tc>
          <w:tcPr>
            <w:tcW w:w="215" w:type="pct"/>
            <w:vMerge w:val="restart"/>
            <w:tcBorders>
              <w:top w:val="single" w:color="auto" w:sz="4" w:space="0"/>
            </w:tcBorders>
            <w:noWrap w:val="0"/>
            <w:vAlign w:val="center"/>
          </w:tcPr>
          <w:p w14:paraId="17D4EE77">
            <w:pPr>
              <w:bidi w:val="0"/>
              <w:spacing w:line="240" w:lineRule="auto"/>
              <w:jc w:val="center"/>
              <w:rPr>
                <w:b/>
                <w:bCs/>
                <w:color w:val="auto"/>
                <w:sz w:val="21"/>
                <w:szCs w:val="21"/>
              </w:rPr>
            </w:pPr>
            <w:r>
              <w:rPr>
                <w:rFonts w:hint="eastAsia"/>
                <w:b/>
                <w:bCs/>
                <w:color w:val="auto"/>
                <w:sz w:val="21"/>
                <w:szCs w:val="21"/>
                <w:lang w:val="en-US"/>
              </w:rPr>
              <w:t>排气筒出口</w:t>
            </w:r>
            <w:r>
              <w:rPr>
                <w:b/>
                <w:bCs/>
                <w:color w:val="auto"/>
                <w:sz w:val="21"/>
                <w:szCs w:val="21"/>
              </w:rPr>
              <w:t>内径</w:t>
            </w:r>
            <w:r>
              <w:rPr>
                <w:rFonts w:hint="eastAsia"/>
                <w:b/>
                <w:bCs/>
                <w:color w:val="auto"/>
                <w:sz w:val="21"/>
                <w:szCs w:val="21"/>
                <w:lang w:val="en-US"/>
              </w:rPr>
              <w:t>/</w:t>
            </w:r>
            <w:r>
              <w:rPr>
                <w:b/>
                <w:bCs/>
                <w:color w:val="auto"/>
                <w:sz w:val="21"/>
                <w:szCs w:val="21"/>
              </w:rPr>
              <w:t>m</w:t>
            </w:r>
          </w:p>
        </w:tc>
        <w:tc>
          <w:tcPr>
            <w:tcW w:w="155" w:type="pct"/>
            <w:vMerge w:val="restart"/>
            <w:tcBorders>
              <w:top w:val="single" w:color="auto" w:sz="4" w:space="0"/>
            </w:tcBorders>
            <w:noWrap w:val="0"/>
            <w:vAlign w:val="center"/>
          </w:tcPr>
          <w:p w14:paraId="79C30462">
            <w:pPr>
              <w:bidi w:val="0"/>
              <w:spacing w:line="240" w:lineRule="auto"/>
              <w:jc w:val="center"/>
              <w:rPr>
                <w:b/>
                <w:bCs/>
                <w:color w:val="auto"/>
                <w:sz w:val="21"/>
                <w:szCs w:val="21"/>
              </w:rPr>
            </w:pPr>
            <w:r>
              <w:rPr>
                <w:rFonts w:hint="eastAsia"/>
                <w:b/>
                <w:bCs/>
                <w:color w:val="auto"/>
                <w:sz w:val="21"/>
                <w:szCs w:val="21"/>
                <w:lang w:val="en-US"/>
              </w:rPr>
              <w:t>烟气</w:t>
            </w:r>
            <w:r>
              <w:rPr>
                <w:b/>
                <w:bCs/>
                <w:color w:val="auto"/>
                <w:sz w:val="21"/>
                <w:szCs w:val="21"/>
              </w:rPr>
              <w:t>温度</w:t>
            </w:r>
          </w:p>
          <w:p w14:paraId="49A04C33">
            <w:pPr>
              <w:bidi w:val="0"/>
              <w:spacing w:line="240" w:lineRule="auto"/>
              <w:jc w:val="center"/>
              <w:rPr>
                <w:b/>
                <w:bCs/>
                <w:color w:val="auto"/>
                <w:sz w:val="21"/>
                <w:szCs w:val="21"/>
              </w:rPr>
            </w:pPr>
            <w:r>
              <w:rPr>
                <w:b/>
                <w:bCs/>
                <w:color w:val="auto"/>
                <w:sz w:val="21"/>
                <w:szCs w:val="21"/>
              </w:rPr>
              <w:t>℃</w:t>
            </w:r>
          </w:p>
        </w:tc>
        <w:tc>
          <w:tcPr>
            <w:tcW w:w="286" w:type="pct"/>
            <w:vMerge w:val="restart"/>
            <w:tcBorders>
              <w:top w:val="single" w:color="auto" w:sz="4" w:space="0"/>
            </w:tcBorders>
            <w:noWrap w:val="0"/>
            <w:vAlign w:val="center"/>
          </w:tcPr>
          <w:p w14:paraId="0D68C762">
            <w:pPr>
              <w:bidi w:val="0"/>
              <w:spacing w:line="240" w:lineRule="auto"/>
              <w:jc w:val="center"/>
              <w:rPr>
                <w:b/>
                <w:bCs/>
                <w:color w:val="auto"/>
                <w:sz w:val="21"/>
                <w:szCs w:val="21"/>
              </w:rPr>
            </w:pPr>
            <w:r>
              <w:rPr>
                <w:b/>
                <w:bCs/>
                <w:color w:val="auto"/>
                <w:sz w:val="21"/>
                <w:szCs w:val="21"/>
              </w:rPr>
              <w:t>废气量(m³/h)</w:t>
            </w:r>
          </w:p>
        </w:tc>
        <w:tc>
          <w:tcPr>
            <w:tcW w:w="255" w:type="pct"/>
            <w:vMerge w:val="restart"/>
            <w:tcBorders>
              <w:top w:val="single" w:color="auto" w:sz="4" w:space="0"/>
            </w:tcBorders>
            <w:noWrap w:val="0"/>
            <w:vAlign w:val="center"/>
          </w:tcPr>
          <w:p w14:paraId="0DFF8711">
            <w:pPr>
              <w:bidi w:val="0"/>
              <w:spacing w:line="240" w:lineRule="auto"/>
              <w:jc w:val="center"/>
              <w:rPr>
                <w:b/>
                <w:bCs/>
                <w:color w:val="auto"/>
                <w:sz w:val="21"/>
                <w:szCs w:val="21"/>
                <w:lang w:val="en-US"/>
              </w:rPr>
            </w:pPr>
            <w:r>
              <w:rPr>
                <w:rFonts w:hint="eastAsia"/>
                <w:b/>
                <w:bCs/>
                <w:color w:val="auto"/>
                <w:sz w:val="21"/>
                <w:szCs w:val="21"/>
                <w:lang w:val="en-US"/>
              </w:rPr>
              <w:t>年排放小时数/h</w:t>
            </w:r>
          </w:p>
        </w:tc>
        <w:tc>
          <w:tcPr>
            <w:tcW w:w="265" w:type="pct"/>
            <w:vMerge w:val="restart"/>
            <w:tcBorders>
              <w:top w:val="single" w:color="auto" w:sz="4" w:space="0"/>
            </w:tcBorders>
            <w:noWrap w:val="0"/>
            <w:vAlign w:val="center"/>
          </w:tcPr>
          <w:p w14:paraId="21D0CA2A">
            <w:pPr>
              <w:bidi w:val="0"/>
              <w:spacing w:line="240" w:lineRule="auto"/>
              <w:jc w:val="center"/>
              <w:rPr>
                <w:b/>
                <w:bCs/>
                <w:color w:val="auto"/>
                <w:sz w:val="21"/>
                <w:szCs w:val="21"/>
                <w:lang w:val="en-US"/>
              </w:rPr>
            </w:pPr>
            <w:r>
              <w:rPr>
                <w:rFonts w:hint="eastAsia"/>
                <w:b/>
                <w:bCs/>
                <w:color w:val="auto"/>
                <w:sz w:val="21"/>
                <w:szCs w:val="21"/>
                <w:lang w:val="en-US"/>
              </w:rPr>
              <w:t>排放工况</w:t>
            </w:r>
          </w:p>
        </w:tc>
        <w:tc>
          <w:tcPr>
            <w:tcW w:w="1278" w:type="pct"/>
            <w:gridSpan w:val="3"/>
            <w:tcBorders>
              <w:top w:val="single" w:color="auto" w:sz="4" w:space="0"/>
              <w:right w:val="single" w:color="auto" w:sz="4" w:space="0"/>
            </w:tcBorders>
            <w:noWrap w:val="0"/>
            <w:vAlign w:val="center"/>
          </w:tcPr>
          <w:p w14:paraId="572D2D4A">
            <w:pPr>
              <w:bidi w:val="0"/>
              <w:spacing w:line="240" w:lineRule="auto"/>
              <w:jc w:val="center"/>
              <w:rPr>
                <w:rFonts w:hint="eastAsia"/>
                <w:b/>
                <w:bCs/>
                <w:color w:val="auto"/>
                <w:sz w:val="21"/>
                <w:szCs w:val="21"/>
                <w:lang w:val="en-US"/>
              </w:rPr>
            </w:pPr>
            <w:r>
              <w:rPr>
                <w:rFonts w:hint="eastAsia"/>
                <w:b/>
                <w:bCs/>
                <w:color w:val="auto"/>
                <w:sz w:val="21"/>
                <w:szCs w:val="21"/>
                <w:lang w:val="en-US"/>
              </w:rPr>
              <w:t>污染物</w:t>
            </w:r>
            <w:r>
              <w:rPr>
                <w:b/>
                <w:bCs/>
                <w:color w:val="auto"/>
                <w:sz w:val="21"/>
                <w:szCs w:val="21"/>
              </w:rPr>
              <w:t>排放速率</w:t>
            </w:r>
            <w:r>
              <w:rPr>
                <w:rFonts w:hint="eastAsia"/>
                <w:b/>
                <w:bCs/>
                <w:color w:val="auto"/>
                <w:sz w:val="21"/>
                <w:szCs w:val="21"/>
                <w:lang w:val="en-US"/>
              </w:rPr>
              <w:t>kg/h</w:t>
            </w:r>
          </w:p>
        </w:tc>
      </w:tr>
      <w:tr w14:paraId="7192A48B">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397" w:hRule="atLeast"/>
        </w:trPr>
        <w:tc>
          <w:tcPr>
            <w:tcW w:w="366" w:type="pct"/>
            <w:vMerge w:val="continue"/>
            <w:tcBorders>
              <w:left w:val="single" w:color="auto" w:sz="4" w:space="0"/>
            </w:tcBorders>
            <w:noWrap w:val="0"/>
            <w:vAlign w:val="center"/>
          </w:tcPr>
          <w:p w14:paraId="25D1D877">
            <w:pPr>
              <w:bidi w:val="0"/>
              <w:spacing w:line="240" w:lineRule="auto"/>
              <w:jc w:val="center"/>
              <w:rPr>
                <w:b/>
                <w:bCs/>
                <w:color w:val="auto"/>
                <w:sz w:val="21"/>
                <w:szCs w:val="21"/>
                <w:lang w:val="en-US"/>
              </w:rPr>
            </w:pPr>
          </w:p>
        </w:tc>
        <w:tc>
          <w:tcPr>
            <w:tcW w:w="819" w:type="pct"/>
            <w:noWrap w:val="0"/>
            <w:vAlign w:val="center"/>
          </w:tcPr>
          <w:p w14:paraId="259312FB">
            <w:pPr>
              <w:bidi w:val="0"/>
              <w:spacing w:line="240" w:lineRule="auto"/>
              <w:jc w:val="center"/>
              <w:rPr>
                <w:b/>
                <w:bCs/>
                <w:color w:val="auto"/>
                <w:sz w:val="21"/>
                <w:szCs w:val="21"/>
              </w:rPr>
            </w:pPr>
            <w:r>
              <w:rPr>
                <w:b/>
                <w:bCs/>
                <w:color w:val="auto"/>
                <w:sz w:val="21"/>
                <w:szCs w:val="21"/>
              </w:rPr>
              <w:t>经度</w:t>
            </w:r>
          </w:p>
        </w:tc>
        <w:tc>
          <w:tcPr>
            <w:tcW w:w="782" w:type="pct"/>
            <w:noWrap w:val="0"/>
            <w:vAlign w:val="center"/>
          </w:tcPr>
          <w:p w14:paraId="7EE0B603">
            <w:pPr>
              <w:bidi w:val="0"/>
              <w:spacing w:line="240" w:lineRule="auto"/>
              <w:jc w:val="center"/>
              <w:rPr>
                <w:b/>
                <w:bCs/>
                <w:color w:val="auto"/>
                <w:sz w:val="21"/>
                <w:szCs w:val="21"/>
              </w:rPr>
            </w:pPr>
            <w:r>
              <w:rPr>
                <w:b/>
                <w:bCs/>
                <w:color w:val="auto"/>
                <w:sz w:val="21"/>
                <w:szCs w:val="21"/>
              </w:rPr>
              <w:t>纬度</w:t>
            </w:r>
          </w:p>
        </w:tc>
        <w:tc>
          <w:tcPr>
            <w:tcW w:w="328" w:type="pct"/>
            <w:vMerge w:val="continue"/>
            <w:noWrap w:val="0"/>
            <w:vAlign w:val="center"/>
          </w:tcPr>
          <w:p w14:paraId="0E9BB74D">
            <w:pPr>
              <w:bidi w:val="0"/>
              <w:spacing w:line="240" w:lineRule="auto"/>
              <w:jc w:val="center"/>
              <w:rPr>
                <w:b/>
                <w:bCs/>
                <w:color w:val="auto"/>
                <w:sz w:val="21"/>
                <w:szCs w:val="21"/>
              </w:rPr>
            </w:pPr>
          </w:p>
        </w:tc>
        <w:tc>
          <w:tcPr>
            <w:tcW w:w="246" w:type="pct"/>
            <w:vMerge w:val="continue"/>
            <w:noWrap w:val="0"/>
            <w:vAlign w:val="center"/>
          </w:tcPr>
          <w:p w14:paraId="358DEB96">
            <w:pPr>
              <w:bidi w:val="0"/>
              <w:spacing w:line="240" w:lineRule="auto"/>
              <w:jc w:val="center"/>
              <w:rPr>
                <w:b/>
                <w:bCs/>
                <w:color w:val="auto"/>
                <w:sz w:val="21"/>
                <w:szCs w:val="21"/>
              </w:rPr>
            </w:pPr>
          </w:p>
        </w:tc>
        <w:tc>
          <w:tcPr>
            <w:tcW w:w="215" w:type="pct"/>
            <w:vMerge w:val="continue"/>
            <w:noWrap w:val="0"/>
            <w:vAlign w:val="center"/>
          </w:tcPr>
          <w:p w14:paraId="0FF2CF70">
            <w:pPr>
              <w:bidi w:val="0"/>
              <w:spacing w:line="240" w:lineRule="auto"/>
              <w:jc w:val="center"/>
              <w:rPr>
                <w:b/>
                <w:bCs/>
                <w:color w:val="auto"/>
                <w:sz w:val="21"/>
                <w:szCs w:val="21"/>
              </w:rPr>
            </w:pPr>
          </w:p>
        </w:tc>
        <w:tc>
          <w:tcPr>
            <w:tcW w:w="155" w:type="pct"/>
            <w:vMerge w:val="continue"/>
            <w:noWrap w:val="0"/>
            <w:vAlign w:val="center"/>
          </w:tcPr>
          <w:p w14:paraId="0749AFCD">
            <w:pPr>
              <w:bidi w:val="0"/>
              <w:spacing w:line="240" w:lineRule="auto"/>
              <w:jc w:val="center"/>
              <w:rPr>
                <w:b/>
                <w:bCs/>
                <w:color w:val="auto"/>
                <w:sz w:val="21"/>
                <w:szCs w:val="21"/>
              </w:rPr>
            </w:pPr>
          </w:p>
        </w:tc>
        <w:tc>
          <w:tcPr>
            <w:tcW w:w="286" w:type="pct"/>
            <w:vMerge w:val="continue"/>
            <w:noWrap w:val="0"/>
            <w:vAlign w:val="center"/>
          </w:tcPr>
          <w:p w14:paraId="071BFEEE">
            <w:pPr>
              <w:bidi w:val="0"/>
              <w:spacing w:line="240" w:lineRule="auto"/>
              <w:jc w:val="center"/>
              <w:rPr>
                <w:b/>
                <w:bCs/>
                <w:color w:val="auto"/>
                <w:sz w:val="21"/>
                <w:szCs w:val="21"/>
              </w:rPr>
            </w:pPr>
          </w:p>
        </w:tc>
        <w:tc>
          <w:tcPr>
            <w:tcW w:w="255" w:type="pct"/>
            <w:vMerge w:val="continue"/>
            <w:noWrap w:val="0"/>
            <w:vAlign w:val="center"/>
          </w:tcPr>
          <w:p w14:paraId="0118C375">
            <w:pPr>
              <w:bidi w:val="0"/>
              <w:spacing w:line="240" w:lineRule="auto"/>
              <w:jc w:val="center"/>
              <w:rPr>
                <w:b/>
                <w:bCs/>
                <w:color w:val="auto"/>
                <w:sz w:val="21"/>
                <w:szCs w:val="21"/>
              </w:rPr>
            </w:pPr>
          </w:p>
        </w:tc>
        <w:tc>
          <w:tcPr>
            <w:tcW w:w="265" w:type="pct"/>
            <w:vMerge w:val="continue"/>
            <w:noWrap w:val="0"/>
            <w:vAlign w:val="center"/>
          </w:tcPr>
          <w:p w14:paraId="355B7025">
            <w:pPr>
              <w:bidi w:val="0"/>
              <w:spacing w:line="240" w:lineRule="auto"/>
              <w:jc w:val="center"/>
              <w:rPr>
                <w:b/>
                <w:bCs/>
                <w:color w:val="auto"/>
                <w:sz w:val="21"/>
                <w:szCs w:val="21"/>
              </w:rPr>
            </w:pPr>
          </w:p>
        </w:tc>
        <w:tc>
          <w:tcPr>
            <w:tcW w:w="415" w:type="pct"/>
            <w:noWrap w:val="0"/>
            <w:vAlign w:val="center"/>
          </w:tcPr>
          <w:p w14:paraId="5F912D04">
            <w:pPr>
              <w:bidi w:val="0"/>
              <w:spacing w:line="240" w:lineRule="auto"/>
              <w:jc w:val="center"/>
              <w:rPr>
                <w:b/>
                <w:bCs/>
                <w:color w:val="auto"/>
                <w:sz w:val="21"/>
                <w:szCs w:val="21"/>
              </w:rPr>
            </w:pPr>
            <w:r>
              <w:rPr>
                <w:rFonts w:hint="eastAsia"/>
                <w:b/>
                <w:bCs/>
                <w:color w:val="auto"/>
                <w:sz w:val="21"/>
                <w:szCs w:val="21"/>
                <w:lang w:val="en-US"/>
              </w:rPr>
              <w:t>PM</w:t>
            </w:r>
            <w:r>
              <w:rPr>
                <w:rFonts w:hint="eastAsia"/>
                <w:b/>
                <w:bCs/>
                <w:color w:val="auto"/>
                <w:sz w:val="21"/>
                <w:szCs w:val="21"/>
                <w:vertAlign w:val="subscript"/>
                <w:lang w:val="en-US"/>
              </w:rPr>
              <w:t>2.5</w:t>
            </w:r>
          </w:p>
        </w:tc>
        <w:tc>
          <w:tcPr>
            <w:tcW w:w="387" w:type="pct"/>
            <w:tcBorders>
              <w:right w:val="single" w:color="auto" w:sz="4" w:space="0"/>
            </w:tcBorders>
            <w:noWrap w:val="0"/>
            <w:vAlign w:val="center"/>
          </w:tcPr>
          <w:p w14:paraId="0D9A5503">
            <w:pPr>
              <w:bidi w:val="0"/>
              <w:spacing w:line="240" w:lineRule="auto"/>
              <w:jc w:val="center"/>
              <w:rPr>
                <w:rFonts w:hint="eastAsia"/>
                <w:b/>
                <w:bCs/>
                <w:color w:val="auto"/>
                <w:sz w:val="21"/>
                <w:szCs w:val="21"/>
                <w:lang w:val="en-US"/>
              </w:rPr>
            </w:pPr>
            <w:r>
              <w:rPr>
                <w:rFonts w:hint="eastAsia"/>
                <w:b/>
                <w:bCs/>
                <w:color w:val="auto"/>
                <w:sz w:val="21"/>
                <w:szCs w:val="21"/>
                <w:lang w:val="en-US"/>
              </w:rPr>
              <w:t>PM</w:t>
            </w:r>
            <w:r>
              <w:rPr>
                <w:rFonts w:hint="eastAsia"/>
                <w:b/>
                <w:bCs/>
                <w:color w:val="auto"/>
                <w:sz w:val="21"/>
                <w:szCs w:val="21"/>
                <w:vertAlign w:val="subscript"/>
                <w:lang w:val="en-US"/>
              </w:rPr>
              <w:t>10</w:t>
            </w:r>
          </w:p>
        </w:tc>
        <w:tc>
          <w:tcPr>
            <w:tcW w:w="475" w:type="pct"/>
            <w:tcBorders>
              <w:right w:val="single" w:color="auto" w:sz="4" w:space="0"/>
            </w:tcBorders>
            <w:noWrap w:val="0"/>
            <w:vAlign w:val="center"/>
          </w:tcPr>
          <w:p w14:paraId="3E3D71A3">
            <w:pPr>
              <w:bidi w:val="0"/>
              <w:spacing w:line="240" w:lineRule="auto"/>
              <w:jc w:val="center"/>
              <w:rPr>
                <w:rFonts w:hint="eastAsia"/>
                <w:b/>
                <w:bCs/>
                <w:color w:val="auto"/>
                <w:sz w:val="21"/>
                <w:szCs w:val="21"/>
                <w:lang w:val="en-US"/>
              </w:rPr>
            </w:pPr>
            <w:r>
              <w:rPr>
                <w:rFonts w:hint="eastAsia"/>
                <w:b/>
                <w:bCs/>
                <w:color w:val="auto"/>
                <w:sz w:val="21"/>
                <w:szCs w:val="21"/>
                <w:lang w:val="en-US"/>
              </w:rPr>
              <w:t>非甲烷总烃</w:t>
            </w:r>
          </w:p>
        </w:tc>
      </w:tr>
      <w:tr w14:paraId="06886DC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1099" w:hRule="atLeast"/>
        </w:trPr>
        <w:tc>
          <w:tcPr>
            <w:tcW w:w="366" w:type="pct"/>
            <w:tcBorders>
              <w:top w:val="single" w:color="000000" w:sz="4" w:space="0"/>
              <w:left w:val="single" w:color="auto" w:sz="4" w:space="0"/>
              <w:bottom w:val="single" w:color="000000" w:sz="4" w:space="0"/>
            </w:tcBorders>
            <w:noWrap w:val="0"/>
            <w:vAlign w:val="center"/>
          </w:tcPr>
          <w:p w14:paraId="25D4672E">
            <w:pPr>
              <w:bidi w:val="0"/>
              <w:spacing w:line="240" w:lineRule="auto"/>
              <w:jc w:val="center"/>
              <w:rPr>
                <w:rFonts w:hint="eastAsia"/>
                <w:color w:val="auto"/>
                <w:sz w:val="21"/>
                <w:szCs w:val="21"/>
                <w:lang w:val="en-US"/>
              </w:rPr>
            </w:pPr>
            <w:r>
              <w:rPr>
                <w:rFonts w:hint="eastAsia"/>
                <w:color w:val="auto"/>
                <w:sz w:val="21"/>
                <w:szCs w:val="21"/>
                <w:lang w:val="en-US"/>
              </w:rPr>
              <w:t>DA0</w:t>
            </w:r>
            <w:r>
              <w:rPr>
                <w:rFonts w:hint="eastAsia"/>
                <w:color w:val="auto"/>
                <w:sz w:val="21"/>
                <w:szCs w:val="21"/>
                <w:lang w:val="en-US" w:eastAsia="zh-CN"/>
              </w:rPr>
              <w:t>23</w:t>
            </w:r>
            <w:r>
              <w:rPr>
                <w:rFonts w:hint="eastAsia"/>
                <w:color w:val="auto"/>
                <w:sz w:val="21"/>
                <w:szCs w:val="21"/>
                <w:lang w:val="en-US"/>
              </w:rPr>
              <w:t>排气筒</w:t>
            </w:r>
          </w:p>
        </w:tc>
        <w:tc>
          <w:tcPr>
            <w:tcW w:w="819" w:type="pct"/>
            <w:tcBorders>
              <w:top w:val="single" w:color="000000" w:sz="4" w:space="0"/>
              <w:bottom w:val="single" w:color="000000" w:sz="4" w:space="0"/>
            </w:tcBorders>
            <w:noWrap w:val="0"/>
            <w:vAlign w:val="center"/>
          </w:tcPr>
          <w:p w14:paraId="6E125EE4">
            <w:pPr>
              <w:bidi w:val="0"/>
              <w:spacing w:line="240" w:lineRule="auto"/>
              <w:jc w:val="center"/>
              <w:rPr>
                <w:color w:val="auto"/>
                <w:sz w:val="21"/>
                <w:szCs w:val="21"/>
                <w:lang w:val="en-US"/>
              </w:rPr>
            </w:pPr>
            <w:r>
              <w:rPr>
                <w:rFonts w:hint="eastAsia"/>
                <w:color w:val="auto"/>
                <w:sz w:val="21"/>
                <w:szCs w:val="21"/>
                <w:lang w:val="en-US"/>
              </w:rPr>
              <w:t>117°30'37.8476"</w:t>
            </w:r>
          </w:p>
        </w:tc>
        <w:tc>
          <w:tcPr>
            <w:tcW w:w="782" w:type="pct"/>
            <w:tcBorders>
              <w:top w:val="single" w:color="000000" w:sz="4" w:space="0"/>
              <w:bottom w:val="single" w:color="000000" w:sz="4" w:space="0"/>
            </w:tcBorders>
            <w:noWrap w:val="0"/>
            <w:vAlign w:val="center"/>
          </w:tcPr>
          <w:p w14:paraId="2C52FF6E">
            <w:pPr>
              <w:bidi w:val="0"/>
              <w:spacing w:line="240" w:lineRule="auto"/>
              <w:jc w:val="center"/>
              <w:rPr>
                <w:color w:val="auto"/>
                <w:sz w:val="21"/>
                <w:szCs w:val="21"/>
                <w:lang w:val="en-US"/>
              </w:rPr>
            </w:pPr>
            <w:r>
              <w:rPr>
                <w:rFonts w:hint="eastAsia"/>
                <w:color w:val="auto"/>
                <w:sz w:val="21"/>
                <w:szCs w:val="21"/>
                <w:lang w:val="en-US"/>
              </w:rPr>
              <w:t>31°45'44.4931"</w:t>
            </w:r>
          </w:p>
        </w:tc>
        <w:tc>
          <w:tcPr>
            <w:tcW w:w="328" w:type="pct"/>
            <w:tcBorders>
              <w:top w:val="single" w:color="000000" w:sz="4" w:space="0"/>
              <w:bottom w:val="single" w:color="000000" w:sz="4" w:space="0"/>
            </w:tcBorders>
            <w:noWrap w:val="0"/>
            <w:vAlign w:val="center"/>
          </w:tcPr>
          <w:p w14:paraId="3C842085">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27</w:t>
            </w:r>
          </w:p>
        </w:tc>
        <w:tc>
          <w:tcPr>
            <w:tcW w:w="246" w:type="pct"/>
            <w:tcBorders>
              <w:top w:val="single" w:color="000000" w:sz="4" w:space="0"/>
              <w:bottom w:val="single" w:color="000000" w:sz="4" w:space="0"/>
            </w:tcBorders>
            <w:noWrap w:val="0"/>
            <w:vAlign w:val="center"/>
          </w:tcPr>
          <w:p w14:paraId="014043EA">
            <w:pPr>
              <w:bidi w:val="0"/>
              <w:spacing w:line="240" w:lineRule="auto"/>
              <w:jc w:val="center"/>
              <w:rPr>
                <w:rFonts w:hint="eastAsia" w:eastAsia="宋体"/>
                <w:color w:val="auto"/>
                <w:sz w:val="21"/>
                <w:szCs w:val="21"/>
                <w:lang w:val="en-US" w:eastAsia="zh-CN"/>
              </w:rPr>
            </w:pPr>
            <w:r>
              <w:rPr>
                <w:rFonts w:hint="eastAsia"/>
                <w:color w:val="auto"/>
                <w:sz w:val="21"/>
                <w:szCs w:val="21"/>
                <w:lang w:val="en-US"/>
              </w:rPr>
              <w:t>2</w:t>
            </w:r>
            <w:r>
              <w:rPr>
                <w:rFonts w:hint="eastAsia"/>
                <w:color w:val="auto"/>
                <w:sz w:val="21"/>
                <w:szCs w:val="21"/>
                <w:lang w:val="en-US" w:eastAsia="zh-CN"/>
              </w:rPr>
              <w:t>5</w:t>
            </w:r>
          </w:p>
        </w:tc>
        <w:tc>
          <w:tcPr>
            <w:tcW w:w="215" w:type="pct"/>
            <w:tcBorders>
              <w:top w:val="single" w:color="000000" w:sz="4" w:space="0"/>
              <w:bottom w:val="single" w:color="000000" w:sz="4" w:space="0"/>
            </w:tcBorders>
            <w:noWrap w:val="0"/>
            <w:vAlign w:val="center"/>
          </w:tcPr>
          <w:p w14:paraId="1B11499F">
            <w:pPr>
              <w:bidi w:val="0"/>
              <w:spacing w:line="240" w:lineRule="auto"/>
              <w:jc w:val="center"/>
              <w:rPr>
                <w:color w:val="auto"/>
                <w:sz w:val="21"/>
                <w:szCs w:val="21"/>
              </w:rPr>
            </w:pPr>
            <w:r>
              <w:rPr>
                <w:rFonts w:hint="eastAsia"/>
                <w:color w:val="auto"/>
                <w:sz w:val="21"/>
                <w:szCs w:val="21"/>
                <w:lang w:val="en-US" w:eastAsia="zh-CN"/>
              </w:rPr>
              <w:t>2.4</w:t>
            </w:r>
          </w:p>
        </w:tc>
        <w:tc>
          <w:tcPr>
            <w:tcW w:w="155" w:type="pct"/>
            <w:tcBorders>
              <w:top w:val="single" w:color="000000" w:sz="4" w:space="0"/>
              <w:bottom w:val="single" w:color="000000" w:sz="4" w:space="0"/>
            </w:tcBorders>
            <w:noWrap w:val="0"/>
            <w:vAlign w:val="center"/>
          </w:tcPr>
          <w:p w14:paraId="0C1AECBC">
            <w:pPr>
              <w:bidi w:val="0"/>
              <w:spacing w:line="240" w:lineRule="auto"/>
              <w:jc w:val="center"/>
              <w:rPr>
                <w:color w:val="auto"/>
                <w:sz w:val="21"/>
                <w:szCs w:val="21"/>
              </w:rPr>
            </w:pPr>
            <w:r>
              <w:rPr>
                <w:rFonts w:hint="eastAsia"/>
                <w:color w:val="auto"/>
                <w:sz w:val="21"/>
                <w:szCs w:val="21"/>
              </w:rPr>
              <w:t>25</w:t>
            </w:r>
          </w:p>
        </w:tc>
        <w:tc>
          <w:tcPr>
            <w:tcW w:w="286" w:type="pct"/>
            <w:tcBorders>
              <w:top w:val="single" w:color="000000" w:sz="4" w:space="0"/>
              <w:bottom w:val="single" w:color="000000" w:sz="4" w:space="0"/>
            </w:tcBorders>
            <w:noWrap w:val="0"/>
            <w:vAlign w:val="center"/>
          </w:tcPr>
          <w:p w14:paraId="1E929C2F">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145000</w:t>
            </w:r>
          </w:p>
        </w:tc>
        <w:tc>
          <w:tcPr>
            <w:tcW w:w="255" w:type="pct"/>
            <w:tcBorders>
              <w:top w:val="single" w:color="000000" w:sz="4" w:space="0"/>
              <w:bottom w:val="single" w:color="000000" w:sz="4" w:space="0"/>
            </w:tcBorders>
            <w:noWrap w:val="0"/>
            <w:vAlign w:val="center"/>
          </w:tcPr>
          <w:p w14:paraId="77F56015">
            <w:pPr>
              <w:bidi w:val="0"/>
              <w:spacing w:line="240" w:lineRule="auto"/>
              <w:jc w:val="center"/>
              <w:rPr>
                <w:color w:val="auto"/>
                <w:sz w:val="21"/>
                <w:szCs w:val="21"/>
                <w:lang w:val="en-US"/>
              </w:rPr>
            </w:pPr>
            <w:r>
              <w:rPr>
                <w:rFonts w:hint="eastAsia"/>
                <w:color w:val="auto"/>
                <w:sz w:val="21"/>
                <w:szCs w:val="21"/>
                <w:lang w:val="en-US" w:eastAsia="zh-CN"/>
              </w:rPr>
              <w:t>792</w:t>
            </w:r>
            <w:r>
              <w:rPr>
                <w:rFonts w:hint="eastAsia"/>
                <w:color w:val="auto"/>
                <w:sz w:val="21"/>
                <w:szCs w:val="21"/>
                <w:lang w:val="en-US"/>
              </w:rPr>
              <w:t>0</w:t>
            </w:r>
          </w:p>
        </w:tc>
        <w:tc>
          <w:tcPr>
            <w:tcW w:w="265" w:type="pct"/>
            <w:vMerge w:val="restart"/>
            <w:tcBorders>
              <w:top w:val="single" w:color="000000" w:sz="4" w:space="0"/>
            </w:tcBorders>
            <w:noWrap w:val="0"/>
            <w:vAlign w:val="center"/>
          </w:tcPr>
          <w:p w14:paraId="104F72C0">
            <w:pPr>
              <w:bidi w:val="0"/>
              <w:spacing w:line="240" w:lineRule="auto"/>
              <w:jc w:val="center"/>
              <w:rPr>
                <w:color w:val="auto"/>
                <w:sz w:val="21"/>
                <w:szCs w:val="21"/>
                <w:lang w:val="en-US"/>
              </w:rPr>
            </w:pPr>
            <w:r>
              <w:rPr>
                <w:rFonts w:hint="eastAsia"/>
                <w:color w:val="auto"/>
                <w:sz w:val="21"/>
                <w:szCs w:val="21"/>
                <w:lang w:val="en-US"/>
              </w:rPr>
              <w:t>正常工况</w:t>
            </w:r>
          </w:p>
        </w:tc>
        <w:tc>
          <w:tcPr>
            <w:tcW w:w="415" w:type="pct"/>
            <w:tcBorders>
              <w:top w:val="single" w:color="000000" w:sz="4" w:space="0"/>
              <w:bottom w:val="single" w:color="000000" w:sz="4" w:space="0"/>
            </w:tcBorders>
            <w:noWrap w:val="0"/>
            <w:vAlign w:val="center"/>
          </w:tcPr>
          <w:p w14:paraId="7022822E">
            <w:pPr>
              <w:bidi w:val="0"/>
              <w:spacing w:line="240" w:lineRule="auto"/>
              <w:jc w:val="center"/>
              <w:rPr>
                <w:rFonts w:hint="default" w:eastAsia="宋体"/>
                <w:color w:val="auto"/>
                <w:sz w:val="21"/>
                <w:szCs w:val="21"/>
                <w:lang w:val="en-US" w:eastAsia="zh-CN"/>
              </w:rPr>
            </w:pPr>
            <w:r>
              <w:rPr>
                <w:rFonts w:hint="eastAsia" w:eastAsia="宋体"/>
                <w:color w:val="auto"/>
                <w:sz w:val="21"/>
                <w:szCs w:val="21"/>
                <w:lang w:val="en-US" w:eastAsia="zh-CN"/>
              </w:rPr>
              <w:t>/</w:t>
            </w:r>
          </w:p>
        </w:tc>
        <w:tc>
          <w:tcPr>
            <w:tcW w:w="387" w:type="pct"/>
            <w:tcBorders>
              <w:top w:val="single" w:color="000000" w:sz="4" w:space="0"/>
              <w:bottom w:val="single" w:color="000000" w:sz="4" w:space="0"/>
              <w:right w:val="single" w:color="auto" w:sz="4" w:space="0"/>
            </w:tcBorders>
            <w:noWrap w:val="0"/>
            <w:vAlign w:val="center"/>
          </w:tcPr>
          <w:p w14:paraId="69B7FBD4">
            <w:pPr>
              <w:bidi w:val="0"/>
              <w:spacing w:line="240" w:lineRule="auto"/>
              <w:jc w:val="center"/>
              <w:rPr>
                <w:rFonts w:hint="default" w:eastAsia="宋体"/>
                <w:color w:val="auto"/>
                <w:sz w:val="21"/>
                <w:szCs w:val="21"/>
                <w:lang w:val="en-US" w:eastAsia="zh-CN"/>
              </w:rPr>
            </w:pPr>
            <w:r>
              <w:rPr>
                <w:rFonts w:hint="eastAsia" w:eastAsia="宋体"/>
                <w:color w:val="auto"/>
                <w:sz w:val="21"/>
                <w:szCs w:val="21"/>
                <w:lang w:val="en-US" w:eastAsia="zh-CN"/>
              </w:rPr>
              <w:t>/</w:t>
            </w:r>
          </w:p>
        </w:tc>
        <w:tc>
          <w:tcPr>
            <w:tcW w:w="475" w:type="pct"/>
            <w:tcBorders>
              <w:top w:val="single" w:color="000000" w:sz="4" w:space="0"/>
              <w:bottom w:val="single" w:color="000000" w:sz="4" w:space="0"/>
              <w:right w:val="single" w:color="auto" w:sz="4" w:space="0"/>
            </w:tcBorders>
            <w:noWrap w:val="0"/>
            <w:vAlign w:val="center"/>
          </w:tcPr>
          <w:p w14:paraId="780CB934">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0.267</w:t>
            </w:r>
          </w:p>
        </w:tc>
      </w:tr>
      <w:tr w14:paraId="133094A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1099" w:hRule="atLeast"/>
        </w:trPr>
        <w:tc>
          <w:tcPr>
            <w:tcW w:w="366" w:type="pct"/>
            <w:tcBorders>
              <w:top w:val="single" w:color="000000" w:sz="4" w:space="0"/>
              <w:left w:val="single" w:color="auto" w:sz="4" w:space="0"/>
              <w:bottom w:val="single" w:color="000000" w:sz="4" w:space="0"/>
            </w:tcBorders>
            <w:noWrap w:val="0"/>
            <w:vAlign w:val="center"/>
          </w:tcPr>
          <w:p w14:paraId="2BA394D3">
            <w:pPr>
              <w:bidi w:val="0"/>
              <w:spacing w:line="240" w:lineRule="auto"/>
              <w:jc w:val="center"/>
              <w:rPr>
                <w:rFonts w:hint="eastAsia"/>
                <w:color w:val="auto"/>
                <w:sz w:val="21"/>
                <w:szCs w:val="21"/>
                <w:lang w:val="en-US"/>
              </w:rPr>
            </w:pPr>
            <w:r>
              <w:rPr>
                <w:rFonts w:hint="eastAsia"/>
                <w:color w:val="auto"/>
                <w:sz w:val="21"/>
                <w:szCs w:val="21"/>
                <w:lang w:val="en-US" w:eastAsia="zh-CN"/>
              </w:rPr>
              <w:t>DA004</w:t>
            </w:r>
            <w:r>
              <w:rPr>
                <w:rFonts w:hint="eastAsia"/>
                <w:color w:val="auto"/>
                <w:sz w:val="21"/>
                <w:szCs w:val="21"/>
                <w:lang w:val="en-US"/>
              </w:rPr>
              <w:t>排气筒</w:t>
            </w:r>
          </w:p>
        </w:tc>
        <w:tc>
          <w:tcPr>
            <w:tcW w:w="819" w:type="pct"/>
            <w:tcBorders>
              <w:top w:val="single" w:color="000000" w:sz="4" w:space="0"/>
              <w:bottom w:val="single" w:color="000000" w:sz="4" w:space="0"/>
            </w:tcBorders>
            <w:noWrap w:val="0"/>
            <w:vAlign w:val="center"/>
          </w:tcPr>
          <w:p w14:paraId="3716B1CE">
            <w:pPr>
              <w:bidi w:val="0"/>
              <w:spacing w:line="240" w:lineRule="auto"/>
              <w:jc w:val="center"/>
              <w:rPr>
                <w:color w:val="auto"/>
                <w:sz w:val="21"/>
                <w:szCs w:val="21"/>
                <w:lang w:val="en-US"/>
              </w:rPr>
            </w:pPr>
            <w:r>
              <w:rPr>
                <w:rFonts w:hint="eastAsia"/>
                <w:color w:val="auto"/>
                <w:sz w:val="21"/>
                <w:szCs w:val="21"/>
                <w:lang w:val="en-US"/>
              </w:rPr>
              <w:t>117°30'39.9646"</w:t>
            </w:r>
          </w:p>
        </w:tc>
        <w:tc>
          <w:tcPr>
            <w:tcW w:w="782" w:type="pct"/>
            <w:tcBorders>
              <w:top w:val="single" w:color="000000" w:sz="4" w:space="0"/>
              <w:bottom w:val="single" w:color="000000" w:sz="4" w:space="0"/>
            </w:tcBorders>
            <w:noWrap w:val="0"/>
            <w:vAlign w:val="center"/>
          </w:tcPr>
          <w:p w14:paraId="194FC297">
            <w:pPr>
              <w:bidi w:val="0"/>
              <w:spacing w:line="240" w:lineRule="auto"/>
              <w:jc w:val="center"/>
              <w:rPr>
                <w:color w:val="auto"/>
                <w:sz w:val="21"/>
                <w:szCs w:val="21"/>
                <w:lang w:val="en-US"/>
              </w:rPr>
            </w:pPr>
            <w:r>
              <w:rPr>
                <w:rFonts w:hint="eastAsia"/>
                <w:color w:val="auto"/>
                <w:sz w:val="21"/>
                <w:szCs w:val="21"/>
                <w:lang w:val="en-US"/>
              </w:rPr>
              <w:t>31°45'44.4539"</w:t>
            </w:r>
          </w:p>
        </w:tc>
        <w:tc>
          <w:tcPr>
            <w:tcW w:w="328" w:type="pct"/>
            <w:tcBorders>
              <w:top w:val="single" w:color="000000" w:sz="4" w:space="0"/>
              <w:bottom w:val="single" w:color="000000" w:sz="4" w:space="0"/>
            </w:tcBorders>
            <w:noWrap w:val="0"/>
            <w:vAlign w:val="center"/>
          </w:tcPr>
          <w:p w14:paraId="1A1DBFD5">
            <w:pPr>
              <w:bidi w:val="0"/>
              <w:spacing w:line="240" w:lineRule="auto"/>
              <w:jc w:val="center"/>
              <w:rPr>
                <w:rFonts w:hint="eastAsia"/>
                <w:color w:val="auto"/>
                <w:sz w:val="21"/>
                <w:szCs w:val="21"/>
                <w:lang w:val="en-US"/>
              </w:rPr>
            </w:pPr>
            <w:r>
              <w:rPr>
                <w:rFonts w:hint="eastAsia"/>
                <w:color w:val="auto"/>
                <w:sz w:val="21"/>
                <w:szCs w:val="21"/>
                <w:lang w:val="en-US" w:eastAsia="zh-CN"/>
              </w:rPr>
              <w:t>27</w:t>
            </w:r>
          </w:p>
        </w:tc>
        <w:tc>
          <w:tcPr>
            <w:tcW w:w="246" w:type="pct"/>
            <w:tcBorders>
              <w:top w:val="single" w:color="000000" w:sz="4" w:space="0"/>
              <w:bottom w:val="single" w:color="000000" w:sz="4" w:space="0"/>
            </w:tcBorders>
            <w:noWrap w:val="0"/>
            <w:vAlign w:val="center"/>
          </w:tcPr>
          <w:p w14:paraId="187045DC">
            <w:pPr>
              <w:bidi w:val="0"/>
              <w:spacing w:line="240" w:lineRule="auto"/>
              <w:jc w:val="center"/>
              <w:rPr>
                <w:rFonts w:hint="eastAsia"/>
                <w:color w:val="auto"/>
                <w:sz w:val="21"/>
                <w:szCs w:val="21"/>
                <w:lang w:val="en-US"/>
              </w:rPr>
            </w:pPr>
            <w:r>
              <w:rPr>
                <w:rFonts w:hint="eastAsia"/>
                <w:color w:val="auto"/>
                <w:sz w:val="21"/>
                <w:szCs w:val="21"/>
                <w:lang w:val="en-US"/>
              </w:rPr>
              <w:t>2</w:t>
            </w:r>
            <w:r>
              <w:rPr>
                <w:rFonts w:hint="eastAsia"/>
                <w:color w:val="auto"/>
                <w:sz w:val="21"/>
                <w:szCs w:val="21"/>
                <w:lang w:val="en-US" w:eastAsia="zh-CN"/>
              </w:rPr>
              <w:t>5</w:t>
            </w:r>
          </w:p>
        </w:tc>
        <w:tc>
          <w:tcPr>
            <w:tcW w:w="215" w:type="pct"/>
            <w:tcBorders>
              <w:top w:val="single" w:color="000000" w:sz="4" w:space="0"/>
              <w:bottom w:val="single" w:color="000000" w:sz="4" w:space="0"/>
            </w:tcBorders>
            <w:noWrap w:val="0"/>
            <w:vAlign w:val="center"/>
          </w:tcPr>
          <w:p w14:paraId="41276CB1">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2.4</w:t>
            </w:r>
          </w:p>
        </w:tc>
        <w:tc>
          <w:tcPr>
            <w:tcW w:w="155" w:type="pct"/>
            <w:tcBorders>
              <w:top w:val="single" w:color="000000" w:sz="4" w:space="0"/>
              <w:bottom w:val="single" w:color="000000" w:sz="4" w:space="0"/>
            </w:tcBorders>
            <w:noWrap w:val="0"/>
            <w:vAlign w:val="center"/>
          </w:tcPr>
          <w:p w14:paraId="3E36E245">
            <w:pPr>
              <w:bidi w:val="0"/>
              <w:spacing w:line="240" w:lineRule="auto"/>
              <w:jc w:val="center"/>
              <w:rPr>
                <w:rFonts w:hint="eastAsia"/>
                <w:color w:val="auto"/>
                <w:sz w:val="21"/>
                <w:szCs w:val="21"/>
              </w:rPr>
            </w:pPr>
            <w:r>
              <w:rPr>
                <w:rFonts w:hint="eastAsia"/>
                <w:color w:val="auto"/>
                <w:sz w:val="21"/>
                <w:szCs w:val="21"/>
              </w:rPr>
              <w:t>25</w:t>
            </w:r>
          </w:p>
        </w:tc>
        <w:tc>
          <w:tcPr>
            <w:tcW w:w="286" w:type="pct"/>
            <w:tcBorders>
              <w:top w:val="single" w:color="000000" w:sz="4" w:space="0"/>
              <w:bottom w:val="single" w:color="000000" w:sz="4" w:space="0"/>
            </w:tcBorders>
            <w:noWrap w:val="0"/>
            <w:vAlign w:val="center"/>
          </w:tcPr>
          <w:p w14:paraId="40AB2954">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135000</w:t>
            </w:r>
          </w:p>
        </w:tc>
        <w:tc>
          <w:tcPr>
            <w:tcW w:w="255" w:type="pct"/>
            <w:tcBorders>
              <w:top w:val="single" w:color="000000" w:sz="4" w:space="0"/>
              <w:bottom w:val="single" w:color="000000" w:sz="4" w:space="0"/>
            </w:tcBorders>
            <w:noWrap w:val="0"/>
            <w:vAlign w:val="center"/>
          </w:tcPr>
          <w:p w14:paraId="465C960E">
            <w:pPr>
              <w:bidi w:val="0"/>
              <w:spacing w:line="240" w:lineRule="auto"/>
              <w:jc w:val="center"/>
              <w:rPr>
                <w:rFonts w:hint="eastAsia"/>
                <w:color w:val="auto"/>
                <w:sz w:val="21"/>
                <w:szCs w:val="21"/>
                <w:lang w:val="en-US"/>
              </w:rPr>
            </w:pPr>
            <w:r>
              <w:rPr>
                <w:rFonts w:hint="eastAsia"/>
                <w:color w:val="auto"/>
                <w:sz w:val="21"/>
                <w:szCs w:val="21"/>
                <w:lang w:val="en-US" w:eastAsia="zh-CN"/>
              </w:rPr>
              <w:t>792</w:t>
            </w:r>
            <w:r>
              <w:rPr>
                <w:rFonts w:hint="eastAsia"/>
                <w:color w:val="auto"/>
                <w:sz w:val="21"/>
                <w:szCs w:val="21"/>
                <w:lang w:val="en-US"/>
              </w:rPr>
              <w:t>0</w:t>
            </w:r>
          </w:p>
        </w:tc>
        <w:tc>
          <w:tcPr>
            <w:tcW w:w="265" w:type="pct"/>
            <w:vMerge w:val="continue"/>
            <w:noWrap w:val="0"/>
            <w:vAlign w:val="center"/>
          </w:tcPr>
          <w:p w14:paraId="4EBF5E0A">
            <w:pPr>
              <w:bidi w:val="0"/>
              <w:spacing w:line="240" w:lineRule="auto"/>
              <w:jc w:val="center"/>
              <w:rPr>
                <w:rFonts w:hint="eastAsia"/>
                <w:color w:val="auto"/>
                <w:sz w:val="21"/>
                <w:szCs w:val="21"/>
                <w:lang w:val="en-US"/>
              </w:rPr>
            </w:pPr>
          </w:p>
        </w:tc>
        <w:tc>
          <w:tcPr>
            <w:tcW w:w="415" w:type="pct"/>
            <w:tcBorders>
              <w:top w:val="single" w:color="000000" w:sz="4" w:space="0"/>
              <w:bottom w:val="single" w:color="000000" w:sz="4" w:space="0"/>
            </w:tcBorders>
            <w:noWrap w:val="0"/>
            <w:vAlign w:val="center"/>
          </w:tcPr>
          <w:p w14:paraId="02983DDE">
            <w:pPr>
              <w:bidi w:val="0"/>
              <w:spacing w:line="240" w:lineRule="auto"/>
              <w:jc w:val="center"/>
              <w:rPr>
                <w:rFonts w:hint="eastAsia"/>
                <w:color w:val="auto"/>
                <w:sz w:val="21"/>
                <w:szCs w:val="21"/>
                <w:lang w:val="en-US"/>
              </w:rPr>
            </w:pPr>
            <w:r>
              <w:rPr>
                <w:rFonts w:hint="eastAsia" w:eastAsia="宋体"/>
                <w:color w:val="auto"/>
                <w:sz w:val="21"/>
                <w:szCs w:val="21"/>
                <w:lang w:val="en-US" w:eastAsia="zh-CN"/>
              </w:rPr>
              <w:t>/</w:t>
            </w:r>
          </w:p>
        </w:tc>
        <w:tc>
          <w:tcPr>
            <w:tcW w:w="387" w:type="pct"/>
            <w:tcBorders>
              <w:top w:val="single" w:color="000000" w:sz="4" w:space="0"/>
              <w:bottom w:val="single" w:color="000000" w:sz="4" w:space="0"/>
              <w:right w:val="single" w:color="auto" w:sz="4" w:space="0"/>
            </w:tcBorders>
            <w:noWrap w:val="0"/>
            <w:vAlign w:val="center"/>
          </w:tcPr>
          <w:p w14:paraId="49F9B236">
            <w:pPr>
              <w:bidi w:val="0"/>
              <w:spacing w:line="240" w:lineRule="auto"/>
              <w:jc w:val="center"/>
              <w:rPr>
                <w:rFonts w:hint="eastAsia"/>
                <w:color w:val="auto"/>
                <w:sz w:val="21"/>
                <w:szCs w:val="21"/>
                <w:lang w:val="en-US"/>
              </w:rPr>
            </w:pPr>
            <w:r>
              <w:rPr>
                <w:rFonts w:hint="eastAsia" w:eastAsia="宋体"/>
                <w:color w:val="auto"/>
                <w:sz w:val="21"/>
                <w:szCs w:val="21"/>
                <w:lang w:val="en-US" w:eastAsia="zh-CN"/>
              </w:rPr>
              <w:t>/</w:t>
            </w:r>
          </w:p>
        </w:tc>
        <w:tc>
          <w:tcPr>
            <w:tcW w:w="475" w:type="pct"/>
            <w:tcBorders>
              <w:top w:val="single" w:color="000000" w:sz="4" w:space="0"/>
              <w:bottom w:val="single" w:color="000000" w:sz="4" w:space="0"/>
              <w:right w:val="single" w:color="auto" w:sz="4" w:space="0"/>
            </w:tcBorders>
            <w:noWrap w:val="0"/>
            <w:vAlign w:val="center"/>
          </w:tcPr>
          <w:p w14:paraId="14FBA05A">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0.238</w:t>
            </w:r>
          </w:p>
        </w:tc>
      </w:tr>
      <w:tr w14:paraId="53FC90C9">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28" w:type="dxa"/>
            <w:bottom w:w="0" w:type="dxa"/>
            <w:right w:w="28" w:type="dxa"/>
          </w:tblCellMar>
        </w:tblPrEx>
        <w:trPr>
          <w:trHeight w:val="1099" w:hRule="atLeast"/>
        </w:trPr>
        <w:tc>
          <w:tcPr>
            <w:tcW w:w="366" w:type="pct"/>
            <w:tcBorders>
              <w:top w:val="single" w:color="000000" w:sz="4" w:space="0"/>
              <w:left w:val="single" w:color="auto" w:sz="4" w:space="0"/>
              <w:bottom w:val="single" w:color="auto" w:sz="4" w:space="0"/>
            </w:tcBorders>
            <w:noWrap w:val="0"/>
            <w:vAlign w:val="center"/>
          </w:tcPr>
          <w:p w14:paraId="1B5C7C5A">
            <w:pPr>
              <w:bidi w:val="0"/>
              <w:spacing w:line="240" w:lineRule="auto"/>
              <w:jc w:val="center"/>
              <w:rPr>
                <w:rFonts w:hint="eastAsia"/>
                <w:color w:val="auto"/>
                <w:sz w:val="21"/>
                <w:szCs w:val="21"/>
                <w:lang w:val="en-US"/>
              </w:rPr>
            </w:pPr>
            <w:r>
              <w:rPr>
                <w:rFonts w:hint="eastAsia"/>
                <w:color w:val="auto"/>
                <w:sz w:val="21"/>
                <w:szCs w:val="21"/>
                <w:lang w:val="en-US" w:eastAsia="zh-CN"/>
              </w:rPr>
              <w:t>DA008</w:t>
            </w:r>
            <w:r>
              <w:rPr>
                <w:rFonts w:hint="eastAsia"/>
                <w:color w:val="auto"/>
                <w:sz w:val="21"/>
                <w:szCs w:val="21"/>
                <w:lang w:val="en-US"/>
              </w:rPr>
              <w:t>排气筒</w:t>
            </w:r>
          </w:p>
        </w:tc>
        <w:tc>
          <w:tcPr>
            <w:tcW w:w="819" w:type="pct"/>
            <w:tcBorders>
              <w:top w:val="single" w:color="000000" w:sz="4" w:space="0"/>
              <w:bottom w:val="single" w:color="auto" w:sz="4" w:space="0"/>
            </w:tcBorders>
            <w:noWrap w:val="0"/>
            <w:vAlign w:val="center"/>
          </w:tcPr>
          <w:p w14:paraId="7BD4E0C7">
            <w:pPr>
              <w:bidi w:val="0"/>
              <w:spacing w:line="240" w:lineRule="auto"/>
              <w:jc w:val="center"/>
              <w:rPr>
                <w:color w:val="auto"/>
                <w:sz w:val="21"/>
                <w:szCs w:val="21"/>
                <w:lang w:val="en-US"/>
              </w:rPr>
            </w:pPr>
            <w:r>
              <w:rPr>
                <w:rFonts w:hint="eastAsia"/>
                <w:color w:val="auto"/>
                <w:sz w:val="21"/>
                <w:szCs w:val="21"/>
                <w:lang w:val="en-US"/>
              </w:rPr>
              <w:t>117°30'41.8698"</w:t>
            </w:r>
          </w:p>
        </w:tc>
        <w:tc>
          <w:tcPr>
            <w:tcW w:w="782" w:type="pct"/>
            <w:tcBorders>
              <w:top w:val="single" w:color="000000" w:sz="4" w:space="0"/>
              <w:bottom w:val="single" w:color="auto" w:sz="4" w:space="0"/>
            </w:tcBorders>
            <w:noWrap w:val="0"/>
            <w:vAlign w:val="center"/>
          </w:tcPr>
          <w:p w14:paraId="0C291A2E">
            <w:pPr>
              <w:bidi w:val="0"/>
              <w:spacing w:line="240" w:lineRule="auto"/>
              <w:jc w:val="center"/>
              <w:rPr>
                <w:color w:val="auto"/>
                <w:sz w:val="21"/>
                <w:szCs w:val="21"/>
                <w:lang w:val="en-US"/>
              </w:rPr>
            </w:pPr>
            <w:r>
              <w:rPr>
                <w:rFonts w:hint="eastAsia"/>
                <w:color w:val="auto"/>
                <w:sz w:val="21"/>
                <w:szCs w:val="21"/>
                <w:lang w:val="en-US"/>
              </w:rPr>
              <w:t>31°45'44.4646"</w:t>
            </w:r>
          </w:p>
        </w:tc>
        <w:tc>
          <w:tcPr>
            <w:tcW w:w="328" w:type="pct"/>
            <w:tcBorders>
              <w:top w:val="single" w:color="000000" w:sz="4" w:space="0"/>
              <w:bottom w:val="single" w:color="auto" w:sz="4" w:space="0"/>
            </w:tcBorders>
            <w:noWrap w:val="0"/>
            <w:vAlign w:val="center"/>
          </w:tcPr>
          <w:p w14:paraId="3DF203CC">
            <w:pPr>
              <w:bidi w:val="0"/>
              <w:spacing w:line="240" w:lineRule="auto"/>
              <w:jc w:val="center"/>
              <w:rPr>
                <w:rFonts w:hint="eastAsia"/>
                <w:color w:val="auto"/>
                <w:sz w:val="21"/>
                <w:szCs w:val="21"/>
                <w:lang w:val="en-US"/>
              </w:rPr>
            </w:pPr>
            <w:r>
              <w:rPr>
                <w:rFonts w:hint="eastAsia"/>
                <w:color w:val="auto"/>
                <w:sz w:val="21"/>
                <w:szCs w:val="21"/>
                <w:lang w:val="en-US" w:eastAsia="zh-CN"/>
              </w:rPr>
              <w:t>27</w:t>
            </w:r>
          </w:p>
        </w:tc>
        <w:tc>
          <w:tcPr>
            <w:tcW w:w="246" w:type="pct"/>
            <w:tcBorders>
              <w:top w:val="single" w:color="000000" w:sz="4" w:space="0"/>
              <w:bottom w:val="single" w:color="auto" w:sz="4" w:space="0"/>
            </w:tcBorders>
            <w:noWrap w:val="0"/>
            <w:vAlign w:val="center"/>
          </w:tcPr>
          <w:p w14:paraId="4DFFAA2E">
            <w:pPr>
              <w:bidi w:val="0"/>
              <w:spacing w:line="240" w:lineRule="auto"/>
              <w:jc w:val="center"/>
              <w:rPr>
                <w:rFonts w:hint="eastAsia"/>
                <w:color w:val="auto"/>
                <w:sz w:val="21"/>
                <w:szCs w:val="21"/>
                <w:lang w:val="en-US"/>
              </w:rPr>
            </w:pPr>
            <w:r>
              <w:rPr>
                <w:rFonts w:hint="eastAsia"/>
                <w:color w:val="auto"/>
                <w:sz w:val="21"/>
                <w:szCs w:val="21"/>
                <w:lang w:val="en-US"/>
              </w:rPr>
              <w:t>2</w:t>
            </w:r>
            <w:r>
              <w:rPr>
                <w:rFonts w:hint="eastAsia"/>
                <w:color w:val="auto"/>
                <w:sz w:val="21"/>
                <w:szCs w:val="21"/>
                <w:lang w:val="en-US" w:eastAsia="zh-CN"/>
              </w:rPr>
              <w:t>5</w:t>
            </w:r>
          </w:p>
        </w:tc>
        <w:tc>
          <w:tcPr>
            <w:tcW w:w="215" w:type="pct"/>
            <w:tcBorders>
              <w:top w:val="single" w:color="000000" w:sz="4" w:space="0"/>
              <w:bottom w:val="single" w:color="auto" w:sz="4" w:space="0"/>
            </w:tcBorders>
            <w:noWrap w:val="0"/>
            <w:vAlign w:val="center"/>
          </w:tcPr>
          <w:p w14:paraId="7D74410A">
            <w:pPr>
              <w:bidi w:val="0"/>
              <w:spacing w:line="240" w:lineRule="auto"/>
              <w:jc w:val="center"/>
              <w:rPr>
                <w:rFonts w:hint="eastAsia"/>
                <w:color w:val="auto"/>
                <w:sz w:val="21"/>
                <w:szCs w:val="21"/>
              </w:rPr>
            </w:pPr>
            <w:r>
              <w:rPr>
                <w:rFonts w:hint="eastAsia"/>
                <w:color w:val="auto"/>
                <w:sz w:val="21"/>
                <w:szCs w:val="21"/>
                <w:lang w:val="en-US" w:eastAsia="zh-CN"/>
              </w:rPr>
              <w:t>2.4</w:t>
            </w:r>
          </w:p>
        </w:tc>
        <w:tc>
          <w:tcPr>
            <w:tcW w:w="155" w:type="pct"/>
            <w:tcBorders>
              <w:top w:val="single" w:color="000000" w:sz="4" w:space="0"/>
              <w:bottom w:val="single" w:color="auto" w:sz="4" w:space="0"/>
            </w:tcBorders>
            <w:noWrap w:val="0"/>
            <w:vAlign w:val="center"/>
          </w:tcPr>
          <w:p w14:paraId="16C9915D">
            <w:pPr>
              <w:bidi w:val="0"/>
              <w:spacing w:line="240" w:lineRule="auto"/>
              <w:jc w:val="center"/>
              <w:rPr>
                <w:rFonts w:hint="eastAsia"/>
                <w:color w:val="auto"/>
                <w:sz w:val="21"/>
                <w:szCs w:val="21"/>
              </w:rPr>
            </w:pPr>
            <w:r>
              <w:rPr>
                <w:rFonts w:hint="eastAsia"/>
                <w:color w:val="auto"/>
                <w:sz w:val="21"/>
                <w:szCs w:val="21"/>
              </w:rPr>
              <w:t>25</w:t>
            </w:r>
          </w:p>
        </w:tc>
        <w:tc>
          <w:tcPr>
            <w:tcW w:w="286" w:type="pct"/>
            <w:tcBorders>
              <w:top w:val="single" w:color="000000" w:sz="4" w:space="0"/>
              <w:bottom w:val="single" w:color="auto" w:sz="4" w:space="0"/>
            </w:tcBorders>
            <w:noWrap w:val="0"/>
            <w:vAlign w:val="center"/>
          </w:tcPr>
          <w:p w14:paraId="30E10A6C">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25000</w:t>
            </w:r>
          </w:p>
        </w:tc>
        <w:tc>
          <w:tcPr>
            <w:tcW w:w="255" w:type="pct"/>
            <w:tcBorders>
              <w:top w:val="single" w:color="000000" w:sz="4" w:space="0"/>
              <w:bottom w:val="single" w:color="auto" w:sz="4" w:space="0"/>
            </w:tcBorders>
            <w:noWrap w:val="0"/>
            <w:vAlign w:val="center"/>
          </w:tcPr>
          <w:p w14:paraId="45D3932C">
            <w:pPr>
              <w:bidi w:val="0"/>
              <w:spacing w:line="240" w:lineRule="auto"/>
              <w:jc w:val="center"/>
              <w:rPr>
                <w:rFonts w:hint="eastAsia"/>
                <w:color w:val="auto"/>
                <w:sz w:val="21"/>
                <w:szCs w:val="21"/>
                <w:lang w:val="en-US"/>
              </w:rPr>
            </w:pPr>
            <w:r>
              <w:rPr>
                <w:rFonts w:hint="eastAsia"/>
                <w:color w:val="auto"/>
                <w:sz w:val="21"/>
                <w:szCs w:val="21"/>
                <w:lang w:val="en-US" w:eastAsia="zh-CN"/>
              </w:rPr>
              <w:t>792</w:t>
            </w:r>
            <w:r>
              <w:rPr>
                <w:rFonts w:hint="eastAsia"/>
                <w:color w:val="auto"/>
                <w:sz w:val="21"/>
                <w:szCs w:val="21"/>
                <w:lang w:val="en-US"/>
              </w:rPr>
              <w:t>0</w:t>
            </w:r>
          </w:p>
        </w:tc>
        <w:tc>
          <w:tcPr>
            <w:tcW w:w="265" w:type="pct"/>
            <w:vMerge w:val="continue"/>
            <w:tcBorders>
              <w:bottom w:val="single" w:color="auto" w:sz="4" w:space="0"/>
            </w:tcBorders>
            <w:noWrap w:val="0"/>
            <w:vAlign w:val="center"/>
          </w:tcPr>
          <w:p w14:paraId="3122B5E7">
            <w:pPr>
              <w:bidi w:val="0"/>
              <w:spacing w:line="240" w:lineRule="auto"/>
              <w:jc w:val="center"/>
              <w:rPr>
                <w:rFonts w:hint="eastAsia"/>
                <w:color w:val="auto"/>
                <w:sz w:val="21"/>
                <w:szCs w:val="21"/>
                <w:lang w:val="en-US"/>
              </w:rPr>
            </w:pPr>
          </w:p>
        </w:tc>
        <w:tc>
          <w:tcPr>
            <w:tcW w:w="415" w:type="pct"/>
            <w:tcBorders>
              <w:top w:val="single" w:color="000000" w:sz="4" w:space="0"/>
              <w:bottom w:val="single" w:color="auto" w:sz="4" w:space="0"/>
            </w:tcBorders>
            <w:noWrap w:val="0"/>
            <w:vAlign w:val="center"/>
          </w:tcPr>
          <w:p w14:paraId="0F9F3BFB">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0.083</w:t>
            </w:r>
          </w:p>
        </w:tc>
        <w:tc>
          <w:tcPr>
            <w:tcW w:w="387" w:type="pct"/>
            <w:tcBorders>
              <w:top w:val="single" w:color="000000" w:sz="4" w:space="0"/>
              <w:bottom w:val="single" w:color="auto" w:sz="4" w:space="0"/>
              <w:right w:val="single" w:color="auto" w:sz="4" w:space="0"/>
            </w:tcBorders>
            <w:noWrap w:val="0"/>
            <w:vAlign w:val="center"/>
          </w:tcPr>
          <w:p w14:paraId="6ADF5126">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0.166</w:t>
            </w:r>
          </w:p>
        </w:tc>
        <w:tc>
          <w:tcPr>
            <w:tcW w:w="475" w:type="pct"/>
            <w:tcBorders>
              <w:top w:val="single" w:color="000000" w:sz="4" w:space="0"/>
              <w:bottom w:val="single" w:color="auto" w:sz="4" w:space="0"/>
              <w:right w:val="single" w:color="auto" w:sz="4" w:space="0"/>
            </w:tcBorders>
            <w:noWrap w:val="0"/>
            <w:vAlign w:val="center"/>
          </w:tcPr>
          <w:p w14:paraId="1C6EDB88">
            <w:pPr>
              <w:bidi w:val="0"/>
              <w:spacing w:line="240" w:lineRule="auto"/>
              <w:jc w:val="center"/>
              <w:rPr>
                <w:rFonts w:hint="eastAsia"/>
                <w:color w:val="auto"/>
                <w:sz w:val="21"/>
                <w:szCs w:val="21"/>
                <w:lang w:val="en-US"/>
              </w:rPr>
            </w:pPr>
            <w:r>
              <w:rPr>
                <w:rFonts w:hint="eastAsia" w:eastAsia="宋体"/>
                <w:color w:val="auto"/>
                <w:sz w:val="21"/>
                <w:szCs w:val="21"/>
                <w:lang w:val="en-US" w:eastAsia="zh-CN"/>
              </w:rPr>
              <w:t>/</w:t>
            </w:r>
          </w:p>
        </w:tc>
      </w:tr>
    </w:tbl>
    <w:p w14:paraId="571E3B62">
      <w:pPr>
        <w:bidi w:val="0"/>
        <w:jc w:val="center"/>
        <w:rPr>
          <w:b/>
          <w:bCs/>
          <w:color w:val="auto"/>
          <w:lang w:val="en-US"/>
        </w:rPr>
      </w:pPr>
      <w:r>
        <w:rPr>
          <w:b/>
          <w:bCs/>
          <w:color w:val="auto"/>
          <w:lang w:val="en-US"/>
        </w:rPr>
        <w:t>表</w:t>
      </w:r>
      <w:r>
        <w:rPr>
          <w:rFonts w:hint="eastAsia"/>
          <w:b/>
          <w:bCs/>
          <w:color w:val="auto"/>
          <w:lang w:val="en-US" w:eastAsia="zh-CN"/>
        </w:rPr>
        <w:t>6.2.1</w:t>
      </w:r>
      <w:r>
        <w:rPr>
          <w:b/>
          <w:bCs/>
          <w:color w:val="auto"/>
          <w:lang w:val="en-US"/>
        </w:rPr>
        <w:t>-</w:t>
      </w:r>
      <w:r>
        <w:rPr>
          <w:rFonts w:hint="eastAsia"/>
          <w:b/>
          <w:bCs/>
          <w:color w:val="auto"/>
          <w:lang w:val="en-US" w:eastAsia="zh-CN"/>
        </w:rPr>
        <w:t>5</w:t>
      </w:r>
      <w:r>
        <w:rPr>
          <w:b/>
          <w:bCs/>
          <w:color w:val="auto"/>
          <w:lang w:val="en-US"/>
        </w:rPr>
        <w:t xml:space="preserve"> 项目</w:t>
      </w:r>
      <w:r>
        <w:rPr>
          <w:rFonts w:hint="eastAsia"/>
          <w:b/>
          <w:bCs/>
          <w:color w:val="auto"/>
          <w:lang w:val="en-US"/>
        </w:rPr>
        <w:t>矩形面源</w:t>
      </w:r>
      <w:r>
        <w:rPr>
          <w:b/>
          <w:bCs/>
          <w:color w:val="auto"/>
          <w:lang w:val="en-US"/>
        </w:rPr>
        <w:t>参数一览表</w:t>
      </w:r>
    </w:p>
    <w:tbl>
      <w:tblPr>
        <w:tblStyle w:val="17"/>
        <w:tblW w:w="4995"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30"/>
        <w:gridCol w:w="1759"/>
        <w:gridCol w:w="1654"/>
        <w:gridCol w:w="576"/>
        <w:gridCol w:w="710"/>
        <w:gridCol w:w="794"/>
        <w:gridCol w:w="638"/>
        <w:gridCol w:w="636"/>
        <w:gridCol w:w="427"/>
        <w:gridCol w:w="817"/>
        <w:gridCol w:w="819"/>
      </w:tblGrid>
      <w:tr w14:paraId="4FF122BE">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2" w:type="pct"/>
            <w:vMerge w:val="restart"/>
            <w:tcBorders>
              <w:top w:val="single" w:color="auto" w:sz="4" w:space="0"/>
              <w:left w:val="single" w:color="auto" w:sz="4" w:space="0"/>
              <w:bottom w:val="single" w:color="auto" w:sz="4" w:space="0"/>
              <w:right w:val="single" w:color="auto" w:sz="4" w:space="0"/>
            </w:tcBorders>
            <w:noWrap w:val="0"/>
            <w:vAlign w:val="center"/>
          </w:tcPr>
          <w:p w14:paraId="45A46FAF">
            <w:pPr>
              <w:bidi w:val="0"/>
              <w:spacing w:line="240" w:lineRule="auto"/>
              <w:jc w:val="center"/>
              <w:rPr>
                <w:b/>
                <w:bCs/>
                <w:color w:val="auto"/>
                <w:sz w:val="21"/>
                <w:szCs w:val="21"/>
                <w:lang w:val="en-US"/>
              </w:rPr>
            </w:pPr>
            <w:r>
              <w:rPr>
                <w:rFonts w:hint="eastAsia"/>
                <w:b/>
                <w:bCs/>
                <w:color w:val="auto"/>
                <w:sz w:val="21"/>
                <w:szCs w:val="21"/>
                <w:lang w:val="en-US"/>
              </w:rPr>
              <w:t>名称</w:t>
            </w:r>
          </w:p>
        </w:tc>
        <w:tc>
          <w:tcPr>
            <w:tcW w:w="1783" w:type="pct"/>
            <w:gridSpan w:val="2"/>
            <w:tcBorders>
              <w:top w:val="single" w:color="auto" w:sz="4" w:space="0"/>
              <w:left w:val="single" w:color="auto" w:sz="4" w:space="0"/>
              <w:bottom w:val="single" w:color="auto" w:sz="4" w:space="0"/>
              <w:right w:val="single" w:color="auto" w:sz="4" w:space="0"/>
            </w:tcBorders>
            <w:noWrap w:val="0"/>
            <w:vAlign w:val="center"/>
          </w:tcPr>
          <w:p w14:paraId="481F9B98">
            <w:pPr>
              <w:bidi w:val="0"/>
              <w:spacing w:line="240" w:lineRule="auto"/>
              <w:jc w:val="center"/>
              <w:rPr>
                <w:b/>
                <w:bCs/>
                <w:color w:val="auto"/>
                <w:sz w:val="21"/>
                <w:szCs w:val="21"/>
                <w:lang w:val="en-US"/>
              </w:rPr>
            </w:pPr>
            <w:r>
              <w:rPr>
                <w:rFonts w:hint="eastAsia"/>
                <w:b/>
                <w:bCs/>
                <w:color w:val="auto"/>
                <w:sz w:val="21"/>
                <w:szCs w:val="21"/>
                <w:lang w:val="en-US"/>
              </w:rPr>
              <w:t>面源起点坐标/°</w:t>
            </w:r>
          </w:p>
        </w:tc>
        <w:tc>
          <w:tcPr>
            <w:tcW w:w="301" w:type="pct"/>
            <w:vMerge w:val="restart"/>
            <w:tcBorders>
              <w:top w:val="single" w:color="auto" w:sz="4" w:space="0"/>
              <w:left w:val="single" w:color="auto" w:sz="4" w:space="0"/>
              <w:bottom w:val="single" w:color="auto" w:sz="4" w:space="0"/>
              <w:right w:val="single" w:color="auto" w:sz="4" w:space="0"/>
            </w:tcBorders>
            <w:noWrap w:val="0"/>
            <w:vAlign w:val="center"/>
          </w:tcPr>
          <w:p w14:paraId="6FC7F361">
            <w:pPr>
              <w:bidi w:val="0"/>
              <w:spacing w:line="240" w:lineRule="auto"/>
              <w:jc w:val="center"/>
              <w:rPr>
                <w:b/>
                <w:bCs/>
                <w:color w:val="auto"/>
                <w:sz w:val="21"/>
                <w:szCs w:val="21"/>
                <w:lang w:val="en-US"/>
              </w:rPr>
            </w:pPr>
            <w:r>
              <w:rPr>
                <w:rFonts w:hint="eastAsia"/>
                <w:b/>
                <w:bCs/>
                <w:color w:val="auto"/>
                <w:sz w:val="21"/>
                <w:szCs w:val="21"/>
                <w:lang w:val="en-US"/>
              </w:rPr>
              <w:t>面源海拔/m</w:t>
            </w:r>
          </w:p>
        </w:tc>
        <w:tc>
          <w:tcPr>
            <w:tcW w:w="371" w:type="pct"/>
            <w:vMerge w:val="restart"/>
            <w:tcBorders>
              <w:top w:val="single" w:color="auto" w:sz="4" w:space="0"/>
              <w:left w:val="single" w:color="auto" w:sz="4" w:space="0"/>
              <w:bottom w:val="single" w:color="auto" w:sz="4" w:space="0"/>
              <w:right w:val="single" w:color="auto" w:sz="4" w:space="0"/>
            </w:tcBorders>
            <w:noWrap w:val="0"/>
            <w:vAlign w:val="center"/>
          </w:tcPr>
          <w:p w14:paraId="011207A2">
            <w:pPr>
              <w:bidi w:val="0"/>
              <w:spacing w:line="240" w:lineRule="auto"/>
              <w:jc w:val="center"/>
              <w:rPr>
                <w:b/>
                <w:bCs/>
                <w:color w:val="auto"/>
                <w:sz w:val="21"/>
                <w:szCs w:val="21"/>
                <w:lang w:val="en-US"/>
              </w:rPr>
            </w:pPr>
            <w:r>
              <w:rPr>
                <w:rFonts w:hint="eastAsia"/>
                <w:b/>
                <w:bCs/>
                <w:color w:val="auto"/>
                <w:sz w:val="21"/>
                <w:szCs w:val="21"/>
                <w:lang w:val="en-US"/>
              </w:rPr>
              <w:t>面源长度/m</w:t>
            </w:r>
          </w:p>
        </w:tc>
        <w:tc>
          <w:tcPr>
            <w:tcW w:w="415" w:type="pct"/>
            <w:vMerge w:val="restart"/>
            <w:tcBorders>
              <w:top w:val="single" w:color="auto" w:sz="4" w:space="0"/>
              <w:left w:val="single" w:color="auto" w:sz="4" w:space="0"/>
              <w:bottom w:val="single" w:color="auto" w:sz="4" w:space="0"/>
              <w:right w:val="single" w:color="auto" w:sz="4" w:space="0"/>
            </w:tcBorders>
            <w:noWrap w:val="0"/>
            <w:vAlign w:val="center"/>
          </w:tcPr>
          <w:p w14:paraId="4CE13CA7">
            <w:pPr>
              <w:bidi w:val="0"/>
              <w:spacing w:line="240" w:lineRule="auto"/>
              <w:jc w:val="center"/>
              <w:rPr>
                <w:b/>
                <w:bCs/>
                <w:color w:val="auto"/>
                <w:sz w:val="21"/>
                <w:szCs w:val="21"/>
                <w:lang w:val="en-US"/>
              </w:rPr>
            </w:pPr>
            <w:r>
              <w:rPr>
                <w:rFonts w:hint="eastAsia"/>
                <w:b/>
                <w:bCs/>
                <w:color w:val="auto"/>
                <w:sz w:val="21"/>
                <w:szCs w:val="21"/>
                <w:lang w:val="en-US"/>
              </w:rPr>
              <w:t>面源宽度/m</w:t>
            </w:r>
          </w:p>
        </w:tc>
        <w:tc>
          <w:tcPr>
            <w:tcW w:w="333" w:type="pct"/>
            <w:vMerge w:val="restart"/>
            <w:tcBorders>
              <w:top w:val="single" w:color="auto" w:sz="4" w:space="0"/>
              <w:left w:val="single" w:color="auto" w:sz="4" w:space="0"/>
              <w:bottom w:val="single" w:color="auto" w:sz="4" w:space="0"/>
              <w:right w:val="single" w:color="auto" w:sz="4" w:space="0"/>
            </w:tcBorders>
            <w:noWrap w:val="0"/>
            <w:vAlign w:val="center"/>
          </w:tcPr>
          <w:p w14:paraId="179D8627">
            <w:pPr>
              <w:bidi w:val="0"/>
              <w:spacing w:line="240" w:lineRule="auto"/>
              <w:jc w:val="center"/>
              <w:rPr>
                <w:b/>
                <w:bCs/>
                <w:color w:val="auto"/>
                <w:sz w:val="21"/>
                <w:szCs w:val="21"/>
                <w:lang w:val="en-US"/>
              </w:rPr>
            </w:pPr>
            <w:r>
              <w:rPr>
                <w:rFonts w:hint="eastAsia"/>
                <w:b/>
                <w:bCs/>
                <w:color w:val="auto"/>
                <w:sz w:val="21"/>
                <w:szCs w:val="21"/>
                <w:lang w:val="en-US"/>
              </w:rPr>
              <w:t>与正北向夹角°</w:t>
            </w:r>
          </w:p>
        </w:tc>
        <w:tc>
          <w:tcPr>
            <w:tcW w:w="332" w:type="pct"/>
            <w:vMerge w:val="restart"/>
            <w:tcBorders>
              <w:top w:val="single" w:color="auto" w:sz="4" w:space="0"/>
              <w:left w:val="single" w:color="auto" w:sz="4" w:space="0"/>
              <w:bottom w:val="single" w:color="auto" w:sz="4" w:space="0"/>
              <w:right w:val="single" w:color="auto" w:sz="4" w:space="0"/>
            </w:tcBorders>
            <w:noWrap w:val="0"/>
            <w:vAlign w:val="center"/>
          </w:tcPr>
          <w:p w14:paraId="62B36E8B">
            <w:pPr>
              <w:bidi w:val="0"/>
              <w:spacing w:line="240" w:lineRule="auto"/>
              <w:jc w:val="center"/>
              <w:rPr>
                <w:b/>
                <w:bCs/>
                <w:color w:val="auto"/>
                <w:sz w:val="21"/>
                <w:szCs w:val="21"/>
                <w:lang w:val="en-US"/>
              </w:rPr>
            </w:pPr>
            <w:r>
              <w:rPr>
                <w:rFonts w:hint="eastAsia"/>
                <w:b/>
                <w:bCs/>
                <w:color w:val="auto"/>
                <w:sz w:val="21"/>
                <w:szCs w:val="21"/>
                <w:lang w:val="en-US"/>
              </w:rPr>
              <w:t>年排放小时数/h</w:t>
            </w:r>
          </w:p>
        </w:tc>
        <w:tc>
          <w:tcPr>
            <w:tcW w:w="223" w:type="pct"/>
            <w:vMerge w:val="restart"/>
            <w:tcBorders>
              <w:top w:val="single" w:color="auto" w:sz="4" w:space="0"/>
              <w:left w:val="single" w:color="auto" w:sz="4" w:space="0"/>
              <w:bottom w:val="single" w:color="auto" w:sz="4" w:space="0"/>
              <w:right w:val="single" w:color="auto" w:sz="4" w:space="0"/>
            </w:tcBorders>
            <w:noWrap w:val="0"/>
            <w:vAlign w:val="center"/>
          </w:tcPr>
          <w:p w14:paraId="4DE78647">
            <w:pPr>
              <w:bidi w:val="0"/>
              <w:spacing w:line="240" w:lineRule="auto"/>
              <w:jc w:val="center"/>
              <w:rPr>
                <w:b/>
                <w:bCs/>
                <w:color w:val="auto"/>
                <w:sz w:val="21"/>
                <w:szCs w:val="21"/>
                <w:lang w:val="en-US"/>
              </w:rPr>
            </w:pPr>
            <w:r>
              <w:rPr>
                <w:rFonts w:hint="eastAsia"/>
                <w:b/>
                <w:bCs/>
                <w:color w:val="auto"/>
                <w:sz w:val="21"/>
                <w:szCs w:val="21"/>
                <w:lang w:val="en-US"/>
              </w:rPr>
              <w:t>排放工况</w:t>
            </w:r>
          </w:p>
        </w:tc>
        <w:tc>
          <w:tcPr>
            <w:tcW w:w="855" w:type="pct"/>
            <w:gridSpan w:val="2"/>
            <w:tcBorders>
              <w:top w:val="single" w:color="auto" w:sz="4" w:space="0"/>
              <w:left w:val="single" w:color="auto" w:sz="4" w:space="0"/>
              <w:bottom w:val="single" w:color="auto" w:sz="4" w:space="0"/>
              <w:right w:val="single" w:color="auto" w:sz="4" w:space="0"/>
            </w:tcBorders>
            <w:noWrap w:val="0"/>
            <w:vAlign w:val="center"/>
          </w:tcPr>
          <w:p w14:paraId="56B2DE26">
            <w:pPr>
              <w:bidi w:val="0"/>
              <w:spacing w:line="240" w:lineRule="auto"/>
              <w:jc w:val="center"/>
              <w:rPr>
                <w:rFonts w:hint="eastAsia"/>
                <w:b/>
                <w:bCs/>
                <w:color w:val="auto"/>
                <w:sz w:val="21"/>
                <w:szCs w:val="21"/>
                <w:lang w:val="en-US"/>
              </w:rPr>
            </w:pPr>
            <w:r>
              <w:rPr>
                <w:rFonts w:hint="eastAsia"/>
                <w:b/>
                <w:bCs/>
                <w:color w:val="auto"/>
                <w:sz w:val="21"/>
                <w:szCs w:val="21"/>
                <w:lang w:val="en-US"/>
              </w:rPr>
              <w:t>污染物排放速率kg/h</w:t>
            </w:r>
          </w:p>
        </w:tc>
      </w:tr>
      <w:tr w14:paraId="758E9B65">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2" w:type="pct"/>
            <w:vMerge w:val="continue"/>
            <w:tcBorders>
              <w:top w:val="single" w:color="auto" w:sz="4" w:space="0"/>
              <w:left w:val="single" w:color="auto" w:sz="4" w:space="0"/>
              <w:bottom w:val="single" w:color="auto" w:sz="4" w:space="0"/>
              <w:right w:val="single" w:color="auto" w:sz="4" w:space="0"/>
            </w:tcBorders>
            <w:noWrap w:val="0"/>
            <w:vAlign w:val="center"/>
          </w:tcPr>
          <w:p w14:paraId="5BCE3F08">
            <w:pPr>
              <w:bidi w:val="0"/>
              <w:spacing w:line="240" w:lineRule="auto"/>
              <w:jc w:val="center"/>
              <w:rPr>
                <w:b/>
                <w:bCs/>
                <w:color w:val="auto"/>
                <w:sz w:val="21"/>
                <w:szCs w:val="21"/>
                <w:lang w:val="en-US"/>
              </w:rPr>
            </w:pPr>
          </w:p>
        </w:tc>
        <w:tc>
          <w:tcPr>
            <w:tcW w:w="919" w:type="pct"/>
            <w:tcBorders>
              <w:top w:val="single" w:color="auto" w:sz="4" w:space="0"/>
              <w:left w:val="single" w:color="auto" w:sz="4" w:space="0"/>
              <w:bottom w:val="single" w:color="auto" w:sz="4" w:space="0"/>
              <w:right w:val="single" w:color="auto" w:sz="4" w:space="0"/>
            </w:tcBorders>
            <w:noWrap w:val="0"/>
            <w:vAlign w:val="center"/>
          </w:tcPr>
          <w:p w14:paraId="32DF2543">
            <w:pPr>
              <w:bidi w:val="0"/>
              <w:spacing w:line="240" w:lineRule="auto"/>
              <w:jc w:val="center"/>
              <w:rPr>
                <w:rFonts w:hint="eastAsia"/>
                <w:b/>
                <w:bCs/>
                <w:color w:val="auto"/>
                <w:sz w:val="21"/>
                <w:szCs w:val="21"/>
                <w:lang w:val="en-US"/>
              </w:rPr>
            </w:pPr>
            <w:r>
              <w:rPr>
                <w:rFonts w:hint="eastAsia"/>
                <w:b/>
                <w:bCs/>
                <w:color w:val="auto"/>
                <w:sz w:val="21"/>
                <w:szCs w:val="21"/>
                <w:lang w:val="en-US"/>
              </w:rPr>
              <w:t>X</w:t>
            </w:r>
          </w:p>
        </w:tc>
        <w:tc>
          <w:tcPr>
            <w:tcW w:w="864" w:type="pct"/>
            <w:tcBorders>
              <w:top w:val="single" w:color="auto" w:sz="4" w:space="0"/>
              <w:left w:val="single" w:color="auto" w:sz="4" w:space="0"/>
              <w:bottom w:val="single" w:color="auto" w:sz="4" w:space="0"/>
              <w:right w:val="single" w:color="auto" w:sz="4" w:space="0"/>
            </w:tcBorders>
            <w:noWrap w:val="0"/>
            <w:vAlign w:val="center"/>
          </w:tcPr>
          <w:p w14:paraId="252770BC">
            <w:pPr>
              <w:bidi w:val="0"/>
              <w:spacing w:line="240" w:lineRule="auto"/>
              <w:jc w:val="center"/>
              <w:rPr>
                <w:rFonts w:hint="eastAsia"/>
                <w:b/>
                <w:bCs/>
                <w:color w:val="auto"/>
                <w:sz w:val="21"/>
                <w:szCs w:val="21"/>
                <w:lang w:val="en-US"/>
              </w:rPr>
            </w:pPr>
            <w:r>
              <w:rPr>
                <w:rFonts w:hint="eastAsia"/>
                <w:b/>
                <w:bCs/>
                <w:color w:val="auto"/>
                <w:sz w:val="21"/>
                <w:szCs w:val="21"/>
                <w:lang w:val="en-US"/>
              </w:rPr>
              <w:t>Y</w:t>
            </w:r>
          </w:p>
        </w:tc>
        <w:tc>
          <w:tcPr>
            <w:tcW w:w="301" w:type="pct"/>
            <w:vMerge w:val="continue"/>
            <w:tcBorders>
              <w:top w:val="single" w:color="auto" w:sz="4" w:space="0"/>
              <w:left w:val="single" w:color="auto" w:sz="4" w:space="0"/>
              <w:bottom w:val="single" w:color="auto" w:sz="4" w:space="0"/>
              <w:right w:val="single" w:color="auto" w:sz="4" w:space="0"/>
            </w:tcBorders>
            <w:noWrap w:val="0"/>
            <w:vAlign w:val="center"/>
          </w:tcPr>
          <w:p w14:paraId="5D6DB839">
            <w:pPr>
              <w:bidi w:val="0"/>
              <w:spacing w:line="240" w:lineRule="auto"/>
              <w:jc w:val="center"/>
              <w:rPr>
                <w:b/>
                <w:bCs/>
                <w:color w:val="auto"/>
                <w:sz w:val="21"/>
                <w:szCs w:val="21"/>
              </w:rPr>
            </w:pPr>
          </w:p>
        </w:tc>
        <w:tc>
          <w:tcPr>
            <w:tcW w:w="371" w:type="pct"/>
            <w:vMerge w:val="continue"/>
            <w:tcBorders>
              <w:top w:val="single" w:color="auto" w:sz="4" w:space="0"/>
              <w:left w:val="single" w:color="auto" w:sz="4" w:space="0"/>
              <w:bottom w:val="single" w:color="auto" w:sz="4" w:space="0"/>
              <w:right w:val="single" w:color="auto" w:sz="4" w:space="0"/>
            </w:tcBorders>
            <w:noWrap w:val="0"/>
            <w:vAlign w:val="center"/>
          </w:tcPr>
          <w:p w14:paraId="193A2312">
            <w:pPr>
              <w:bidi w:val="0"/>
              <w:spacing w:line="240" w:lineRule="auto"/>
              <w:jc w:val="center"/>
              <w:rPr>
                <w:b/>
                <w:bCs/>
                <w:color w:val="auto"/>
                <w:sz w:val="21"/>
                <w:szCs w:val="21"/>
              </w:rPr>
            </w:pPr>
          </w:p>
        </w:tc>
        <w:tc>
          <w:tcPr>
            <w:tcW w:w="415" w:type="pct"/>
            <w:vMerge w:val="continue"/>
            <w:tcBorders>
              <w:top w:val="single" w:color="auto" w:sz="4" w:space="0"/>
              <w:left w:val="single" w:color="auto" w:sz="4" w:space="0"/>
              <w:bottom w:val="single" w:color="auto" w:sz="4" w:space="0"/>
              <w:right w:val="single" w:color="auto" w:sz="4" w:space="0"/>
            </w:tcBorders>
            <w:noWrap w:val="0"/>
            <w:vAlign w:val="center"/>
          </w:tcPr>
          <w:p w14:paraId="762A685A">
            <w:pPr>
              <w:bidi w:val="0"/>
              <w:spacing w:line="240" w:lineRule="auto"/>
              <w:jc w:val="center"/>
              <w:rPr>
                <w:b/>
                <w:bCs/>
                <w:color w:val="auto"/>
                <w:sz w:val="21"/>
                <w:szCs w:val="21"/>
              </w:rPr>
            </w:pPr>
          </w:p>
        </w:tc>
        <w:tc>
          <w:tcPr>
            <w:tcW w:w="333" w:type="pct"/>
            <w:vMerge w:val="continue"/>
            <w:tcBorders>
              <w:top w:val="single" w:color="auto" w:sz="4" w:space="0"/>
              <w:left w:val="single" w:color="auto" w:sz="4" w:space="0"/>
              <w:bottom w:val="single" w:color="auto" w:sz="4" w:space="0"/>
              <w:right w:val="single" w:color="auto" w:sz="4" w:space="0"/>
            </w:tcBorders>
            <w:noWrap w:val="0"/>
            <w:vAlign w:val="center"/>
          </w:tcPr>
          <w:p w14:paraId="247776E9">
            <w:pPr>
              <w:bidi w:val="0"/>
              <w:spacing w:line="240" w:lineRule="auto"/>
              <w:jc w:val="center"/>
              <w:rPr>
                <w:b/>
                <w:bCs/>
                <w:color w:val="auto"/>
                <w:sz w:val="21"/>
                <w:szCs w:val="21"/>
              </w:rPr>
            </w:pPr>
          </w:p>
        </w:tc>
        <w:tc>
          <w:tcPr>
            <w:tcW w:w="332" w:type="pct"/>
            <w:vMerge w:val="continue"/>
            <w:tcBorders>
              <w:top w:val="single" w:color="auto" w:sz="4" w:space="0"/>
              <w:left w:val="single" w:color="auto" w:sz="4" w:space="0"/>
              <w:bottom w:val="single" w:color="auto" w:sz="4" w:space="0"/>
              <w:right w:val="single" w:color="auto" w:sz="4" w:space="0"/>
            </w:tcBorders>
            <w:noWrap w:val="0"/>
            <w:vAlign w:val="center"/>
          </w:tcPr>
          <w:p w14:paraId="386F1562">
            <w:pPr>
              <w:bidi w:val="0"/>
              <w:spacing w:line="240" w:lineRule="auto"/>
              <w:jc w:val="center"/>
              <w:rPr>
                <w:b/>
                <w:bCs/>
                <w:color w:val="auto"/>
                <w:sz w:val="21"/>
                <w:szCs w:val="21"/>
              </w:rPr>
            </w:pPr>
          </w:p>
        </w:tc>
        <w:tc>
          <w:tcPr>
            <w:tcW w:w="223" w:type="pct"/>
            <w:vMerge w:val="continue"/>
            <w:tcBorders>
              <w:top w:val="single" w:color="auto" w:sz="4" w:space="0"/>
              <w:left w:val="single" w:color="auto" w:sz="4" w:space="0"/>
              <w:bottom w:val="single" w:color="auto" w:sz="4" w:space="0"/>
              <w:right w:val="single" w:color="auto" w:sz="4" w:space="0"/>
            </w:tcBorders>
            <w:noWrap w:val="0"/>
            <w:vAlign w:val="center"/>
          </w:tcPr>
          <w:p w14:paraId="46E9840A">
            <w:pPr>
              <w:bidi w:val="0"/>
              <w:spacing w:line="240" w:lineRule="auto"/>
              <w:jc w:val="center"/>
              <w:rPr>
                <w:b/>
                <w:bCs/>
                <w:color w:val="auto"/>
                <w:sz w:val="21"/>
                <w:szCs w:val="21"/>
              </w:rPr>
            </w:pPr>
          </w:p>
        </w:tc>
        <w:tc>
          <w:tcPr>
            <w:tcW w:w="427" w:type="pct"/>
            <w:tcBorders>
              <w:top w:val="single" w:color="auto" w:sz="4" w:space="0"/>
              <w:left w:val="single" w:color="auto" w:sz="4" w:space="0"/>
              <w:bottom w:val="single" w:color="auto" w:sz="4" w:space="0"/>
              <w:right w:val="single" w:color="auto" w:sz="4" w:space="0"/>
            </w:tcBorders>
            <w:noWrap w:val="0"/>
            <w:vAlign w:val="center"/>
          </w:tcPr>
          <w:p w14:paraId="0E8E4016">
            <w:pPr>
              <w:bidi w:val="0"/>
              <w:spacing w:line="240" w:lineRule="auto"/>
              <w:jc w:val="center"/>
              <w:rPr>
                <w:b/>
                <w:bCs/>
                <w:color w:val="auto"/>
                <w:sz w:val="21"/>
                <w:szCs w:val="21"/>
                <w:lang w:val="en-US"/>
              </w:rPr>
            </w:pPr>
            <w:r>
              <w:rPr>
                <w:rFonts w:hint="eastAsia"/>
                <w:b/>
                <w:bCs/>
                <w:color w:val="auto"/>
                <w:sz w:val="21"/>
                <w:szCs w:val="21"/>
                <w:lang w:val="en-US"/>
              </w:rPr>
              <w:t>TSP</w:t>
            </w:r>
          </w:p>
        </w:tc>
        <w:tc>
          <w:tcPr>
            <w:tcW w:w="427" w:type="pct"/>
            <w:tcBorders>
              <w:top w:val="single" w:color="auto" w:sz="4" w:space="0"/>
              <w:left w:val="single" w:color="auto" w:sz="4" w:space="0"/>
              <w:bottom w:val="single" w:color="auto" w:sz="4" w:space="0"/>
              <w:right w:val="single" w:color="auto" w:sz="4" w:space="0"/>
            </w:tcBorders>
            <w:noWrap w:val="0"/>
            <w:vAlign w:val="center"/>
          </w:tcPr>
          <w:p w14:paraId="6B41A163">
            <w:pPr>
              <w:bidi w:val="0"/>
              <w:spacing w:line="240" w:lineRule="auto"/>
              <w:jc w:val="center"/>
              <w:rPr>
                <w:rFonts w:hint="eastAsia"/>
                <w:b/>
                <w:bCs/>
                <w:color w:val="auto"/>
                <w:sz w:val="21"/>
                <w:szCs w:val="21"/>
                <w:lang w:val="en-US"/>
              </w:rPr>
            </w:pPr>
            <w:r>
              <w:rPr>
                <w:rFonts w:hint="eastAsia"/>
                <w:b/>
                <w:bCs/>
                <w:color w:val="auto"/>
                <w:sz w:val="21"/>
                <w:szCs w:val="21"/>
                <w:lang w:val="en-US"/>
              </w:rPr>
              <w:t>非甲烷总烃</w:t>
            </w:r>
          </w:p>
        </w:tc>
      </w:tr>
      <w:tr w14:paraId="3C01056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382" w:type="pct"/>
            <w:tcBorders>
              <w:top w:val="single" w:color="auto" w:sz="4" w:space="0"/>
              <w:left w:val="single" w:color="auto" w:sz="4" w:space="0"/>
              <w:bottom w:val="single" w:color="auto" w:sz="4" w:space="0"/>
              <w:right w:val="single" w:color="auto" w:sz="4" w:space="0"/>
            </w:tcBorders>
            <w:noWrap w:val="0"/>
            <w:vAlign w:val="center"/>
          </w:tcPr>
          <w:p w14:paraId="6D994121">
            <w:pPr>
              <w:bidi w:val="0"/>
              <w:spacing w:line="240" w:lineRule="auto"/>
              <w:jc w:val="center"/>
              <w:rPr>
                <w:color w:val="auto"/>
                <w:sz w:val="21"/>
                <w:szCs w:val="21"/>
                <w:lang w:val="en-US"/>
              </w:rPr>
            </w:pPr>
            <w:r>
              <w:rPr>
                <w:rFonts w:hint="eastAsia"/>
                <w:color w:val="auto"/>
                <w:sz w:val="21"/>
                <w:szCs w:val="21"/>
                <w:lang w:val="en-US" w:eastAsia="zh-CN"/>
              </w:rPr>
              <w:t>电池片1车间</w:t>
            </w:r>
          </w:p>
        </w:tc>
        <w:tc>
          <w:tcPr>
            <w:tcW w:w="919" w:type="pct"/>
            <w:tcBorders>
              <w:top w:val="single" w:color="auto" w:sz="4" w:space="0"/>
              <w:left w:val="single" w:color="auto" w:sz="4" w:space="0"/>
              <w:bottom w:val="single" w:color="auto" w:sz="4" w:space="0"/>
              <w:right w:val="single" w:color="auto" w:sz="4" w:space="0"/>
            </w:tcBorders>
            <w:noWrap w:val="0"/>
            <w:vAlign w:val="center"/>
          </w:tcPr>
          <w:p w14:paraId="458A4CBD">
            <w:pPr>
              <w:bidi w:val="0"/>
              <w:spacing w:line="240" w:lineRule="auto"/>
              <w:jc w:val="center"/>
              <w:rPr>
                <w:color w:val="auto"/>
                <w:sz w:val="21"/>
                <w:szCs w:val="21"/>
                <w:lang w:val="en-US"/>
              </w:rPr>
            </w:pPr>
            <w:r>
              <w:rPr>
                <w:rFonts w:hint="eastAsia"/>
                <w:color w:val="auto"/>
                <w:sz w:val="21"/>
                <w:szCs w:val="21"/>
                <w:lang w:val="en-US"/>
              </w:rPr>
              <w:t>117°30'44.0640"</w:t>
            </w:r>
          </w:p>
        </w:tc>
        <w:tc>
          <w:tcPr>
            <w:tcW w:w="864" w:type="pct"/>
            <w:tcBorders>
              <w:top w:val="single" w:color="auto" w:sz="4" w:space="0"/>
              <w:left w:val="single" w:color="auto" w:sz="4" w:space="0"/>
              <w:bottom w:val="single" w:color="auto" w:sz="4" w:space="0"/>
              <w:right w:val="single" w:color="auto" w:sz="4" w:space="0"/>
            </w:tcBorders>
            <w:noWrap w:val="0"/>
            <w:vAlign w:val="center"/>
          </w:tcPr>
          <w:p w14:paraId="7D5FD7BB">
            <w:pPr>
              <w:bidi w:val="0"/>
              <w:spacing w:line="240" w:lineRule="auto"/>
              <w:jc w:val="center"/>
              <w:rPr>
                <w:color w:val="auto"/>
                <w:sz w:val="21"/>
                <w:szCs w:val="21"/>
                <w:lang w:val="en-US"/>
              </w:rPr>
            </w:pPr>
            <w:r>
              <w:rPr>
                <w:rFonts w:hint="eastAsia"/>
                <w:color w:val="auto"/>
                <w:sz w:val="21"/>
                <w:szCs w:val="21"/>
                <w:lang w:val="en-US"/>
              </w:rPr>
              <w:t>31°45'46.8713"</w:t>
            </w:r>
          </w:p>
        </w:tc>
        <w:tc>
          <w:tcPr>
            <w:tcW w:w="301" w:type="pct"/>
            <w:tcBorders>
              <w:top w:val="single" w:color="auto" w:sz="4" w:space="0"/>
              <w:left w:val="single" w:color="auto" w:sz="4" w:space="0"/>
              <w:bottom w:val="single" w:color="auto" w:sz="4" w:space="0"/>
              <w:right w:val="single" w:color="auto" w:sz="4" w:space="0"/>
            </w:tcBorders>
            <w:noWrap w:val="0"/>
            <w:vAlign w:val="center"/>
          </w:tcPr>
          <w:p w14:paraId="6EE69D2E">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12</w:t>
            </w:r>
          </w:p>
        </w:tc>
        <w:tc>
          <w:tcPr>
            <w:tcW w:w="371" w:type="pct"/>
            <w:tcBorders>
              <w:top w:val="single" w:color="auto" w:sz="4" w:space="0"/>
              <w:left w:val="single" w:color="auto" w:sz="4" w:space="0"/>
              <w:bottom w:val="single" w:color="auto" w:sz="4" w:space="0"/>
              <w:right w:val="single" w:color="auto" w:sz="4" w:space="0"/>
            </w:tcBorders>
            <w:noWrap w:val="0"/>
            <w:vAlign w:val="center"/>
          </w:tcPr>
          <w:p w14:paraId="488080A9">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552</w:t>
            </w:r>
          </w:p>
        </w:tc>
        <w:tc>
          <w:tcPr>
            <w:tcW w:w="415" w:type="pct"/>
            <w:tcBorders>
              <w:top w:val="single" w:color="auto" w:sz="4" w:space="0"/>
              <w:left w:val="single" w:color="auto" w:sz="4" w:space="0"/>
              <w:bottom w:val="single" w:color="auto" w:sz="4" w:space="0"/>
              <w:right w:val="single" w:color="auto" w:sz="4" w:space="0"/>
            </w:tcBorders>
            <w:noWrap w:val="0"/>
            <w:vAlign w:val="center"/>
          </w:tcPr>
          <w:p w14:paraId="130CDC56">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148.35</w:t>
            </w:r>
          </w:p>
        </w:tc>
        <w:tc>
          <w:tcPr>
            <w:tcW w:w="333" w:type="pct"/>
            <w:tcBorders>
              <w:top w:val="single" w:color="auto" w:sz="4" w:space="0"/>
              <w:left w:val="single" w:color="auto" w:sz="4" w:space="0"/>
              <w:bottom w:val="single" w:color="auto" w:sz="4" w:space="0"/>
              <w:right w:val="single" w:color="auto" w:sz="4" w:space="0"/>
            </w:tcBorders>
            <w:noWrap w:val="0"/>
            <w:vAlign w:val="center"/>
          </w:tcPr>
          <w:p w14:paraId="2593AA58">
            <w:pPr>
              <w:bidi w:val="0"/>
              <w:spacing w:line="240" w:lineRule="auto"/>
              <w:jc w:val="center"/>
              <w:rPr>
                <w:rFonts w:hint="eastAsia" w:eastAsia="宋体"/>
                <w:color w:val="auto"/>
                <w:sz w:val="21"/>
                <w:szCs w:val="21"/>
                <w:lang w:val="en-US" w:eastAsia="zh-CN"/>
              </w:rPr>
            </w:pPr>
            <w:r>
              <w:rPr>
                <w:rFonts w:hint="eastAsia"/>
                <w:color w:val="auto"/>
                <w:sz w:val="21"/>
                <w:szCs w:val="21"/>
                <w:lang w:val="en-US" w:eastAsia="zh-CN"/>
              </w:rPr>
              <w:t>0</w:t>
            </w:r>
          </w:p>
        </w:tc>
        <w:tc>
          <w:tcPr>
            <w:tcW w:w="332" w:type="pct"/>
            <w:tcBorders>
              <w:top w:val="single" w:color="auto" w:sz="4" w:space="0"/>
              <w:left w:val="single" w:color="auto" w:sz="4" w:space="0"/>
              <w:bottom w:val="single" w:color="auto" w:sz="4" w:space="0"/>
              <w:right w:val="single" w:color="auto" w:sz="4" w:space="0"/>
            </w:tcBorders>
            <w:noWrap w:val="0"/>
            <w:vAlign w:val="center"/>
          </w:tcPr>
          <w:p w14:paraId="4B5C00AD">
            <w:pPr>
              <w:bidi w:val="0"/>
              <w:spacing w:line="240" w:lineRule="auto"/>
              <w:jc w:val="center"/>
              <w:rPr>
                <w:color w:val="auto"/>
                <w:sz w:val="21"/>
                <w:szCs w:val="21"/>
                <w:lang w:val="en-US"/>
              </w:rPr>
            </w:pPr>
            <w:r>
              <w:rPr>
                <w:rFonts w:hint="eastAsia"/>
                <w:color w:val="auto"/>
                <w:sz w:val="21"/>
                <w:szCs w:val="21"/>
                <w:lang w:val="en-US" w:eastAsia="zh-CN"/>
              </w:rPr>
              <w:t>792</w:t>
            </w:r>
            <w:r>
              <w:rPr>
                <w:rFonts w:hint="eastAsia"/>
                <w:color w:val="auto"/>
                <w:sz w:val="21"/>
                <w:szCs w:val="21"/>
                <w:lang w:val="en-US"/>
              </w:rPr>
              <w:t>0</w:t>
            </w:r>
          </w:p>
        </w:tc>
        <w:tc>
          <w:tcPr>
            <w:tcW w:w="223" w:type="pct"/>
            <w:tcBorders>
              <w:top w:val="single" w:color="auto" w:sz="4" w:space="0"/>
              <w:left w:val="single" w:color="auto" w:sz="4" w:space="0"/>
              <w:bottom w:val="single" w:color="auto" w:sz="4" w:space="0"/>
              <w:right w:val="single" w:color="auto" w:sz="4" w:space="0"/>
            </w:tcBorders>
            <w:noWrap w:val="0"/>
            <w:vAlign w:val="center"/>
          </w:tcPr>
          <w:p w14:paraId="2500D4F7">
            <w:pPr>
              <w:bidi w:val="0"/>
              <w:spacing w:line="240" w:lineRule="auto"/>
              <w:jc w:val="center"/>
              <w:rPr>
                <w:color w:val="auto"/>
                <w:sz w:val="21"/>
                <w:szCs w:val="21"/>
                <w:lang w:val="en-US"/>
              </w:rPr>
            </w:pPr>
            <w:r>
              <w:rPr>
                <w:rFonts w:hint="eastAsia"/>
                <w:color w:val="auto"/>
                <w:sz w:val="21"/>
                <w:szCs w:val="21"/>
                <w:lang w:val="en-US"/>
              </w:rPr>
              <w:t>正常工况</w:t>
            </w:r>
          </w:p>
        </w:tc>
        <w:tc>
          <w:tcPr>
            <w:tcW w:w="427" w:type="pct"/>
            <w:tcBorders>
              <w:top w:val="single" w:color="auto" w:sz="4" w:space="0"/>
              <w:left w:val="single" w:color="auto" w:sz="4" w:space="0"/>
              <w:bottom w:val="single" w:color="auto" w:sz="4" w:space="0"/>
              <w:right w:val="single" w:color="auto" w:sz="4" w:space="0"/>
            </w:tcBorders>
            <w:noWrap w:val="0"/>
            <w:vAlign w:val="center"/>
          </w:tcPr>
          <w:p w14:paraId="3B40EDC2">
            <w:pPr>
              <w:bidi w:val="0"/>
              <w:spacing w:line="240" w:lineRule="auto"/>
              <w:jc w:val="center"/>
              <w:rPr>
                <w:rFonts w:hint="default" w:eastAsia="宋体"/>
                <w:color w:val="auto"/>
                <w:sz w:val="21"/>
                <w:szCs w:val="21"/>
                <w:lang w:val="en-US" w:eastAsia="zh-CN"/>
              </w:rPr>
            </w:pPr>
            <w:r>
              <w:rPr>
                <w:rFonts w:hint="eastAsia"/>
                <w:color w:val="auto"/>
                <w:sz w:val="21"/>
                <w:szCs w:val="21"/>
                <w:lang w:val="en-US"/>
              </w:rPr>
              <w:t>0.</w:t>
            </w:r>
            <w:r>
              <w:rPr>
                <w:rFonts w:hint="eastAsia"/>
                <w:color w:val="auto"/>
                <w:sz w:val="21"/>
                <w:szCs w:val="21"/>
                <w:lang w:val="en-US" w:eastAsia="zh-CN"/>
              </w:rPr>
              <w:t>0055</w:t>
            </w:r>
          </w:p>
        </w:tc>
        <w:tc>
          <w:tcPr>
            <w:tcW w:w="427" w:type="pct"/>
            <w:tcBorders>
              <w:top w:val="single" w:color="auto" w:sz="4" w:space="0"/>
              <w:left w:val="single" w:color="auto" w:sz="4" w:space="0"/>
              <w:bottom w:val="single" w:color="auto" w:sz="4" w:space="0"/>
              <w:right w:val="single" w:color="auto" w:sz="4" w:space="0"/>
            </w:tcBorders>
            <w:noWrap w:val="0"/>
            <w:vAlign w:val="center"/>
          </w:tcPr>
          <w:p w14:paraId="3DB731C6">
            <w:pPr>
              <w:bidi w:val="0"/>
              <w:spacing w:line="240" w:lineRule="auto"/>
              <w:jc w:val="center"/>
              <w:rPr>
                <w:rFonts w:hint="eastAsia"/>
                <w:color w:val="auto"/>
                <w:sz w:val="21"/>
                <w:szCs w:val="21"/>
                <w:lang w:val="en-US"/>
              </w:rPr>
            </w:pPr>
            <w:r>
              <w:rPr>
                <w:rFonts w:hint="eastAsia"/>
                <w:color w:val="auto"/>
                <w:sz w:val="21"/>
                <w:szCs w:val="21"/>
                <w:lang w:val="en-US" w:eastAsia="zh-CN"/>
              </w:rPr>
              <w:t>0.206</w:t>
            </w:r>
          </w:p>
        </w:tc>
      </w:tr>
    </w:tbl>
    <w:p w14:paraId="49F71B97">
      <w:pPr>
        <w:bidi w:val="0"/>
        <w:rPr>
          <w:rFonts w:hint="default"/>
          <w:b/>
          <w:bCs/>
          <w:lang w:val="en-US" w:eastAsia="zh-CN"/>
        </w:rPr>
      </w:pPr>
      <w:r>
        <w:rPr>
          <w:rFonts w:hint="eastAsia"/>
          <w:b/>
          <w:bCs/>
          <w:lang w:val="en-US" w:eastAsia="zh-CN"/>
        </w:rPr>
        <w:t>6.2.1.3 估算模式结果</w:t>
      </w:r>
    </w:p>
    <w:p w14:paraId="401042A3">
      <w:pPr>
        <w:ind w:firstLine="480" w:firstLineChars="200"/>
        <w:rPr>
          <w:color w:val="auto"/>
        </w:rPr>
      </w:pPr>
      <w:r>
        <w:rPr>
          <w:color w:val="auto"/>
        </w:rPr>
        <w:t>估算模式计算结果如下：</w:t>
      </w:r>
    </w:p>
    <w:p w14:paraId="47AE14E5">
      <w:pPr>
        <w:jc w:val="center"/>
        <w:rPr>
          <w:b/>
          <w:bCs/>
          <w:color w:val="auto"/>
        </w:rPr>
      </w:pPr>
      <w:r>
        <w:rPr>
          <w:b/>
          <w:bCs/>
          <w:color w:val="auto"/>
        </w:rPr>
        <w:t>表</w:t>
      </w:r>
      <w:r>
        <w:rPr>
          <w:rFonts w:hint="eastAsia"/>
          <w:b/>
          <w:bCs/>
          <w:color w:val="auto"/>
          <w:lang w:val="en-US" w:eastAsia="zh-CN"/>
        </w:rPr>
        <w:t>6.2.1-6</w:t>
      </w:r>
      <w:r>
        <w:rPr>
          <w:b/>
          <w:bCs/>
          <w:color w:val="auto"/>
        </w:rPr>
        <w:t xml:space="preserve"> 估算模式计算结果一览表</w:t>
      </w:r>
    </w:p>
    <w:tbl>
      <w:tblPr>
        <w:tblStyle w:val="17"/>
        <w:tblW w:w="5000" w:type="pct"/>
        <w:tblInd w:w="0" w:type="dxa"/>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Layout w:type="fixed"/>
        <w:tblCellMar>
          <w:top w:w="28" w:type="dxa"/>
          <w:left w:w="108" w:type="dxa"/>
          <w:bottom w:w="28" w:type="dxa"/>
          <w:right w:w="108" w:type="dxa"/>
        </w:tblCellMar>
      </w:tblPr>
      <w:tblGrid>
        <w:gridCol w:w="526"/>
        <w:gridCol w:w="895"/>
        <w:gridCol w:w="1431"/>
        <w:gridCol w:w="1552"/>
        <w:gridCol w:w="2219"/>
        <w:gridCol w:w="1106"/>
        <w:gridCol w:w="746"/>
        <w:gridCol w:w="1095"/>
      </w:tblGrid>
      <w:tr w14:paraId="07FE8422">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2664" w:type="dxa"/>
            <w:gridSpan w:val="3"/>
            <w:vAlign w:val="center"/>
          </w:tcPr>
          <w:p w14:paraId="05E4326F">
            <w:pPr>
              <w:bidi w:val="0"/>
              <w:spacing w:line="240" w:lineRule="auto"/>
              <w:jc w:val="center"/>
              <w:rPr>
                <w:b/>
                <w:bCs/>
                <w:color w:val="auto"/>
                <w:sz w:val="21"/>
                <w:szCs w:val="21"/>
              </w:rPr>
            </w:pPr>
            <w:r>
              <w:rPr>
                <w:b/>
                <w:bCs/>
                <w:color w:val="auto"/>
                <w:sz w:val="21"/>
                <w:szCs w:val="21"/>
              </w:rPr>
              <w:t>污染源</w:t>
            </w:r>
          </w:p>
        </w:tc>
        <w:tc>
          <w:tcPr>
            <w:tcW w:w="1450" w:type="dxa"/>
            <w:tcBorders>
              <w:left w:val="single" w:color="auto" w:sz="4" w:space="0"/>
            </w:tcBorders>
            <w:vAlign w:val="center"/>
          </w:tcPr>
          <w:p w14:paraId="18C7E7BB">
            <w:pPr>
              <w:bidi w:val="0"/>
              <w:spacing w:line="240" w:lineRule="auto"/>
              <w:jc w:val="center"/>
              <w:rPr>
                <w:b/>
                <w:bCs/>
                <w:color w:val="auto"/>
                <w:sz w:val="21"/>
                <w:szCs w:val="21"/>
              </w:rPr>
            </w:pPr>
            <w:r>
              <w:rPr>
                <w:b/>
                <w:bCs/>
                <w:color w:val="auto"/>
                <w:sz w:val="21"/>
                <w:szCs w:val="21"/>
              </w:rPr>
              <w:t>污染物名称</w:t>
            </w:r>
          </w:p>
        </w:tc>
        <w:tc>
          <w:tcPr>
            <w:tcW w:w="2073" w:type="dxa"/>
            <w:vAlign w:val="center"/>
          </w:tcPr>
          <w:p w14:paraId="77F1ED8F">
            <w:pPr>
              <w:bidi w:val="0"/>
              <w:spacing w:line="240" w:lineRule="auto"/>
              <w:jc w:val="center"/>
              <w:rPr>
                <w:b/>
                <w:bCs/>
                <w:color w:val="auto"/>
                <w:sz w:val="21"/>
                <w:szCs w:val="21"/>
              </w:rPr>
            </w:pPr>
            <w:r>
              <w:rPr>
                <w:rFonts w:hint="eastAsia"/>
                <w:b/>
                <w:bCs/>
                <w:color w:val="auto"/>
                <w:sz w:val="21"/>
                <w:szCs w:val="21"/>
                <w:lang w:val="en-US" w:eastAsia="zh-CN"/>
              </w:rPr>
              <w:t>预测质量浓度</w:t>
            </w:r>
            <w:r>
              <w:rPr>
                <w:b/>
                <w:bCs/>
                <w:color w:val="auto"/>
                <w:sz w:val="21"/>
                <w:szCs w:val="21"/>
              </w:rPr>
              <w:t>（ug/m</w:t>
            </w:r>
            <w:r>
              <w:rPr>
                <w:b/>
                <w:bCs/>
                <w:color w:val="auto"/>
                <w:sz w:val="21"/>
                <w:szCs w:val="21"/>
                <w:vertAlign w:val="superscript"/>
              </w:rPr>
              <w:t>3</w:t>
            </w:r>
            <w:r>
              <w:rPr>
                <w:b/>
                <w:bCs/>
                <w:color w:val="auto"/>
                <w:sz w:val="21"/>
                <w:szCs w:val="21"/>
              </w:rPr>
              <w:t>）</w:t>
            </w:r>
          </w:p>
        </w:tc>
        <w:tc>
          <w:tcPr>
            <w:tcW w:w="1033" w:type="dxa"/>
            <w:vAlign w:val="center"/>
          </w:tcPr>
          <w:p w14:paraId="4AAB8297">
            <w:pPr>
              <w:bidi w:val="0"/>
              <w:spacing w:line="240" w:lineRule="auto"/>
              <w:jc w:val="center"/>
              <w:rPr>
                <w:b/>
                <w:bCs/>
                <w:color w:val="auto"/>
                <w:sz w:val="21"/>
                <w:szCs w:val="21"/>
              </w:rPr>
            </w:pPr>
            <w:r>
              <w:rPr>
                <w:b/>
                <w:bCs/>
                <w:color w:val="auto"/>
                <w:sz w:val="21"/>
                <w:szCs w:val="21"/>
              </w:rPr>
              <w:t>占标率Pmax（%）</w:t>
            </w:r>
          </w:p>
        </w:tc>
        <w:tc>
          <w:tcPr>
            <w:tcW w:w="697" w:type="dxa"/>
            <w:vAlign w:val="center"/>
          </w:tcPr>
          <w:p w14:paraId="1473FCB6">
            <w:pPr>
              <w:bidi w:val="0"/>
              <w:spacing w:line="240" w:lineRule="auto"/>
              <w:jc w:val="center"/>
              <w:rPr>
                <w:b/>
                <w:bCs/>
                <w:color w:val="auto"/>
                <w:sz w:val="21"/>
                <w:szCs w:val="21"/>
              </w:rPr>
            </w:pPr>
            <w:r>
              <w:rPr>
                <w:b/>
                <w:bCs/>
                <w:color w:val="auto"/>
                <w:sz w:val="21"/>
                <w:szCs w:val="21"/>
              </w:rPr>
              <w:t>D10%</w:t>
            </w:r>
          </w:p>
          <w:p w14:paraId="64CDD55E">
            <w:pPr>
              <w:bidi w:val="0"/>
              <w:spacing w:line="240" w:lineRule="auto"/>
              <w:jc w:val="center"/>
              <w:rPr>
                <w:b/>
                <w:bCs/>
                <w:color w:val="auto"/>
                <w:sz w:val="21"/>
                <w:szCs w:val="21"/>
              </w:rPr>
            </w:pPr>
            <w:r>
              <w:rPr>
                <w:b/>
                <w:bCs/>
                <w:color w:val="auto"/>
                <w:sz w:val="21"/>
                <w:szCs w:val="21"/>
              </w:rPr>
              <w:t>（m）</w:t>
            </w:r>
          </w:p>
        </w:tc>
        <w:tc>
          <w:tcPr>
            <w:tcW w:w="1022" w:type="dxa"/>
            <w:vAlign w:val="center"/>
          </w:tcPr>
          <w:p w14:paraId="76B57284">
            <w:pPr>
              <w:bidi w:val="0"/>
              <w:spacing w:line="240" w:lineRule="auto"/>
              <w:jc w:val="center"/>
              <w:rPr>
                <w:b/>
                <w:bCs/>
                <w:color w:val="auto"/>
                <w:sz w:val="21"/>
                <w:szCs w:val="21"/>
              </w:rPr>
            </w:pPr>
            <w:r>
              <w:rPr>
                <w:b/>
                <w:bCs/>
                <w:color w:val="auto"/>
                <w:sz w:val="21"/>
                <w:szCs w:val="21"/>
              </w:rPr>
              <w:t>最大浓度出现距离(m)</w:t>
            </w:r>
          </w:p>
        </w:tc>
      </w:tr>
      <w:tr w14:paraId="6E0F504C">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restart"/>
            <w:tcBorders>
              <w:right w:val="single" w:color="auto" w:sz="4" w:space="0"/>
            </w:tcBorders>
            <w:vAlign w:val="center"/>
          </w:tcPr>
          <w:p w14:paraId="6ADC4AED">
            <w:pPr>
              <w:bidi w:val="0"/>
              <w:spacing w:line="240" w:lineRule="auto"/>
              <w:jc w:val="center"/>
              <w:rPr>
                <w:color w:val="auto"/>
                <w:sz w:val="21"/>
                <w:szCs w:val="21"/>
              </w:rPr>
            </w:pPr>
            <w:r>
              <w:rPr>
                <w:color w:val="auto"/>
                <w:sz w:val="21"/>
                <w:szCs w:val="21"/>
              </w:rPr>
              <w:t>有组织</w:t>
            </w:r>
          </w:p>
        </w:tc>
        <w:tc>
          <w:tcPr>
            <w:tcW w:w="836" w:type="dxa"/>
            <w:tcBorders>
              <w:left w:val="single" w:color="auto" w:sz="4" w:space="0"/>
              <w:right w:val="single" w:color="auto" w:sz="4" w:space="0"/>
            </w:tcBorders>
            <w:vAlign w:val="center"/>
          </w:tcPr>
          <w:p w14:paraId="5ECFB076">
            <w:pPr>
              <w:bidi w:val="0"/>
              <w:spacing w:line="240" w:lineRule="auto"/>
              <w:jc w:val="center"/>
              <w:rPr>
                <w:rFonts w:hint="eastAsia" w:eastAsia="宋体"/>
                <w:color w:val="auto"/>
                <w:sz w:val="21"/>
                <w:szCs w:val="21"/>
                <w:lang w:eastAsia="zh-CN"/>
              </w:rPr>
            </w:pPr>
            <w:r>
              <w:rPr>
                <w:color w:val="auto"/>
                <w:sz w:val="21"/>
                <w:szCs w:val="21"/>
              </w:rPr>
              <w:t>DA00</w:t>
            </w:r>
            <w:r>
              <w:rPr>
                <w:rFonts w:hint="eastAsia"/>
                <w:color w:val="auto"/>
                <w:sz w:val="21"/>
                <w:szCs w:val="21"/>
                <w:lang w:val="en-US" w:eastAsia="zh-CN"/>
              </w:rPr>
              <w:t>4</w:t>
            </w:r>
          </w:p>
        </w:tc>
        <w:tc>
          <w:tcPr>
            <w:tcW w:w="1337" w:type="dxa"/>
            <w:vAlign w:val="center"/>
          </w:tcPr>
          <w:p w14:paraId="2F1C97D0">
            <w:pPr>
              <w:bidi w:val="0"/>
              <w:spacing w:line="240" w:lineRule="auto"/>
              <w:jc w:val="center"/>
              <w:rPr>
                <w:color w:val="auto"/>
                <w:sz w:val="21"/>
                <w:szCs w:val="21"/>
              </w:rPr>
            </w:pPr>
            <w:r>
              <w:rPr>
                <w:rFonts w:hint="eastAsia"/>
                <w:color w:val="auto"/>
                <w:sz w:val="21"/>
                <w:szCs w:val="21"/>
                <w:lang w:val="en-US" w:eastAsia="zh-CN"/>
              </w:rPr>
              <w:t>银包铜印刷、固化</w:t>
            </w:r>
            <w:r>
              <w:rPr>
                <w:rFonts w:hint="eastAsia"/>
                <w:color w:val="auto"/>
                <w:sz w:val="21"/>
                <w:szCs w:val="21"/>
              </w:rPr>
              <w:t>废气排气筒</w:t>
            </w:r>
          </w:p>
        </w:tc>
        <w:tc>
          <w:tcPr>
            <w:tcW w:w="1450" w:type="dxa"/>
            <w:tcBorders>
              <w:left w:val="single" w:color="auto" w:sz="4" w:space="0"/>
            </w:tcBorders>
            <w:shd w:val="clear" w:color="auto" w:fill="auto"/>
            <w:vAlign w:val="center"/>
          </w:tcPr>
          <w:p w14:paraId="199EF154">
            <w:pPr>
              <w:bidi w:val="0"/>
              <w:spacing w:line="240" w:lineRule="auto"/>
              <w:jc w:val="center"/>
              <w:rPr>
                <w:rFonts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67D37C8E">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14.314</w:t>
            </w:r>
          </w:p>
        </w:tc>
        <w:tc>
          <w:tcPr>
            <w:tcW w:w="1033" w:type="dxa"/>
            <w:tcBorders>
              <w:bottom w:val="single" w:color="auto" w:sz="4" w:space="0"/>
            </w:tcBorders>
            <w:shd w:val="clear" w:color="auto" w:fill="auto"/>
            <w:vAlign w:val="center"/>
          </w:tcPr>
          <w:p w14:paraId="0CC729D7">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0.72</w:t>
            </w:r>
          </w:p>
        </w:tc>
        <w:tc>
          <w:tcPr>
            <w:tcW w:w="697" w:type="dxa"/>
            <w:vAlign w:val="center"/>
          </w:tcPr>
          <w:p w14:paraId="7EB802C7">
            <w:pPr>
              <w:bidi w:val="0"/>
              <w:spacing w:line="240" w:lineRule="auto"/>
              <w:jc w:val="center"/>
              <w:rPr>
                <w:rFonts w:hint="default"/>
                <w:color w:val="auto"/>
                <w:sz w:val="21"/>
                <w:szCs w:val="21"/>
                <w:lang w:val="en-US" w:eastAsia="zh-CN"/>
              </w:rPr>
            </w:pPr>
            <w:r>
              <w:rPr>
                <w:rFonts w:hint="eastAsia"/>
                <w:color w:val="auto"/>
                <w:sz w:val="21"/>
                <w:szCs w:val="21"/>
                <w:lang w:val="en-US" w:eastAsia="zh-CN"/>
              </w:rPr>
              <w:t>/</w:t>
            </w:r>
          </w:p>
        </w:tc>
        <w:tc>
          <w:tcPr>
            <w:tcW w:w="1022" w:type="dxa"/>
            <w:vAlign w:val="center"/>
          </w:tcPr>
          <w:p w14:paraId="5B8504F8">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2D47C1A8">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3ADFB6BD">
            <w:pPr>
              <w:bidi w:val="0"/>
              <w:spacing w:line="240" w:lineRule="auto"/>
              <w:jc w:val="center"/>
              <w:rPr>
                <w:color w:val="auto"/>
                <w:sz w:val="21"/>
                <w:szCs w:val="21"/>
              </w:rPr>
            </w:pPr>
          </w:p>
        </w:tc>
        <w:tc>
          <w:tcPr>
            <w:tcW w:w="836" w:type="dxa"/>
            <w:vMerge w:val="restart"/>
            <w:tcBorders>
              <w:left w:val="single" w:color="auto" w:sz="4" w:space="0"/>
              <w:right w:val="single" w:color="auto" w:sz="4" w:space="0"/>
            </w:tcBorders>
            <w:vAlign w:val="center"/>
          </w:tcPr>
          <w:p w14:paraId="3A75238B">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DA008</w:t>
            </w:r>
          </w:p>
        </w:tc>
        <w:tc>
          <w:tcPr>
            <w:tcW w:w="1337" w:type="dxa"/>
            <w:vMerge w:val="restart"/>
            <w:vAlign w:val="center"/>
          </w:tcPr>
          <w:p w14:paraId="7E2C2372">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四分片钝化</w:t>
            </w:r>
            <w:r>
              <w:rPr>
                <w:rFonts w:hint="eastAsia"/>
                <w:color w:val="auto"/>
                <w:sz w:val="21"/>
                <w:szCs w:val="21"/>
              </w:rPr>
              <w:t>废气排气筒</w:t>
            </w:r>
          </w:p>
        </w:tc>
        <w:tc>
          <w:tcPr>
            <w:tcW w:w="1450" w:type="dxa"/>
            <w:tcBorders>
              <w:left w:val="single" w:color="auto" w:sz="4" w:space="0"/>
            </w:tcBorders>
            <w:shd w:val="clear" w:color="auto" w:fill="auto"/>
            <w:vAlign w:val="center"/>
          </w:tcPr>
          <w:p w14:paraId="66F06C08">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PM</w:t>
            </w:r>
            <w:r>
              <w:rPr>
                <w:rFonts w:hint="eastAsia"/>
                <w:color w:val="auto"/>
                <w:sz w:val="21"/>
                <w:szCs w:val="21"/>
                <w:vertAlign w:val="subscript"/>
              </w:rPr>
              <w:t>10</w:t>
            </w:r>
          </w:p>
        </w:tc>
        <w:tc>
          <w:tcPr>
            <w:tcW w:w="2073" w:type="dxa"/>
            <w:shd w:val="clear" w:color="auto" w:fill="auto"/>
            <w:vAlign w:val="center"/>
          </w:tcPr>
          <w:p w14:paraId="010BEC44">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9.9838</w:t>
            </w:r>
          </w:p>
        </w:tc>
        <w:tc>
          <w:tcPr>
            <w:tcW w:w="1033" w:type="dxa"/>
            <w:tcBorders>
              <w:top w:val="single" w:color="auto" w:sz="4" w:space="0"/>
              <w:bottom w:val="single" w:color="auto" w:sz="4" w:space="0"/>
            </w:tcBorders>
            <w:shd w:val="clear" w:color="auto" w:fill="auto"/>
            <w:vAlign w:val="center"/>
          </w:tcPr>
          <w:p w14:paraId="79A3F453">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2.77</w:t>
            </w:r>
          </w:p>
        </w:tc>
        <w:tc>
          <w:tcPr>
            <w:tcW w:w="697" w:type="dxa"/>
            <w:vMerge w:val="restart"/>
            <w:shd w:val="clear" w:color="auto" w:fill="auto"/>
            <w:vAlign w:val="center"/>
          </w:tcPr>
          <w:p w14:paraId="46525BD5">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lang w:val="en-US" w:eastAsia="zh-CN"/>
              </w:rPr>
              <w:t>/</w:t>
            </w:r>
          </w:p>
        </w:tc>
        <w:tc>
          <w:tcPr>
            <w:tcW w:w="1022" w:type="dxa"/>
            <w:vMerge w:val="restart"/>
            <w:vAlign w:val="center"/>
          </w:tcPr>
          <w:p w14:paraId="792122D0">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6F9B8D8E">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74AD712E">
            <w:pPr>
              <w:bidi w:val="0"/>
              <w:spacing w:line="240" w:lineRule="auto"/>
              <w:jc w:val="center"/>
              <w:rPr>
                <w:color w:val="auto"/>
                <w:sz w:val="21"/>
                <w:szCs w:val="21"/>
              </w:rPr>
            </w:pPr>
          </w:p>
        </w:tc>
        <w:tc>
          <w:tcPr>
            <w:tcW w:w="836" w:type="dxa"/>
            <w:vMerge w:val="continue"/>
            <w:tcBorders>
              <w:left w:val="single" w:color="auto" w:sz="4" w:space="0"/>
              <w:right w:val="single" w:color="auto" w:sz="4" w:space="0"/>
            </w:tcBorders>
            <w:vAlign w:val="center"/>
          </w:tcPr>
          <w:p w14:paraId="680F6BD0">
            <w:pPr>
              <w:bidi w:val="0"/>
              <w:spacing w:line="240" w:lineRule="auto"/>
              <w:jc w:val="center"/>
              <w:rPr>
                <w:color w:val="auto"/>
                <w:sz w:val="21"/>
                <w:szCs w:val="21"/>
              </w:rPr>
            </w:pPr>
          </w:p>
        </w:tc>
        <w:tc>
          <w:tcPr>
            <w:tcW w:w="1337" w:type="dxa"/>
            <w:vMerge w:val="continue"/>
            <w:vAlign w:val="center"/>
          </w:tcPr>
          <w:p w14:paraId="07ACCAAE">
            <w:pPr>
              <w:bidi w:val="0"/>
              <w:spacing w:line="240" w:lineRule="auto"/>
              <w:jc w:val="center"/>
              <w:rPr>
                <w:color w:val="auto"/>
                <w:sz w:val="21"/>
                <w:szCs w:val="21"/>
              </w:rPr>
            </w:pPr>
          </w:p>
        </w:tc>
        <w:tc>
          <w:tcPr>
            <w:tcW w:w="1450" w:type="dxa"/>
            <w:tcBorders>
              <w:left w:val="single" w:color="auto" w:sz="4" w:space="0"/>
            </w:tcBorders>
            <w:shd w:val="clear" w:color="auto" w:fill="auto"/>
            <w:vAlign w:val="center"/>
          </w:tcPr>
          <w:p w14:paraId="2ECCC9EA">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PM</w:t>
            </w:r>
            <w:r>
              <w:rPr>
                <w:rFonts w:hint="eastAsia"/>
                <w:color w:val="auto"/>
                <w:sz w:val="21"/>
                <w:szCs w:val="21"/>
                <w:vertAlign w:val="subscript"/>
              </w:rPr>
              <w:t>2.5</w:t>
            </w:r>
          </w:p>
        </w:tc>
        <w:tc>
          <w:tcPr>
            <w:tcW w:w="2073" w:type="dxa"/>
            <w:shd w:val="clear" w:color="auto" w:fill="auto"/>
            <w:vAlign w:val="center"/>
          </w:tcPr>
          <w:p w14:paraId="113139B0">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4.9919</w:t>
            </w:r>
          </w:p>
        </w:tc>
        <w:tc>
          <w:tcPr>
            <w:tcW w:w="1033" w:type="dxa"/>
            <w:tcBorders>
              <w:top w:val="single" w:color="auto" w:sz="4" w:space="0"/>
              <w:bottom w:val="single" w:color="auto" w:sz="4" w:space="0"/>
            </w:tcBorders>
            <w:shd w:val="clear" w:color="auto" w:fill="auto"/>
            <w:vAlign w:val="center"/>
          </w:tcPr>
          <w:p w14:paraId="2B7DB814">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2.77</w:t>
            </w:r>
          </w:p>
        </w:tc>
        <w:tc>
          <w:tcPr>
            <w:tcW w:w="697" w:type="dxa"/>
            <w:vMerge w:val="continue"/>
            <w:shd w:val="clear" w:color="auto" w:fill="auto"/>
            <w:vAlign w:val="center"/>
          </w:tcPr>
          <w:p w14:paraId="62C7D756">
            <w:pPr>
              <w:bidi w:val="0"/>
              <w:spacing w:line="240" w:lineRule="auto"/>
              <w:jc w:val="center"/>
              <w:rPr>
                <w:rFonts w:hint="eastAsia" w:ascii="Times New Roman" w:hAnsi="Times New Roman" w:eastAsia="宋体" w:cs="宋体"/>
                <w:color w:val="auto"/>
                <w:sz w:val="21"/>
                <w:szCs w:val="21"/>
                <w:lang w:val="en-US" w:eastAsia="zh-CN" w:bidi="ar-SA"/>
              </w:rPr>
            </w:pPr>
          </w:p>
        </w:tc>
        <w:tc>
          <w:tcPr>
            <w:tcW w:w="1022" w:type="dxa"/>
            <w:vMerge w:val="continue"/>
            <w:vAlign w:val="center"/>
          </w:tcPr>
          <w:p w14:paraId="577B7178">
            <w:pPr>
              <w:bidi w:val="0"/>
              <w:spacing w:line="240" w:lineRule="auto"/>
              <w:jc w:val="center"/>
              <w:rPr>
                <w:color w:val="auto"/>
                <w:sz w:val="21"/>
                <w:szCs w:val="21"/>
              </w:rPr>
            </w:pPr>
          </w:p>
        </w:tc>
      </w:tr>
      <w:tr w14:paraId="44FA262A">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0AACD598">
            <w:pPr>
              <w:bidi w:val="0"/>
              <w:spacing w:line="240" w:lineRule="auto"/>
              <w:jc w:val="center"/>
              <w:rPr>
                <w:color w:val="auto"/>
                <w:sz w:val="21"/>
                <w:szCs w:val="21"/>
              </w:rPr>
            </w:pPr>
          </w:p>
        </w:tc>
        <w:tc>
          <w:tcPr>
            <w:tcW w:w="836" w:type="dxa"/>
            <w:tcBorders>
              <w:left w:val="single" w:color="auto" w:sz="4" w:space="0"/>
              <w:right w:val="single" w:color="auto" w:sz="4" w:space="0"/>
            </w:tcBorders>
            <w:vAlign w:val="center"/>
          </w:tcPr>
          <w:p w14:paraId="23079E60">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DA023</w:t>
            </w:r>
          </w:p>
        </w:tc>
        <w:tc>
          <w:tcPr>
            <w:tcW w:w="1337" w:type="dxa"/>
            <w:vAlign w:val="center"/>
          </w:tcPr>
          <w:p w14:paraId="0C64A2BF">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丝网印刷、烧结</w:t>
            </w:r>
            <w:r>
              <w:rPr>
                <w:rFonts w:hint="eastAsia"/>
                <w:color w:val="auto"/>
                <w:sz w:val="21"/>
                <w:szCs w:val="21"/>
              </w:rPr>
              <w:t>废气排气筒</w:t>
            </w:r>
          </w:p>
        </w:tc>
        <w:tc>
          <w:tcPr>
            <w:tcW w:w="1450" w:type="dxa"/>
            <w:tcBorders>
              <w:left w:val="single" w:color="auto" w:sz="4" w:space="0"/>
            </w:tcBorders>
            <w:shd w:val="clear" w:color="auto" w:fill="auto"/>
            <w:vAlign w:val="center"/>
          </w:tcPr>
          <w:p w14:paraId="525A3D67">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10235EC7">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16.059</w:t>
            </w:r>
          </w:p>
        </w:tc>
        <w:tc>
          <w:tcPr>
            <w:tcW w:w="1033" w:type="dxa"/>
            <w:tcBorders>
              <w:top w:val="single" w:color="auto" w:sz="4" w:space="0"/>
              <w:bottom w:val="single" w:color="auto" w:sz="4" w:space="0"/>
            </w:tcBorders>
            <w:shd w:val="clear" w:color="auto" w:fill="auto"/>
            <w:vAlign w:val="center"/>
          </w:tcPr>
          <w:p w14:paraId="32704D2A">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0.80</w:t>
            </w:r>
          </w:p>
        </w:tc>
        <w:tc>
          <w:tcPr>
            <w:tcW w:w="697" w:type="dxa"/>
            <w:shd w:val="clear" w:color="auto" w:fill="auto"/>
            <w:vAlign w:val="center"/>
          </w:tcPr>
          <w:p w14:paraId="7B42E8D0">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lang w:val="en-US" w:eastAsia="zh-CN"/>
              </w:rPr>
              <w:t>/</w:t>
            </w:r>
          </w:p>
        </w:tc>
        <w:tc>
          <w:tcPr>
            <w:tcW w:w="1022" w:type="dxa"/>
            <w:vAlign w:val="center"/>
          </w:tcPr>
          <w:p w14:paraId="2FF7E4C1">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189</w:t>
            </w:r>
          </w:p>
        </w:tc>
      </w:tr>
      <w:tr w14:paraId="289F9B2D">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restart"/>
            <w:tcBorders>
              <w:right w:val="single" w:color="auto" w:sz="4" w:space="0"/>
            </w:tcBorders>
            <w:vAlign w:val="center"/>
          </w:tcPr>
          <w:p w14:paraId="1FC7A6B7">
            <w:pPr>
              <w:bidi w:val="0"/>
              <w:spacing w:line="240" w:lineRule="auto"/>
              <w:jc w:val="center"/>
              <w:rPr>
                <w:color w:val="auto"/>
                <w:sz w:val="21"/>
                <w:szCs w:val="21"/>
              </w:rPr>
            </w:pPr>
            <w:r>
              <w:rPr>
                <w:color w:val="auto"/>
                <w:sz w:val="21"/>
                <w:szCs w:val="21"/>
              </w:rPr>
              <w:t>无组织</w:t>
            </w:r>
          </w:p>
        </w:tc>
        <w:tc>
          <w:tcPr>
            <w:tcW w:w="836" w:type="dxa"/>
            <w:vMerge w:val="restart"/>
            <w:tcBorders>
              <w:left w:val="single" w:color="auto" w:sz="4" w:space="0"/>
            </w:tcBorders>
            <w:vAlign w:val="center"/>
          </w:tcPr>
          <w:p w14:paraId="5FEA04E6">
            <w:pPr>
              <w:bidi w:val="0"/>
              <w:spacing w:line="240" w:lineRule="auto"/>
              <w:jc w:val="center"/>
              <w:rPr>
                <w:rFonts w:hint="default" w:eastAsia="宋体"/>
                <w:color w:val="auto"/>
                <w:sz w:val="21"/>
                <w:szCs w:val="21"/>
                <w:lang w:val="en-US" w:eastAsia="zh-CN"/>
              </w:rPr>
            </w:pPr>
            <w:r>
              <w:rPr>
                <w:rFonts w:hint="eastAsia"/>
                <w:color w:val="auto"/>
                <w:sz w:val="21"/>
                <w:szCs w:val="21"/>
                <w:lang w:val="en-US" w:eastAsia="zh-CN"/>
              </w:rPr>
              <w:t>电池片车间1</w:t>
            </w:r>
          </w:p>
        </w:tc>
        <w:tc>
          <w:tcPr>
            <w:tcW w:w="1337" w:type="dxa"/>
            <w:vMerge w:val="restart"/>
            <w:vAlign w:val="center"/>
          </w:tcPr>
          <w:p w14:paraId="06053488">
            <w:pPr>
              <w:bidi w:val="0"/>
              <w:spacing w:line="240" w:lineRule="auto"/>
              <w:jc w:val="center"/>
              <w:rPr>
                <w:color w:val="auto"/>
                <w:sz w:val="21"/>
                <w:szCs w:val="21"/>
              </w:rPr>
            </w:pPr>
            <w:r>
              <w:rPr>
                <w:rFonts w:hint="eastAsia"/>
                <w:color w:val="auto"/>
                <w:sz w:val="21"/>
                <w:szCs w:val="21"/>
                <w:lang w:val="en-US" w:eastAsia="zh-CN"/>
              </w:rPr>
              <w:t>电池片</w:t>
            </w:r>
            <w:r>
              <w:rPr>
                <w:rFonts w:hint="eastAsia"/>
                <w:color w:val="auto"/>
                <w:sz w:val="21"/>
                <w:szCs w:val="21"/>
              </w:rPr>
              <w:t>生产线</w:t>
            </w:r>
          </w:p>
        </w:tc>
        <w:tc>
          <w:tcPr>
            <w:tcW w:w="1450" w:type="dxa"/>
            <w:tcBorders>
              <w:top w:val="single" w:color="auto" w:sz="4" w:space="0"/>
              <w:bottom w:val="single" w:color="auto" w:sz="4" w:space="0"/>
            </w:tcBorders>
            <w:shd w:val="clear" w:color="auto" w:fill="auto"/>
            <w:vAlign w:val="center"/>
          </w:tcPr>
          <w:p w14:paraId="7C87D653">
            <w:pPr>
              <w:bidi w:val="0"/>
              <w:spacing w:line="240" w:lineRule="auto"/>
              <w:jc w:val="center"/>
              <w:rPr>
                <w:rFonts w:hint="eastAsia" w:ascii="Times New Roman" w:hAnsi="Times New Roman" w:eastAsia="宋体" w:cs="宋体"/>
                <w:color w:val="auto"/>
                <w:sz w:val="21"/>
                <w:szCs w:val="21"/>
                <w:lang w:val="en-US" w:eastAsia="zh-CN" w:bidi="ar-SA"/>
              </w:rPr>
            </w:pPr>
            <w:r>
              <w:rPr>
                <w:rFonts w:hint="eastAsia"/>
                <w:color w:val="auto"/>
                <w:sz w:val="21"/>
                <w:szCs w:val="21"/>
              </w:rPr>
              <w:t>非甲烷总烃</w:t>
            </w:r>
          </w:p>
        </w:tc>
        <w:tc>
          <w:tcPr>
            <w:tcW w:w="2073" w:type="dxa"/>
            <w:shd w:val="clear" w:color="auto" w:fill="auto"/>
            <w:vAlign w:val="center"/>
          </w:tcPr>
          <w:p w14:paraId="522D106B">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22.32965</w:t>
            </w:r>
          </w:p>
        </w:tc>
        <w:tc>
          <w:tcPr>
            <w:tcW w:w="1033" w:type="dxa"/>
            <w:tcBorders>
              <w:top w:val="single" w:color="auto" w:sz="4" w:space="0"/>
            </w:tcBorders>
            <w:shd w:val="clear" w:color="auto" w:fill="auto"/>
            <w:vAlign w:val="center"/>
          </w:tcPr>
          <w:p w14:paraId="42B6E279">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1.12</w:t>
            </w:r>
          </w:p>
        </w:tc>
        <w:tc>
          <w:tcPr>
            <w:tcW w:w="697" w:type="dxa"/>
            <w:vMerge w:val="restart"/>
            <w:tcBorders>
              <w:top w:val="single" w:color="auto" w:sz="4" w:space="0"/>
            </w:tcBorders>
            <w:vAlign w:val="center"/>
          </w:tcPr>
          <w:p w14:paraId="777EB142">
            <w:pPr>
              <w:bidi w:val="0"/>
              <w:spacing w:line="240" w:lineRule="auto"/>
              <w:jc w:val="center"/>
              <w:rPr>
                <w:rFonts w:hint="default"/>
                <w:color w:val="auto"/>
                <w:sz w:val="21"/>
                <w:szCs w:val="21"/>
                <w:lang w:val="en-US" w:eastAsia="zh-CN"/>
              </w:rPr>
            </w:pPr>
            <w:r>
              <w:rPr>
                <w:rFonts w:hint="eastAsia"/>
                <w:color w:val="auto"/>
                <w:sz w:val="21"/>
                <w:szCs w:val="21"/>
                <w:lang w:val="en-US" w:eastAsia="zh-CN"/>
              </w:rPr>
              <w:t>/</w:t>
            </w:r>
          </w:p>
        </w:tc>
        <w:tc>
          <w:tcPr>
            <w:tcW w:w="1022" w:type="dxa"/>
            <w:vMerge w:val="restart"/>
            <w:tcBorders>
              <w:top w:val="single" w:color="auto" w:sz="4" w:space="0"/>
            </w:tcBorders>
            <w:vAlign w:val="center"/>
          </w:tcPr>
          <w:p w14:paraId="6111F1E8">
            <w:pPr>
              <w:bidi w:val="0"/>
              <w:spacing w:line="240" w:lineRule="auto"/>
              <w:jc w:val="center"/>
              <w:rPr>
                <w:rFonts w:hint="default"/>
                <w:color w:val="auto"/>
                <w:sz w:val="21"/>
                <w:szCs w:val="21"/>
                <w:lang w:val="en-US" w:eastAsia="zh-CN"/>
              </w:rPr>
            </w:pPr>
            <w:r>
              <w:rPr>
                <w:rFonts w:hint="eastAsia"/>
                <w:color w:val="auto"/>
                <w:sz w:val="21"/>
                <w:szCs w:val="21"/>
                <w:lang w:val="en-US" w:eastAsia="zh-CN"/>
              </w:rPr>
              <w:t>259</w:t>
            </w:r>
          </w:p>
        </w:tc>
      </w:tr>
      <w:tr w14:paraId="2E014D81">
        <w:tblPrEx>
          <w:tblBorders>
            <w:top w:val="single" w:color="auto" w:sz="4" w:space="0"/>
            <w:left w:val="single" w:color="auto" w:sz="6" w:space="0"/>
            <w:bottom w:val="single" w:color="auto" w:sz="4" w:space="0"/>
            <w:right w:val="single" w:color="auto" w:sz="6" w:space="0"/>
            <w:insideH w:val="single" w:color="auto" w:sz="6" w:space="0"/>
            <w:insideV w:val="single" w:color="auto" w:sz="6" w:space="0"/>
          </w:tblBorders>
          <w:tblCellMar>
            <w:top w:w="28" w:type="dxa"/>
            <w:left w:w="108" w:type="dxa"/>
            <w:bottom w:w="28" w:type="dxa"/>
            <w:right w:w="108" w:type="dxa"/>
          </w:tblCellMar>
        </w:tblPrEx>
        <w:trPr>
          <w:trHeight w:val="23" w:hRule="atLeast"/>
        </w:trPr>
        <w:tc>
          <w:tcPr>
            <w:tcW w:w="491" w:type="dxa"/>
            <w:vMerge w:val="continue"/>
            <w:tcBorders>
              <w:right w:val="single" w:color="auto" w:sz="4" w:space="0"/>
            </w:tcBorders>
            <w:vAlign w:val="center"/>
          </w:tcPr>
          <w:p w14:paraId="2A4C56F4">
            <w:pPr>
              <w:bidi w:val="0"/>
              <w:spacing w:line="240" w:lineRule="auto"/>
              <w:jc w:val="center"/>
              <w:rPr>
                <w:color w:val="auto"/>
                <w:sz w:val="21"/>
                <w:szCs w:val="21"/>
              </w:rPr>
            </w:pPr>
          </w:p>
        </w:tc>
        <w:tc>
          <w:tcPr>
            <w:tcW w:w="836" w:type="dxa"/>
            <w:vMerge w:val="continue"/>
            <w:tcBorders>
              <w:left w:val="single" w:color="auto" w:sz="4" w:space="0"/>
            </w:tcBorders>
            <w:vAlign w:val="center"/>
          </w:tcPr>
          <w:p w14:paraId="4D101A26">
            <w:pPr>
              <w:bidi w:val="0"/>
              <w:spacing w:line="240" w:lineRule="auto"/>
              <w:jc w:val="center"/>
              <w:rPr>
                <w:color w:val="auto"/>
                <w:sz w:val="21"/>
                <w:szCs w:val="21"/>
              </w:rPr>
            </w:pPr>
          </w:p>
        </w:tc>
        <w:tc>
          <w:tcPr>
            <w:tcW w:w="1337" w:type="dxa"/>
            <w:vMerge w:val="continue"/>
            <w:vAlign w:val="center"/>
          </w:tcPr>
          <w:p w14:paraId="08E0031B">
            <w:pPr>
              <w:bidi w:val="0"/>
              <w:spacing w:line="240" w:lineRule="auto"/>
              <w:jc w:val="center"/>
              <w:rPr>
                <w:color w:val="auto"/>
                <w:sz w:val="21"/>
                <w:szCs w:val="21"/>
              </w:rPr>
            </w:pPr>
          </w:p>
        </w:tc>
        <w:tc>
          <w:tcPr>
            <w:tcW w:w="1450" w:type="dxa"/>
            <w:tcBorders>
              <w:top w:val="single" w:color="auto" w:sz="4" w:space="0"/>
              <w:bottom w:val="single" w:color="auto" w:sz="4" w:space="0"/>
            </w:tcBorders>
            <w:shd w:val="clear" w:color="auto" w:fill="auto"/>
            <w:vAlign w:val="center"/>
          </w:tcPr>
          <w:p w14:paraId="27A6CF9B">
            <w:pPr>
              <w:bidi w:val="0"/>
              <w:spacing w:line="240" w:lineRule="auto"/>
              <w:jc w:val="center"/>
              <w:rPr>
                <w:rFonts w:ascii="Times New Roman" w:hAnsi="Times New Roman" w:eastAsia="宋体" w:cs="宋体"/>
                <w:color w:val="auto"/>
                <w:sz w:val="21"/>
                <w:szCs w:val="21"/>
                <w:lang w:val="en-US" w:eastAsia="zh-CN" w:bidi="ar-SA"/>
              </w:rPr>
            </w:pPr>
            <w:r>
              <w:rPr>
                <w:rFonts w:hint="eastAsia"/>
                <w:color w:val="auto"/>
                <w:sz w:val="21"/>
                <w:szCs w:val="21"/>
              </w:rPr>
              <w:t>TSP</w:t>
            </w:r>
          </w:p>
        </w:tc>
        <w:tc>
          <w:tcPr>
            <w:tcW w:w="2073" w:type="dxa"/>
            <w:shd w:val="clear" w:color="auto" w:fill="auto"/>
            <w:vAlign w:val="center"/>
          </w:tcPr>
          <w:p w14:paraId="398CFD57">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0.59618</w:t>
            </w:r>
          </w:p>
        </w:tc>
        <w:tc>
          <w:tcPr>
            <w:tcW w:w="1033" w:type="dxa"/>
            <w:shd w:val="clear" w:color="auto" w:fill="auto"/>
            <w:vAlign w:val="center"/>
          </w:tcPr>
          <w:p w14:paraId="3F60A829">
            <w:pPr>
              <w:bidi w:val="0"/>
              <w:spacing w:line="240" w:lineRule="auto"/>
              <w:jc w:val="center"/>
              <w:rPr>
                <w:rFonts w:hint="default" w:ascii="Times New Roman" w:hAnsi="Times New Roman" w:eastAsia="宋体" w:cs="宋体"/>
                <w:color w:val="auto"/>
                <w:sz w:val="21"/>
                <w:szCs w:val="21"/>
                <w:lang w:val="en-US" w:eastAsia="zh-CN" w:bidi="ar-SA"/>
              </w:rPr>
            </w:pPr>
            <w:r>
              <w:rPr>
                <w:rFonts w:hint="eastAsia" w:ascii="Times New Roman" w:hAnsi="Times New Roman" w:eastAsia="宋体" w:cs="宋体"/>
                <w:color w:val="auto"/>
                <w:sz w:val="21"/>
                <w:szCs w:val="21"/>
                <w:lang w:val="en-US" w:eastAsia="zh-CN" w:bidi="ar-SA"/>
              </w:rPr>
              <w:t>0.07</w:t>
            </w:r>
          </w:p>
        </w:tc>
        <w:tc>
          <w:tcPr>
            <w:tcW w:w="697" w:type="dxa"/>
            <w:vMerge w:val="continue"/>
            <w:vAlign w:val="center"/>
          </w:tcPr>
          <w:p w14:paraId="29EBC660">
            <w:pPr>
              <w:bidi w:val="0"/>
              <w:spacing w:line="240" w:lineRule="auto"/>
              <w:jc w:val="center"/>
              <w:rPr>
                <w:rFonts w:hint="eastAsia"/>
                <w:color w:val="auto"/>
                <w:sz w:val="21"/>
                <w:szCs w:val="21"/>
                <w:lang w:val="en-US" w:eastAsia="zh-CN"/>
              </w:rPr>
            </w:pPr>
          </w:p>
        </w:tc>
        <w:tc>
          <w:tcPr>
            <w:tcW w:w="1022" w:type="dxa"/>
            <w:vMerge w:val="continue"/>
            <w:vAlign w:val="center"/>
          </w:tcPr>
          <w:p w14:paraId="06E04D52">
            <w:pPr>
              <w:bidi w:val="0"/>
              <w:spacing w:line="240" w:lineRule="auto"/>
              <w:jc w:val="center"/>
              <w:rPr>
                <w:color w:val="auto"/>
                <w:sz w:val="21"/>
                <w:szCs w:val="21"/>
              </w:rPr>
            </w:pPr>
          </w:p>
        </w:tc>
      </w:tr>
    </w:tbl>
    <w:p w14:paraId="3496430B">
      <w:pPr>
        <w:ind w:firstLine="480" w:firstLineChars="200"/>
        <w:rPr>
          <w:rFonts w:cs="Times New Roman"/>
          <w:color w:val="auto"/>
        </w:rPr>
      </w:pPr>
      <w:r>
        <w:rPr>
          <w:rFonts w:cs="Times New Roman"/>
          <w:color w:val="auto"/>
        </w:rPr>
        <w:t>根据《环境影响评价技术导则 大气环境》（HJ2.2-2018）评价工作等级的判定依据见</w:t>
      </w:r>
      <w:r>
        <w:rPr>
          <w:rFonts w:hint="eastAsia" w:cs="Times New Roman"/>
          <w:color w:val="auto"/>
        </w:rPr>
        <w:t>下表。</w:t>
      </w:r>
    </w:p>
    <w:p w14:paraId="6ED85221">
      <w:pPr>
        <w:jc w:val="center"/>
        <w:rPr>
          <w:b/>
          <w:bCs/>
          <w:color w:val="auto"/>
        </w:rPr>
      </w:pPr>
      <w:r>
        <w:rPr>
          <w:b/>
          <w:bCs/>
          <w:color w:val="auto"/>
        </w:rPr>
        <w:t>表6.</w:t>
      </w:r>
      <w:r>
        <w:rPr>
          <w:rFonts w:hint="eastAsia"/>
          <w:b/>
          <w:bCs/>
          <w:color w:val="auto"/>
          <w:lang w:val="en-US" w:eastAsia="zh-CN"/>
        </w:rPr>
        <w:t>2</w:t>
      </w:r>
      <w:r>
        <w:rPr>
          <w:b/>
          <w:bCs/>
          <w:color w:val="auto"/>
        </w:rPr>
        <w:t>.</w:t>
      </w:r>
      <w:r>
        <w:rPr>
          <w:rFonts w:hint="eastAsia"/>
          <w:b/>
          <w:bCs/>
          <w:color w:val="auto"/>
          <w:lang w:val="en-US" w:eastAsia="zh-CN"/>
        </w:rPr>
        <w:t>1-7</w:t>
      </w:r>
      <w:r>
        <w:rPr>
          <w:b/>
          <w:bCs/>
          <w:color w:val="auto"/>
        </w:rPr>
        <w:t xml:space="preserve"> 评价工作等级</w:t>
      </w:r>
      <w:r>
        <w:rPr>
          <w:rFonts w:hint="eastAsia"/>
          <w:b/>
          <w:bCs/>
          <w:color w:val="auto"/>
        </w:rPr>
        <w:t>一览表</w:t>
      </w:r>
    </w:p>
    <w:tbl>
      <w:tblPr>
        <w:tblStyle w:val="17"/>
        <w:tblW w:w="962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173"/>
        <w:gridCol w:w="6453"/>
      </w:tblGrid>
      <w:tr w14:paraId="5A0656C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73" w:type="dxa"/>
            <w:tcBorders>
              <w:top w:val="single" w:color="auto" w:sz="6" w:space="0"/>
              <w:left w:val="single" w:color="auto" w:sz="6" w:space="0"/>
              <w:bottom w:val="single" w:color="auto" w:sz="6" w:space="0"/>
              <w:right w:val="single" w:color="auto" w:sz="6" w:space="0"/>
            </w:tcBorders>
          </w:tcPr>
          <w:p w14:paraId="38F79875">
            <w:pPr>
              <w:spacing w:line="360" w:lineRule="exact"/>
              <w:jc w:val="center"/>
              <w:rPr>
                <w:rFonts w:cs="Times New Roman"/>
                <w:b/>
                <w:bCs/>
                <w:color w:val="auto"/>
                <w:sz w:val="21"/>
                <w:szCs w:val="21"/>
              </w:rPr>
            </w:pPr>
            <w:r>
              <w:rPr>
                <w:rFonts w:cs="Times New Roman"/>
                <w:b/>
                <w:bCs/>
                <w:color w:val="auto"/>
                <w:sz w:val="21"/>
                <w:szCs w:val="21"/>
              </w:rPr>
              <w:t>评价工作等级</w:t>
            </w:r>
          </w:p>
        </w:tc>
        <w:tc>
          <w:tcPr>
            <w:tcW w:w="6453" w:type="dxa"/>
            <w:tcBorders>
              <w:top w:val="single" w:color="auto" w:sz="6" w:space="0"/>
              <w:left w:val="single" w:color="auto" w:sz="6" w:space="0"/>
              <w:bottom w:val="single" w:color="auto" w:sz="6" w:space="0"/>
              <w:right w:val="single" w:color="auto" w:sz="6" w:space="0"/>
            </w:tcBorders>
          </w:tcPr>
          <w:p w14:paraId="038D5C14">
            <w:pPr>
              <w:spacing w:line="360" w:lineRule="exact"/>
              <w:jc w:val="center"/>
              <w:rPr>
                <w:rFonts w:cs="Times New Roman"/>
                <w:b/>
                <w:bCs/>
                <w:color w:val="auto"/>
                <w:sz w:val="21"/>
                <w:szCs w:val="21"/>
              </w:rPr>
            </w:pPr>
            <w:r>
              <w:rPr>
                <w:rFonts w:cs="Times New Roman"/>
                <w:b/>
                <w:bCs/>
                <w:color w:val="auto"/>
                <w:sz w:val="21"/>
                <w:szCs w:val="21"/>
              </w:rPr>
              <w:t>评价工作等级判据</w:t>
            </w:r>
          </w:p>
        </w:tc>
      </w:tr>
      <w:tr w14:paraId="77107D26">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73" w:type="dxa"/>
            <w:tcBorders>
              <w:top w:val="single" w:color="auto" w:sz="6" w:space="0"/>
              <w:left w:val="single" w:color="auto" w:sz="6" w:space="0"/>
              <w:bottom w:val="single" w:color="auto" w:sz="6" w:space="0"/>
              <w:right w:val="single" w:color="auto" w:sz="6" w:space="0"/>
            </w:tcBorders>
          </w:tcPr>
          <w:p w14:paraId="1B03E593">
            <w:pPr>
              <w:spacing w:line="360" w:lineRule="exact"/>
              <w:jc w:val="center"/>
              <w:rPr>
                <w:rFonts w:cs="Times New Roman"/>
                <w:color w:val="auto"/>
                <w:sz w:val="21"/>
                <w:szCs w:val="21"/>
              </w:rPr>
            </w:pPr>
            <w:r>
              <w:rPr>
                <w:rFonts w:cs="Times New Roman"/>
                <w:color w:val="auto"/>
                <w:sz w:val="21"/>
                <w:szCs w:val="21"/>
              </w:rPr>
              <w:t>一级</w:t>
            </w:r>
          </w:p>
        </w:tc>
        <w:tc>
          <w:tcPr>
            <w:tcW w:w="6453" w:type="dxa"/>
            <w:tcBorders>
              <w:top w:val="single" w:color="auto" w:sz="6" w:space="0"/>
              <w:left w:val="single" w:color="auto" w:sz="6" w:space="0"/>
              <w:bottom w:val="single" w:color="auto" w:sz="6" w:space="0"/>
              <w:right w:val="single" w:color="auto" w:sz="6" w:space="0"/>
            </w:tcBorders>
          </w:tcPr>
          <w:p w14:paraId="1A4FF68A">
            <w:pPr>
              <w:spacing w:line="360" w:lineRule="exact"/>
              <w:jc w:val="center"/>
              <w:rPr>
                <w:rFonts w:cs="Times New Roman"/>
                <w:color w:val="auto"/>
                <w:sz w:val="21"/>
                <w:szCs w:val="21"/>
              </w:rPr>
            </w:pPr>
            <w:r>
              <w:rPr>
                <w:rFonts w:cs="Times New Roman"/>
                <w:color w:val="auto"/>
                <w:sz w:val="21"/>
                <w:szCs w:val="21"/>
              </w:rPr>
              <w:t>Pmax≥10%</w:t>
            </w:r>
          </w:p>
        </w:tc>
      </w:tr>
      <w:tr w14:paraId="02D07B5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73" w:type="dxa"/>
            <w:tcBorders>
              <w:top w:val="single" w:color="auto" w:sz="6" w:space="0"/>
              <w:left w:val="single" w:color="auto" w:sz="6" w:space="0"/>
              <w:bottom w:val="single" w:color="auto" w:sz="6" w:space="0"/>
              <w:right w:val="single" w:color="auto" w:sz="6" w:space="0"/>
            </w:tcBorders>
          </w:tcPr>
          <w:p w14:paraId="4E3C8EE0">
            <w:pPr>
              <w:spacing w:line="360" w:lineRule="exact"/>
              <w:jc w:val="center"/>
              <w:rPr>
                <w:rFonts w:cs="Times New Roman"/>
                <w:color w:val="auto"/>
                <w:sz w:val="21"/>
                <w:szCs w:val="21"/>
              </w:rPr>
            </w:pPr>
            <w:r>
              <w:rPr>
                <w:rFonts w:cs="Times New Roman"/>
                <w:color w:val="auto"/>
                <w:sz w:val="21"/>
                <w:szCs w:val="21"/>
              </w:rPr>
              <w:t>二级</w:t>
            </w:r>
          </w:p>
        </w:tc>
        <w:tc>
          <w:tcPr>
            <w:tcW w:w="6453" w:type="dxa"/>
            <w:tcBorders>
              <w:top w:val="single" w:color="auto" w:sz="6" w:space="0"/>
              <w:left w:val="single" w:color="auto" w:sz="6" w:space="0"/>
              <w:bottom w:val="single" w:color="auto" w:sz="6" w:space="0"/>
              <w:right w:val="single" w:color="auto" w:sz="6" w:space="0"/>
            </w:tcBorders>
          </w:tcPr>
          <w:p w14:paraId="60F3191F">
            <w:pPr>
              <w:spacing w:line="360" w:lineRule="exact"/>
              <w:jc w:val="center"/>
              <w:rPr>
                <w:rFonts w:cs="Times New Roman"/>
                <w:color w:val="auto"/>
                <w:sz w:val="21"/>
                <w:szCs w:val="21"/>
              </w:rPr>
            </w:pPr>
            <w:r>
              <w:rPr>
                <w:rFonts w:cs="Times New Roman"/>
                <w:color w:val="auto"/>
                <w:sz w:val="21"/>
                <w:szCs w:val="21"/>
              </w:rPr>
              <w:t>1%≤Pmax&lt;10%其他</w:t>
            </w:r>
          </w:p>
        </w:tc>
      </w:tr>
      <w:tr w14:paraId="308517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3173" w:type="dxa"/>
            <w:tcBorders>
              <w:top w:val="single" w:color="auto" w:sz="6" w:space="0"/>
              <w:left w:val="single" w:color="auto" w:sz="6" w:space="0"/>
              <w:bottom w:val="single" w:color="auto" w:sz="6" w:space="0"/>
              <w:right w:val="single" w:color="auto" w:sz="6" w:space="0"/>
            </w:tcBorders>
          </w:tcPr>
          <w:p w14:paraId="4C081A5C">
            <w:pPr>
              <w:spacing w:line="360" w:lineRule="exact"/>
              <w:jc w:val="center"/>
              <w:rPr>
                <w:rFonts w:cs="Times New Roman"/>
                <w:color w:val="auto"/>
                <w:sz w:val="21"/>
                <w:szCs w:val="21"/>
              </w:rPr>
            </w:pPr>
            <w:r>
              <w:rPr>
                <w:rFonts w:cs="Times New Roman"/>
                <w:color w:val="auto"/>
                <w:sz w:val="21"/>
                <w:szCs w:val="21"/>
              </w:rPr>
              <w:t>三级</w:t>
            </w:r>
          </w:p>
        </w:tc>
        <w:tc>
          <w:tcPr>
            <w:tcW w:w="6453" w:type="dxa"/>
            <w:tcBorders>
              <w:top w:val="single" w:color="auto" w:sz="6" w:space="0"/>
              <w:left w:val="single" w:color="auto" w:sz="6" w:space="0"/>
              <w:bottom w:val="single" w:color="auto" w:sz="6" w:space="0"/>
              <w:right w:val="single" w:color="auto" w:sz="6" w:space="0"/>
            </w:tcBorders>
          </w:tcPr>
          <w:p w14:paraId="011B57D6">
            <w:pPr>
              <w:spacing w:line="360" w:lineRule="exact"/>
              <w:jc w:val="center"/>
              <w:rPr>
                <w:rFonts w:cs="Times New Roman"/>
                <w:color w:val="auto"/>
                <w:sz w:val="21"/>
                <w:szCs w:val="21"/>
              </w:rPr>
            </w:pPr>
            <w:r>
              <w:rPr>
                <w:rFonts w:cs="Times New Roman"/>
                <w:color w:val="auto"/>
                <w:sz w:val="21"/>
                <w:szCs w:val="21"/>
              </w:rPr>
              <w:t>Pmax&lt;1%</w:t>
            </w:r>
          </w:p>
        </w:tc>
      </w:tr>
    </w:tbl>
    <w:p w14:paraId="2E68756C">
      <w:pPr>
        <w:bidi w:val="0"/>
        <w:ind w:firstLine="480" w:firstLineChars="200"/>
        <w:rPr>
          <w:rFonts w:hint="default"/>
          <w:lang w:val="en-US" w:eastAsia="zh-CN"/>
        </w:rPr>
      </w:pPr>
      <w:r>
        <w:rPr>
          <w:rFonts w:hint="eastAsia"/>
          <w:color w:val="auto"/>
        </w:rPr>
        <w:t>根据估算结果，</w:t>
      </w:r>
      <w:r>
        <w:rPr>
          <w:color w:val="auto"/>
        </w:rPr>
        <w:t>项目污染物最大地面质量浓度占标率为</w:t>
      </w:r>
      <w:r>
        <w:rPr>
          <w:rFonts w:hint="eastAsia"/>
          <w:color w:val="auto"/>
          <w:lang w:val="en-US" w:eastAsia="zh-CN"/>
        </w:rPr>
        <w:t>四分片钝化</w:t>
      </w:r>
      <w:r>
        <w:rPr>
          <w:rFonts w:hint="eastAsia"/>
          <w:color w:val="auto"/>
        </w:rPr>
        <w:t>废气排气筒</w:t>
      </w:r>
      <w:r>
        <w:rPr>
          <w:rFonts w:hint="eastAsia"/>
          <w:color w:val="auto"/>
          <w:lang w:val="en-US" w:eastAsia="zh-CN"/>
        </w:rPr>
        <w:t>DA008</w:t>
      </w:r>
      <w:r>
        <w:rPr>
          <w:rFonts w:hint="eastAsia"/>
          <w:color w:val="auto"/>
        </w:rPr>
        <w:t>排放的</w:t>
      </w:r>
      <w:r>
        <w:rPr>
          <w:rFonts w:hint="eastAsia"/>
          <w:color w:val="auto"/>
          <w:lang w:val="en-US"/>
        </w:rPr>
        <w:t>PM</w:t>
      </w:r>
      <w:r>
        <w:rPr>
          <w:rFonts w:hint="eastAsia"/>
          <w:color w:val="auto"/>
          <w:vertAlign w:val="subscript"/>
          <w:lang w:val="en-US" w:eastAsia="zh-CN"/>
        </w:rPr>
        <w:t>10</w:t>
      </w:r>
      <w:r>
        <w:rPr>
          <w:rFonts w:hint="eastAsia"/>
          <w:color w:val="auto"/>
        </w:rPr>
        <w:t>，</w:t>
      </w:r>
      <w:r>
        <w:rPr>
          <w:rFonts w:ascii="宋体" w:hAnsi="宋体"/>
          <w:color w:val="auto"/>
        </w:rPr>
        <w:t>最大落</w:t>
      </w:r>
      <w:r>
        <w:rPr>
          <w:rFonts w:hint="eastAsia" w:ascii="宋体" w:hAnsi="宋体"/>
          <w:color w:val="auto"/>
        </w:rPr>
        <w:t>地浓度</w:t>
      </w:r>
      <w:r>
        <w:rPr>
          <w:rFonts w:hint="default" w:ascii="Times New Roman" w:hAnsi="Times New Roman" w:cs="Times New Roman"/>
          <w:color w:val="auto"/>
        </w:rPr>
        <w:t>为</w:t>
      </w:r>
      <w:r>
        <w:rPr>
          <w:rFonts w:hint="default" w:ascii="Times New Roman" w:hAnsi="Times New Roman" w:cs="Times New Roman"/>
          <w:color w:val="auto"/>
          <w:lang w:val="en-US" w:eastAsia="zh-CN"/>
        </w:rPr>
        <w:t>9.9838u</w:t>
      </w:r>
      <w:r>
        <w:rPr>
          <w:rFonts w:hint="default" w:ascii="Times New Roman" w:hAnsi="Times New Roman" w:eastAsia="Times New Roman" w:cs="Times New Roman"/>
          <w:color w:val="auto"/>
        </w:rPr>
        <w:t>g/m</w:t>
      </w:r>
      <w:r>
        <w:rPr>
          <w:rFonts w:eastAsia="Times New Roman"/>
          <w:color w:val="auto"/>
          <w:vertAlign w:val="superscript"/>
        </w:rPr>
        <w:t>3</w:t>
      </w:r>
      <w:r>
        <w:rPr>
          <w:rFonts w:hint="eastAsia" w:ascii="宋体" w:hAnsi="宋体"/>
          <w:color w:val="auto"/>
        </w:rPr>
        <w:t>，对应最大落地占标率为1</w:t>
      </w:r>
      <w:r>
        <w:rPr>
          <w:rFonts w:hint="default" w:ascii="Times New Roman" w:hAnsi="Times New Roman" w:cs="Times New Roman"/>
          <w:color w:val="auto"/>
        </w:rPr>
        <w:t>%</w:t>
      </w:r>
      <w:r>
        <w:rPr>
          <w:rFonts w:hint="eastAsia" w:ascii="宋体" w:hAnsi="宋体"/>
          <w:color w:val="auto"/>
        </w:rPr>
        <w:t>≤</w:t>
      </w:r>
      <w:r>
        <w:rPr>
          <w:rFonts w:hint="eastAsia"/>
          <w:color w:val="auto"/>
          <w:lang w:val="en-US" w:eastAsia="zh-CN"/>
        </w:rPr>
        <w:t>2.77</w:t>
      </w:r>
      <w:r>
        <w:rPr>
          <w:rFonts w:hint="eastAsia"/>
          <w:color w:val="auto"/>
        </w:rPr>
        <w:t>%</w:t>
      </w:r>
      <w:r>
        <w:rPr>
          <w:rFonts w:eastAsia="Times New Roman"/>
          <w:color w:val="auto"/>
        </w:rPr>
        <w:t>&lt;</w:t>
      </w:r>
      <w:r>
        <w:rPr>
          <w:rFonts w:hint="eastAsia"/>
          <w:color w:val="auto"/>
        </w:rPr>
        <w:t>10%；</w:t>
      </w:r>
      <w:r>
        <w:rPr>
          <w:color w:val="auto"/>
        </w:rPr>
        <w:t>根据《环境影响评价技术导则 大气环境》（HJ2.2</w:t>
      </w:r>
      <w:r>
        <w:rPr>
          <w:rFonts w:hint="eastAsia"/>
          <w:color w:val="auto"/>
        </w:rPr>
        <w:t>-</w:t>
      </w:r>
      <w:r>
        <w:rPr>
          <w:color w:val="auto"/>
        </w:rPr>
        <w:t>2018），本次评价的大气评价等级为</w:t>
      </w:r>
      <w:r>
        <w:rPr>
          <w:rFonts w:hint="eastAsia"/>
          <w:color w:val="auto"/>
        </w:rPr>
        <w:t>二</w:t>
      </w:r>
      <w:r>
        <w:rPr>
          <w:color w:val="auto"/>
        </w:rPr>
        <w:t>级，</w:t>
      </w:r>
      <w:r>
        <w:rPr>
          <w:rFonts w:hint="eastAsia"/>
          <w:color w:val="auto"/>
        </w:rPr>
        <w:t>无</w:t>
      </w:r>
      <w:r>
        <w:rPr>
          <w:color w:val="auto"/>
        </w:rPr>
        <w:t>需进一步预测。</w:t>
      </w:r>
    </w:p>
    <w:p w14:paraId="513DCB03">
      <w:pPr>
        <w:bidi w:val="0"/>
        <w:rPr>
          <w:rFonts w:hint="default"/>
          <w:b/>
          <w:bCs/>
          <w:lang w:val="en-US" w:eastAsia="zh-CN"/>
        </w:rPr>
      </w:pPr>
      <w:r>
        <w:rPr>
          <w:rFonts w:hint="eastAsia"/>
          <w:b/>
          <w:bCs/>
          <w:lang w:val="en-US" w:eastAsia="zh-CN"/>
        </w:rPr>
        <w:t>6.2.1.4 污染物排放量核算</w:t>
      </w:r>
    </w:p>
    <w:p w14:paraId="45C63692">
      <w:pPr>
        <w:bidi w:val="0"/>
        <w:ind w:firstLine="480" w:firstLineChars="200"/>
        <w:rPr>
          <w:rFonts w:hint="default"/>
          <w:lang w:val="en-US" w:eastAsia="zh-CN"/>
        </w:rPr>
      </w:pPr>
      <w:r>
        <w:rPr>
          <w:rFonts w:hint="eastAsia"/>
          <w:lang w:val="en-US" w:eastAsia="zh-CN"/>
        </w:rPr>
        <w:t>根据《排污许可证申请与核发技术规范 电池工业》（HJ967-2018），本次技改项目所涉及的</w:t>
      </w:r>
      <w:r>
        <w:rPr>
          <w:rFonts w:hint="eastAsia"/>
          <w:color w:val="auto"/>
          <w:lang w:val="en-US" w:eastAsia="zh-CN"/>
        </w:rPr>
        <w:t>丝网印刷、烧结废气排放口（DA023）；AC印刷、固化废气排放口（DA004）；四分片钝化废气排放口（DA008）均为一般排放口，本次技改项目大气污染物排放量核算如下。</w:t>
      </w:r>
    </w:p>
    <w:p w14:paraId="5FDF2165">
      <w:pPr>
        <w:jc w:val="center"/>
        <w:rPr>
          <w:b/>
          <w:bCs/>
          <w:color w:val="auto"/>
        </w:rPr>
      </w:pPr>
      <w:r>
        <w:rPr>
          <w:rFonts w:hint="eastAsia"/>
          <w:b/>
          <w:bCs/>
          <w:color w:val="auto"/>
        </w:rPr>
        <w:t>表</w:t>
      </w:r>
      <w:r>
        <w:rPr>
          <w:b/>
          <w:bCs/>
          <w:color w:val="auto"/>
        </w:rPr>
        <w:t>6.</w:t>
      </w:r>
      <w:r>
        <w:rPr>
          <w:rFonts w:hint="eastAsia"/>
          <w:b/>
          <w:bCs/>
          <w:color w:val="auto"/>
          <w:lang w:val="en-US" w:eastAsia="zh-CN"/>
        </w:rPr>
        <w:t>2</w:t>
      </w:r>
      <w:r>
        <w:rPr>
          <w:b/>
          <w:bCs/>
          <w:color w:val="auto"/>
        </w:rPr>
        <w:t>.</w:t>
      </w:r>
      <w:r>
        <w:rPr>
          <w:rFonts w:hint="eastAsia"/>
          <w:b/>
          <w:bCs/>
          <w:color w:val="auto"/>
          <w:lang w:val="en-US" w:eastAsia="zh-CN"/>
        </w:rPr>
        <w:t>1</w:t>
      </w:r>
      <w:r>
        <w:rPr>
          <w:b/>
          <w:bCs/>
          <w:color w:val="auto"/>
        </w:rPr>
        <w:t>-</w:t>
      </w:r>
      <w:r>
        <w:rPr>
          <w:rFonts w:hint="eastAsia"/>
          <w:b/>
          <w:bCs/>
          <w:color w:val="auto"/>
          <w:lang w:val="en-US" w:eastAsia="zh-CN"/>
        </w:rPr>
        <w:t>8</w:t>
      </w:r>
      <w:r>
        <w:rPr>
          <w:b/>
          <w:bCs/>
          <w:color w:val="auto"/>
        </w:rPr>
        <w:t xml:space="preserve"> </w:t>
      </w:r>
      <w:r>
        <w:rPr>
          <w:rFonts w:hint="eastAsia"/>
          <w:b/>
          <w:bCs/>
          <w:color w:val="auto"/>
        </w:rPr>
        <w:t>大气污染物排放量核算一览表</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0"/>
        <w:gridCol w:w="979"/>
        <w:gridCol w:w="1523"/>
        <w:gridCol w:w="1626"/>
        <w:gridCol w:w="1584"/>
        <w:gridCol w:w="1231"/>
        <w:gridCol w:w="1957"/>
      </w:tblGrid>
      <w:tr w14:paraId="105ED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76" w:type="dxa"/>
            <w:gridSpan w:val="2"/>
            <w:tcBorders>
              <w:tl2br w:val="nil"/>
              <w:tr2bl w:val="nil"/>
            </w:tcBorders>
            <w:vAlign w:val="center"/>
          </w:tcPr>
          <w:p w14:paraId="6DADF9E6">
            <w:pPr>
              <w:spacing w:line="240" w:lineRule="auto"/>
              <w:jc w:val="center"/>
              <w:rPr>
                <w:rFonts w:cs="Times New Roman"/>
                <w:b/>
                <w:bCs/>
                <w:color w:val="auto"/>
                <w:sz w:val="21"/>
                <w:szCs w:val="21"/>
              </w:rPr>
            </w:pPr>
            <w:r>
              <w:rPr>
                <w:rFonts w:cs="Times New Roman"/>
                <w:b/>
                <w:bCs/>
                <w:color w:val="auto"/>
                <w:sz w:val="21"/>
                <w:szCs w:val="21"/>
              </w:rPr>
              <w:t>种类</w:t>
            </w:r>
          </w:p>
        </w:tc>
        <w:tc>
          <w:tcPr>
            <w:tcW w:w="3208" w:type="dxa"/>
            <w:gridSpan w:val="2"/>
            <w:tcBorders>
              <w:tl2br w:val="nil"/>
              <w:tr2bl w:val="nil"/>
            </w:tcBorders>
            <w:vAlign w:val="center"/>
          </w:tcPr>
          <w:p w14:paraId="7B77CDEA">
            <w:pPr>
              <w:spacing w:line="240" w:lineRule="auto"/>
              <w:jc w:val="center"/>
              <w:rPr>
                <w:rFonts w:cs="Times New Roman"/>
                <w:b/>
                <w:bCs/>
                <w:color w:val="auto"/>
                <w:sz w:val="21"/>
                <w:szCs w:val="21"/>
              </w:rPr>
            </w:pPr>
            <w:r>
              <w:rPr>
                <w:rFonts w:cs="Times New Roman"/>
                <w:b/>
                <w:bCs/>
                <w:color w:val="auto"/>
                <w:sz w:val="21"/>
                <w:szCs w:val="21"/>
              </w:rPr>
              <w:t>污染物名称</w:t>
            </w:r>
          </w:p>
        </w:tc>
        <w:tc>
          <w:tcPr>
            <w:tcW w:w="1614" w:type="dxa"/>
            <w:tcBorders>
              <w:tl2br w:val="nil"/>
              <w:tr2bl w:val="nil"/>
            </w:tcBorders>
            <w:shd w:val="clear" w:color="auto" w:fill="auto"/>
            <w:vAlign w:val="center"/>
          </w:tcPr>
          <w:p w14:paraId="17EC4C76">
            <w:pPr>
              <w:spacing w:line="240" w:lineRule="auto"/>
              <w:jc w:val="center"/>
              <w:textAlignment w:val="center"/>
              <w:rPr>
                <w:rFonts w:hint="eastAsia" w:ascii="Times New Roman" w:hAnsi="Times New Roman" w:eastAsia="宋体" w:cs="宋体"/>
                <w:b/>
                <w:bCs/>
                <w:sz w:val="21"/>
                <w:szCs w:val="21"/>
                <w:lang w:val="en-US" w:eastAsia="zh-CN" w:bidi="ar-SA"/>
              </w:rPr>
            </w:pPr>
            <w:r>
              <w:rPr>
                <w:rFonts w:hint="eastAsia"/>
                <w:b/>
                <w:bCs/>
                <w:sz w:val="21"/>
                <w:szCs w:val="21"/>
                <w:lang w:bidi="ar"/>
              </w:rPr>
              <w:t>核算排放浓度</w:t>
            </w:r>
            <w:r>
              <w:rPr>
                <w:rFonts w:ascii="Times New Roman" w:hAnsi="Times New Roman" w:cs="Times New Roman"/>
                <w:b/>
                <w:bCs/>
                <w:sz w:val="21"/>
                <w:szCs w:val="21"/>
                <w:lang w:bidi="ar"/>
              </w:rPr>
              <w:t>mg/m³</w:t>
            </w:r>
          </w:p>
        </w:tc>
        <w:tc>
          <w:tcPr>
            <w:tcW w:w="1253" w:type="dxa"/>
            <w:tcBorders>
              <w:tl2br w:val="nil"/>
              <w:tr2bl w:val="nil"/>
            </w:tcBorders>
            <w:shd w:val="clear" w:color="auto" w:fill="auto"/>
            <w:vAlign w:val="center"/>
          </w:tcPr>
          <w:p w14:paraId="1E3C57D7">
            <w:pPr>
              <w:spacing w:line="240" w:lineRule="auto"/>
              <w:jc w:val="center"/>
              <w:textAlignment w:val="center"/>
              <w:rPr>
                <w:rFonts w:hint="eastAsia" w:ascii="Times New Roman" w:hAnsi="Times New Roman" w:eastAsia="宋体" w:cs="宋体"/>
                <w:b/>
                <w:bCs/>
                <w:sz w:val="21"/>
                <w:szCs w:val="21"/>
                <w:lang w:val="en-US" w:eastAsia="zh-CN" w:bidi="ar-SA"/>
              </w:rPr>
            </w:pPr>
            <w:r>
              <w:rPr>
                <w:rFonts w:hint="eastAsia"/>
                <w:b/>
                <w:bCs/>
                <w:sz w:val="21"/>
                <w:szCs w:val="21"/>
                <w:lang w:bidi="ar"/>
              </w:rPr>
              <w:t>核算排放速率</w:t>
            </w:r>
            <w:r>
              <w:rPr>
                <w:rFonts w:ascii="Times New Roman" w:hAnsi="Times New Roman" w:cs="Times New Roman"/>
                <w:b/>
                <w:bCs/>
                <w:sz w:val="21"/>
                <w:szCs w:val="21"/>
                <w:lang w:bidi="ar"/>
              </w:rPr>
              <w:t>kg/h</w:t>
            </w:r>
          </w:p>
        </w:tc>
        <w:tc>
          <w:tcPr>
            <w:tcW w:w="1994" w:type="dxa"/>
            <w:tcBorders>
              <w:tl2br w:val="nil"/>
              <w:tr2bl w:val="nil"/>
            </w:tcBorders>
            <w:shd w:val="clear" w:color="auto" w:fill="auto"/>
            <w:vAlign w:val="center"/>
          </w:tcPr>
          <w:p w14:paraId="6AD65CF6">
            <w:pPr>
              <w:spacing w:line="240" w:lineRule="auto"/>
              <w:jc w:val="center"/>
              <w:textAlignment w:val="center"/>
              <w:rPr>
                <w:rFonts w:hint="eastAsia" w:ascii="Times New Roman" w:hAnsi="Times New Roman" w:eastAsia="宋体" w:cs="宋体"/>
                <w:b/>
                <w:bCs/>
                <w:sz w:val="21"/>
                <w:szCs w:val="21"/>
                <w:lang w:val="en-US" w:eastAsia="zh-CN" w:bidi="ar-SA"/>
              </w:rPr>
            </w:pPr>
            <w:r>
              <w:rPr>
                <w:rFonts w:hint="eastAsia"/>
                <w:b/>
                <w:bCs/>
                <w:sz w:val="21"/>
                <w:szCs w:val="21"/>
                <w:lang w:bidi="ar"/>
              </w:rPr>
              <w:t>核算年排放量</w:t>
            </w:r>
            <w:r>
              <w:rPr>
                <w:rFonts w:ascii="Times New Roman" w:hAnsi="Times New Roman" w:cs="Times New Roman"/>
                <w:b/>
                <w:bCs/>
                <w:sz w:val="21"/>
                <w:szCs w:val="21"/>
                <w:lang w:bidi="ar"/>
              </w:rPr>
              <w:t>t/a</w:t>
            </w:r>
          </w:p>
        </w:tc>
      </w:tr>
      <w:tr w14:paraId="15D29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45" w:type="dxa"/>
            <w:gridSpan w:val="7"/>
            <w:tcBorders>
              <w:tl2br w:val="nil"/>
              <w:tr2bl w:val="nil"/>
            </w:tcBorders>
            <w:vAlign w:val="center"/>
          </w:tcPr>
          <w:p w14:paraId="70324576">
            <w:pPr>
              <w:spacing w:line="240" w:lineRule="auto"/>
              <w:jc w:val="center"/>
              <w:rPr>
                <w:rFonts w:hint="eastAsia" w:eastAsia="宋体" w:cs="Times New Roman"/>
                <w:b/>
                <w:bCs/>
                <w:color w:val="auto"/>
                <w:sz w:val="21"/>
                <w:szCs w:val="21"/>
                <w:lang w:val="en-US" w:eastAsia="zh-CN"/>
              </w:rPr>
            </w:pPr>
            <w:r>
              <w:rPr>
                <w:rFonts w:hint="eastAsia" w:cs="Times New Roman"/>
                <w:b/>
                <w:bCs/>
                <w:color w:val="auto"/>
                <w:sz w:val="21"/>
                <w:szCs w:val="21"/>
                <w:lang w:val="en-US" w:eastAsia="zh-CN"/>
              </w:rPr>
              <w:t>一般排放口</w:t>
            </w:r>
          </w:p>
        </w:tc>
      </w:tr>
      <w:tr w14:paraId="57CA6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0" w:type="dxa"/>
            <w:vMerge w:val="restart"/>
            <w:tcBorders>
              <w:tl2br w:val="nil"/>
              <w:tr2bl w:val="nil"/>
            </w:tcBorders>
            <w:vAlign w:val="center"/>
          </w:tcPr>
          <w:p w14:paraId="2AE25233">
            <w:pPr>
              <w:spacing w:line="240" w:lineRule="auto"/>
              <w:jc w:val="center"/>
              <w:rPr>
                <w:rFonts w:cs="Times New Roman"/>
                <w:color w:val="auto"/>
                <w:sz w:val="21"/>
                <w:szCs w:val="21"/>
              </w:rPr>
            </w:pPr>
            <w:r>
              <w:rPr>
                <w:rFonts w:cs="Times New Roman"/>
                <w:color w:val="auto"/>
                <w:sz w:val="21"/>
                <w:szCs w:val="21"/>
              </w:rPr>
              <w:t>废气</w:t>
            </w:r>
          </w:p>
        </w:tc>
        <w:tc>
          <w:tcPr>
            <w:tcW w:w="996" w:type="dxa"/>
            <w:vMerge w:val="restart"/>
            <w:tcBorders>
              <w:tl2br w:val="nil"/>
              <w:tr2bl w:val="nil"/>
            </w:tcBorders>
            <w:vAlign w:val="center"/>
          </w:tcPr>
          <w:p w14:paraId="40E9687F">
            <w:pPr>
              <w:spacing w:line="240" w:lineRule="auto"/>
              <w:jc w:val="center"/>
              <w:rPr>
                <w:rFonts w:cs="Times New Roman"/>
                <w:color w:val="auto"/>
                <w:sz w:val="21"/>
                <w:szCs w:val="21"/>
              </w:rPr>
            </w:pPr>
            <w:r>
              <w:rPr>
                <w:rFonts w:cs="Times New Roman"/>
                <w:color w:val="auto"/>
                <w:sz w:val="21"/>
                <w:szCs w:val="21"/>
              </w:rPr>
              <w:t>有组织</w:t>
            </w:r>
          </w:p>
        </w:tc>
        <w:tc>
          <w:tcPr>
            <w:tcW w:w="1551" w:type="dxa"/>
            <w:tcBorders>
              <w:tl2br w:val="nil"/>
              <w:tr2bl w:val="nil"/>
            </w:tcBorders>
            <w:vAlign w:val="center"/>
          </w:tcPr>
          <w:p w14:paraId="440A2186">
            <w:pPr>
              <w:spacing w:line="240" w:lineRule="auto"/>
              <w:jc w:val="center"/>
              <w:rPr>
                <w:rFonts w:hint="eastAsia" w:eastAsia="宋体" w:cs="Times New Roman"/>
                <w:color w:val="auto"/>
                <w:sz w:val="21"/>
                <w:szCs w:val="21"/>
                <w:lang w:eastAsia="zh-CN"/>
              </w:rPr>
            </w:pPr>
            <w:r>
              <w:rPr>
                <w:rFonts w:hint="eastAsia" w:cs="Times New Roman"/>
                <w:color w:val="auto"/>
                <w:sz w:val="21"/>
                <w:szCs w:val="21"/>
              </w:rPr>
              <w:t>DA00</w:t>
            </w:r>
            <w:r>
              <w:rPr>
                <w:rFonts w:hint="eastAsia" w:cs="Times New Roman"/>
                <w:color w:val="auto"/>
                <w:sz w:val="21"/>
                <w:szCs w:val="21"/>
                <w:lang w:val="en-US" w:eastAsia="zh-CN"/>
              </w:rPr>
              <w:t>4</w:t>
            </w:r>
          </w:p>
        </w:tc>
        <w:tc>
          <w:tcPr>
            <w:tcW w:w="1657" w:type="dxa"/>
            <w:tcBorders>
              <w:tl2br w:val="nil"/>
              <w:tr2bl w:val="nil"/>
            </w:tcBorders>
            <w:vAlign w:val="center"/>
          </w:tcPr>
          <w:p w14:paraId="40CA5D59">
            <w:pPr>
              <w:spacing w:line="240" w:lineRule="auto"/>
              <w:jc w:val="center"/>
              <w:rPr>
                <w:rFonts w:cs="Times New Roman" w:eastAsiaTheme="minorEastAsia"/>
                <w:color w:val="auto"/>
                <w:sz w:val="21"/>
                <w:szCs w:val="21"/>
              </w:rPr>
            </w:pPr>
            <w:r>
              <w:rPr>
                <w:rFonts w:hint="eastAsia" w:cs="Times New Roman" w:eastAsiaTheme="minorEastAsia"/>
                <w:color w:val="auto"/>
                <w:sz w:val="21"/>
                <w:szCs w:val="21"/>
                <w:lang w:val="en-US" w:eastAsia="zh-CN"/>
              </w:rPr>
              <w:t>非甲烷总烃</w:t>
            </w:r>
          </w:p>
        </w:tc>
        <w:tc>
          <w:tcPr>
            <w:tcW w:w="1614" w:type="dxa"/>
            <w:tcBorders>
              <w:tl2br w:val="nil"/>
              <w:tr2bl w:val="nil"/>
            </w:tcBorders>
            <w:vAlign w:val="center"/>
          </w:tcPr>
          <w:p w14:paraId="0E057E8F">
            <w:pPr>
              <w:spacing w:line="240" w:lineRule="auto"/>
              <w:jc w:val="center"/>
              <w:textAlignment w:val="center"/>
              <w:rPr>
                <w:rFonts w:cs="Times New Roman" w:eastAsiaTheme="minorEastAsia"/>
                <w:color w:val="auto"/>
                <w:sz w:val="21"/>
                <w:szCs w:val="21"/>
              </w:rPr>
            </w:pPr>
            <w:r>
              <w:rPr>
                <w:rFonts w:hint="default" w:cs="Times New Roman" w:eastAsiaTheme="minorEastAsia"/>
                <w:color w:val="auto"/>
                <w:sz w:val="21"/>
                <w:szCs w:val="21"/>
                <w:lang w:val="en-US" w:eastAsia="zh-CN"/>
              </w:rPr>
              <w:t>1.760</w:t>
            </w:r>
          </w:p>
        </w:tc>
        <w:tc>
          <w:tcPr>
            <w:tcW w:w="1253" w:type="dxa"/>
            <w:tcBorders>
              <w:tl2br w:val="nil"/>
              <w:tr2bl w:val="nil"/>
            </w:tcBorders>
            <w:vAlign w:val="center"/>
          </w:tcPr>
          <w:p w14:paraId="70B4B7A7">
            <w:pPr>
              <w:spacing w:line="240" w:lineRule="auto"/>
              <w:jc w:val="center"/>
              <w:textAlignment w:val="center"/>
              <w:rPr>
                <w:rFonts w:hint="default" w:cs="Times New Roman" w:eastAsiaTheme="minorEastAsia"/>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0.238</w:t>
            </w:r>
          </w:p>
        </w:tc>
        <w:tc>
          <w:tcPr>
            <w:tcW w:w="1994" w:type="dxa"/>
            <w:tcBorders>
              <w:tl2br w:val="nil"/>
              <w:tr2bl w:val="nil"/>
            </w:tcBorders>
            <w:vAlign w:val="center"/>
          </w:tcPr>
          <w:p w14:paraId="64ACDDCA">
            <w:pPr>
              <w:spacing w:line="240" w:lineRule="auto"/>
              <w:jc w:val="center"/>
              <w:textAlignment w:val="center"/>
              <w:rPr>
                <w:rFonts w:hint="default" w:cs="Times New Roman" w:eastAsiaTheme="minorEastAsia"/>
                <w:color w:val="auto"/>
                <w:kern w:val="2"/>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1.882</w:t>
            </w:r>
          </w:p>
        </w:tc>
      </w:tr>
      <w:tr w14:paraId="68DA6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0" w:type="dxa"/>
            <w:vMerge w:val="continue"/>
            <w:tcBorders>
              <w:tl2br w:val="nil"/>
              <w:tr2bl w:val="nil"/>
            </w:tcBorders>
            <w:vAlign w:val="center"/>
          </w:tcPr>
          <w:p w14:paraId="6554AB1E">
            <w:pPr>
              <w:spacing w:line="240" w:lineRule="auto"/>
              <w:jc w:val="center"/>
              <w:rPr>
                <w:rFonts w:cs="Times New Roman"/>
                <w:color w:val="auto"/>
                <w:sz w:val="21"/>
                <w:szCs w:val="21"/>
              </w:rPr>
            </w:pPr>
          </w:p>
        </w:tc>
        <w:tc>
          <w:tcPr>
            <w:tcW w:w="996" w:type="dxa"/>
            <w:vMerge w:val="continue"/>
            <w:tcBorders>
              <w:tl2br w:val="nil"/>
              <w:tr2bl w:val="nil"/>
            </w:tcBorders>
            <w:vAlign w:val="center"/>
          </w:tcPr>
          <w:p w14:paraId="4FA6D064">
            <w:pPr>
              <w:spacing w:line="240" w:lineRule="auto"/>
              <w:jc w:val="center"/>
              <w:rPr>
                <w:rFonts w:cs="Times New Roman"/>
                <w:color w:val="auto"/>
                <w:sz w:val="21"/>
                <w:szCs w:val="21"/>
              </w:rPr>
            </w:pPr>
          </w:p>
        </w:tc>
        <w:tc>
          <w:tcPr>
            <w:tcW w:w="1551" w:type="dxa"/>
            <w:tcBorders>
              <w:tl2br w:val="nil"/>
              <w:tr2bl w:val="nil"/>
            </w:tcBorders>
            <w:vAlign w:val="center"/>
          </w:tcPr>
          <w:p w14:paraId="4039DDEF">
            <w:pPr>
              <w:spacing w:line="240" w:lineRule="auto"/>
              <w:jc w:val="center"/>
              <w:rPr>
                <w:rFonts w:hint="default" w:eastAsia="宋体" w:cs="Times New Roman"/>
                <w:color w:val="auto"/>
                <w:sz w:val="21"/>
                <w:szCs w:val="21"/>
                <w:lang w:val="en-US" w:eastAsia="zh-CN"/>
              </w:rPr>
            </w:pPr>
            <w:r>
              <w:rPr>
                <w:rFonts w:hint="eastAsia" w:cs="Times New Roman"/>
                <w:color w:val="auto"/>
                <w:sz w:val="21"/>
                <w:szCs w:val="21"/>
                <w:lang w:val="en-US" w:eastAsia="zh-CN"/>
              </w:rPr>
              <w:t>DA008</w:t>
            </w:r>
          </w:p>
        </w:tc>
        <w:tc>
          <w:tcPr>
            <w:tcW w:w="1657" w:type="dxa"/>
            <w:tcBorders>
              <w:tl2br w:val="nil"/>
              <w:tr2bl w:val="nil"/>
            </w:tcBorders>
            <w:vAlign w:val="center"/>
          </w:tcPr>
          <w:p w14:paraId="617C793B">
            <w:pPr>
              <w:spacing w:line="240" w:lineRule="auto"/>
              <w:jc w:val="center"/>
              <w:rPr>
                <w:rFonts w:hint="eastAsia" w:cs="Times New Roman" w:eastAsiaTheme="minorEastAsia"/>
                <w:color w:val="auto"/>
                <w:sz w:val="21"/>
                <w:szCs w:val="21"/>
              </w:rPr>
            </w:pPr>
            <w:r>
              <w:rPr>
                <w:rFonts w:hint="eastAsia" w:cs="Times New Roman" w:eastAsiaTheme="minorEastAsia"/>
                <w:color w:val="auto"/>
                <w:sz w:val="21"/>
                <w:szCs w:val="21"/>
              </w:rPr>
              <w:t>颗粒物</w:t>
            </w:r>
          </w:p>
        </w:tc>
        <w:tc>
          <w:tcPr>
            <w:tcW w:w="1614" w:type="dxa"/>
            <w:tcBorders>
              <w:tl2br w:val="nil"/>
              <w:tr2bl w:val="nil"/>
            </w:tcBorders>
            <w:vAlign w:val="center"/>
          </w:tcPr>
          <w:p w14:paraId="00D9693B">
            <w:pPr>
              <w:spacing w:line="240" w:lineRule="auto"/>
              <w:jc w:val="center"/>
              <w:textAlignment w:val="center"/>
              <w:rPr>
                <w:rFonts w:hint="eastAsia"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6.659</w:t>
            </w:r>
          </w:p>
        </w:tc>
        <w:tc>
          <w:tcPr>
            <w:tcW w:w="1253" w:type="dxa"/>
            <w:tcBorders>
              <w:tl2br w:val="nil"/>
              <w:tr2bl w:val="nil"/>
            </w:tcBorders>
            <w:vAlign w:val="center"/>
          </w:tcPr>
          <w:p w14:paraId="751E6D8F">
            <w:pPr>
              <w:spacing w:line="240" w:lineRule="auto"/>
              <w:jc w:val="center"/>
              <w:textAlignment w:val="center"/>
              <w:rPr>
                <w:rFonts w:hint="eastAsia" w:cs="Times New Roman" w:eastAsiaTheme="minorEastAsia"/>
                <w:color w:val="auto"/>
                <w:sz w:val="21"/>
                <w:szCs w:val="21"/>
                <w:lang w:val="en-US" w:eastAsia="zh-CN"/>
              </w:rPr>
            </w:pPr>
            <w:r>
              <w:rPr>
                <w:rFonts w:hint="default" w:ascii="Times New Roman" w:hAnsi="Times New Roman" w:cs="Times New Roman" w:eastAsiaTheme="minorEastAsia"/>
                <w:color w:val="auto"/>
                <w:sz w:val="21"/>
                <w:szCs w:val="21"/>
                <w:lang w:val="en-US" w:eastAsia="zh-CN"/>
              </w:rPr>
              <w:t>0.166</w:t>
            </w:r>
          </w:p>
        </w:tc>
        <w:tc>
          <w:tcPr>
            <w:tcW w:w="1994" w:type="dxa"/>
            <w:tcBorders>
              <w:tl2br w:val="nil"/>
              <w:tr2bl w:val="nil"/>
            </w:tcBorders>
            <w:vAlign w:val="center"/>
          </w:tcPr>
          <w:p w14:paraId="6DA1EF56">
            <w:pPr>
              <w:spacing w:line="240" w:lineRule="auto"/>
              <w:jc w:val="center"/>
              <w:textAlignment w:val="center"/>
              <w:rPr>
                <w:rFonts w:hint="eastAsia" w:cs="Times New Roman" w:eastAsiaTheme="minorEastAsia"/>
                <w:color w:val="auto"/>
                <w:kern w:val="2"/>
                <w:sz w:val="21"/>
                <w:szCs w:val="21"/>
                <w:lang w:val="en-US" w:eastAsia="zh-CN"/>
              </w:rPr>
            </w:pPr>
            <w:r>
              <w:rPr>
                <w:rFonts w:hint="eastAsia" w:cs="Times New Roman" w:eastAsiaTheme="minorEastAsia"/>
                <w:color w:val="auto"/>
                <w:kern w:val="2"/>
                <w:sz w:val="21"/>
                <w:szCs w:val="21"/>
                <w:lang w:val="en-US" w:eastAsia="zh-CN"/>
              </w:rPr>
              <w:t>1.319</w:t>
            </w:r>
          </w:p>
        </w:tc>
      </w:tr>
      <w:tr w14:paraId="0AC64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0" w:type="dxa"/>
            <w:vMerge w:val="continue"/>
            <w:tcBorders>
              <w:tl2br w:val="nil"/>
              <w:tr2bl w:val="nil"/>
            </w:tcBorders>
            <w:vAlign w:val="center"/>
          </w:tcPr>
          <w:p w14:paraId="73CDBF2C">
            <w:pPr>
              <w:spacing w:line="240" w:lineRule="auto"/>
              <w:jc w:val="center"/>
              <w:rPr>
                <w:rFonts w:cs="Times New Roman"/>
                <w:color w:val="auto"/>
                <w:sz w:val="21"/>
                <w:szCs w:val="21"/>
              </w:rPr>
            </w:pPr>
          </w:p>
        </w:tc>
        <w:tc>
          <w:tcPr>
            <w:tcW w:w="996" w:type="dxa"/>
            <w:vMerge w:val="continue"/>
            <w:tcBorders>
              <w:tl2br w:val="nil"/>
              <w:tr2bl w:val="nil"/>
            </w:tcBorders>
            <w:vAlign w:val="center"/>
          </w:tcPr>
          <w:p w14:paraId="131E5E80">
            <w:pPr>
              <w:spacing w:line="240" w:lineRule="auto"/>
              <w:jc w:val="center"/>
              <w:rPr>
                <w:rFonts w:cs="Times New Roman"/>
                <w:color w:val="auto"/>
                <w:sz w:val="21"/>
                <w:szCs w:val="21"/>
              </w:rPr>
            </w:pPr>
          </w:p>
        </w:tc>
        <w:tc>
          <w:tcPr>
            <w:tcW w:w="1551" w:type="dxa"/>
            <w:tcBorders>
              <w:tl2br w:val="nil"/>
              <w:tr2bl w:val="nil"/>
            </w:tcBorders>
            <w:vAlign w:val="center"/>
          </w:tcPr>
          <w:p w14:paraId="233E13C6">
            <w:pPr>
              <w:spacing w:line="240" w:lineRule="auto"/>
              <w:jc w:val="center"/>
              <w:rPr>
                <w:rFonts w:hint="default" w:eastAsia="宋体" w:cs="Times New Roman"/>
                <w:color w:val="auto"/>
                <w:sz w:val="21"/>
                <w:szCs w:val="21"/>
                <w:lang w:val="en-US" w:eastAsia="zh-CN"/>
              </w:rPr>
            </w:pPr>
            <w:r>
              <w:rPr>
                <w:rFonts w:hint="eastAsia" w:cs="Times New Roman"/>
                <w:color w:val="auto"/>
                <w:sz w:val="21"/>
                <w:szCs w:val="21"/>
                <w:lang w:val="en-US" w:eastAsia="zh-CN"/>
              </w:rPr>
              <w:t>DA023</w:t>
            </w:r>
          </w:p>
        </w:tc>
        <w:tc>
          <w:tcPr>
            <w:tcW w:w="1657" w:type="dxa"/>
            <w:tcBorders>
              <w:tl2br w:val="nil"/>
              <w:tr2bl w:val="nil"/>
            </w:tcBorders>
            <w:vAlign w:val="center"/>
          </w:tcPr>
          <w:p w14:paraId="1671D214">
            <w:pPr>
              <w:spacing w:line="240" w:lineRule="auto"/>
              <w:jc w:val="center"/>
              <w:rPr>
                <w:rFonts w:hint="eastAsia" w:cs="Times New Roman" w:eastAsiaTheme="minorEastAsia"/>
                <w:color w:val="auto"/>
                <w:sz w:val="21"/>
                <w:szCs w:val="21"/>
              </w:rPr>
            </w:pPr>
            <w:r>
              <w:rPr>
                <w:rFonts w:hint="eastAsia" w:cs="Times New Roman" w:eastAsiaTheme="minorEastAsia"/>
                <w:color w:val="auto"/>
                <w:sz w:val="21"/>
                <w:szCs w:val="21"/>
                <w:lang w:val="en-US" w:eastAsia="zh-CN"/>
              </w:rPr>
              <w:t>非甲烷总烃</w:t>
            </w:r>
          </w:p>
        </w:tc>
        <w:tc>
          <w:tcPr>
            <w:tcW w:w="1614" w:type="dxa"/>
            <w:tcBorders>
              <w:tl2br w:val="nil"/>
              <w:tr2bl w:val="nil"/>
            </w:tcBorders>
            <w:vAlign w:val="center"/>
          </w:tcPr>
          <w:p w14:paraId="778EF19C">
            <w:pPr>
              <w:spacing w:line="240" w:lineRule="auto"/>
              <w:jc w:val="center"/>
              <w:textAlignment w:val="center"/>
              <w:rPr>
                <w:rFonts w:hint="eastAsia" w:cs="Times New Roman" w:eastAsiaTheme="minorEastAsia"/>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1.841</w:t>
            </w:r>
          </w:p>
        </w:tc>
        <w:tc>
          <w:tcPr>
            <w:tcW w:w="1253" w:type="dxa"/>
            <w:tcBorders>
              <w:tl2br w:val="nil"/>
              <w:tr2bl w:val="nil"/>
            </w:tcBorders>
            <w:vAlign w:val="center"/>
          </w:tcPr>
          <w:p w14:paraId="51F3C1D2">
            <w:pPr>
              <w:spacing w:line="240" w:lineRule="auto"/>
              <w:jc w:val="center"/>
              <w:textAlignment w:val="center"/>
              <w:rPr>
                <w:rFonts w:hint="eastAsia" w:cs="Times New Roman" w:eastAsiaTheme="minorEastAsia"/>
                <w:color w:val="auto"/>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0.267</w:t>
            </w:r>
          </w:p>
        </w:tc>
        <w:tc>
          <w:tcPr>
            <w:tcW w:w="1994" w:type="dxa"/>
            <w:tcBorders>
              <w:tl2br w:val="nil"/>
              <w:tr2bl w:val="nil"/>
            </w:tcBorders>
            <w:vAlign w:val="center"/>
          </w:tcPr>
          <w:p w14:paraId="2E18965A">
            <w:pPr>
              <w:spacing w:line="240" w:lineRule="auto"/>
              <w:jc w:val="center"/>
              <w:textAlignment w:val="center"/>
              <w:rPr>
                <w:rFonts w:hint="eastAsia" w:cs="Times New Roman" w:eastAsiaTheme="minorEastAsia"/>
                <w:color w:val="auto"/>
                <w:kern w:val="2"/>
                <w:sz w:val="21"/>
                <w:szCs w:val="21"/>
                <w:lang w:val="en-US" w:eastAsia="zh-CN"/>
              </w:rPr>
            </w:pPr>
            <w:r>
              <w:rPr>
                <w:rFonts w:hint="default" w:ascii="Times New Roman" w:hAnsi="Times New Roman" w:eastAsia="宋体" w:cs="Times New Roman"/>
                <w:i w:val="0"/>
                <w:iCs w:val="0"/>
                <w:color w:val="000000"/>
                <w:kern w:val="0"/>
                <w:sz w:val="21"/>
                <w:szCs w:val="21"/>
                <w:u w:val="none"/>
                <w:lang w:val="en-US" w:eastAsia="zh-CN" w:bidi="ar"/>
              </w:rPr>
              <w:t>2.115</w:t>
            </w:r>
          </w:p>
        </w:tc>
      </w:tr>
      <w:tr w14:paraId="692F2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0" w:type="dxa"/>
            <w:vMerge w:val="continue"/>
            <w:tcBorders>
              <w:tl2br w:val="nil"/>
              <w:tr2bl w:val="nil"/>
            </w:tcBorders>
            <w:vAlign w:val="center"/>
          </w:tcPr>
          <w:p w14:paraId="511B408E">
            <w:pPr>
              <w:spacing w:line="240" w:lineRule="auto"/>
              <w:jc w:val="center"/>
              <w:rPr>
                <w:rFonts w:cs="Times New Roman"/>
                <w:color w:val="auto"/>
                <w:sz w:val="21"/>
                <w:szCs w:val="21"/>
              </w:rPr>
            </w:pPr>
          </w:p>
        </w:tc>
        <w:tc>
          <w:tcPr>
            <w:tcW w:w="996" w:type="dxa"/>
            <w:vMerge w:val="continue"/>
            <w:tcBorders>
              <w:tl2br w:val="nil"/>
              <w:tr2bl w:val="nil"/>
            </w:tcBorders>
            <w:vAlign w:val="center"/>
          </w:tcPr>
          <w:p w14:paraId="015A4791">
            <w:pPr>
              <w:spacing w:line="240" w:lineRule="auto"/>
              <w:jc w:val="center"/>
              <w:rPr>
                <w:rFonts w:cs="Times New Roman"/>
                <w:color w:val="auto"/>
                <w:sz w:val="21"/>
                <w:szCs w:val="21"/>
              </w:rPr>
            </w:pPr>
          </w:p>
        </w:tc>
        <w:tc>
          <w:tcPr>
            <w:tcW w:w="1551" w:type="dxa"/>
            <w:vMerge w:val="restart"/>
            <w:tcBorders>
              <w:tl2br w:val="nil"/>
              <w:tr2bl w:val="nil"/>
            </w:tcBorders>
            <w:vAlign w:val="center"/>
          </w:tcPr>
          <w:p w14:paraId="187D0839">
            <w:pPr>
              <w:spacing w:line="240" w:lineRule="auto"/>
              <w:jc w:val="center"/>
              <w:rPr>
                <w:rFonts w:cs="Times New Roman"/>
                <w:color w:val="auto"/>
                <w:sz w:val="21"/>
                <w:szCs w:val="21"/>
              </w:rPr>
            </w:pPr>
            <w:r>
              <w:rPr>
                <w:rFonts w:hint="eastAsia" w:cs="Times New Roman"/>
                <w:color w:val="auto"/>
                <w:sz w:val="21"/>
                <w:szCs w:val="21"/>
                <w:lang w:val="en-US" w:eastAsia="zh-CN"/>
              </w:rPr>
              <w:t>一般排放口</w:t>
            </w:r>
            <w:r>
              <w:rPr>
                <w:rFonts w:cs="Times New Roman"/>
                <w:color w:val="auto"/>
                <w:sz w:val="21"/>
                <w:szCs w:val="21"/>
              </w:rPr>
              <w:t>合计</w:t>
            </w:r>
          </w:p>
        </w:tc>
        <w:tc>
          <w:tcPr>
            <w:tcW w:w="4524" w:type="dxa"/>
            <w:gridSpan w:val="3"/>
            <w:tcBorders>
              <w:tl2br w:val="nil"/>
              <w:tr2bl w:val="nil"/>
            </w:tcBorders>
            <w:shd w:val="clear" w:color="auto" w:fill="auto"/>
            <w:vAlign w:val="center"/>
          </w:tcPr>
          <w:p w14:paraId="4BB9B087">
            <w:pPr>
              <w:spacing w:line="240" w:lineRule="auto"/>
              <w:jc w:val="center"/>
              <w:textAlignment w:val="center"/>
              <w:rPr>
                <w:rFonts w:hint="default" w:ascii="Times New Roman" w:hAnsi="Times New Roman" w:cs="Times New Roman" w:eastAsiaTheme="minorEastAsia"/>
                <w:color w:val="auto"/>
                <w:sz w:val="21"/>
                <w:szCs w:val="21"/>
                <w:lang w:val="en-US" w:eastAsia="zh-CN" w:bidi="ar-SA"/>
              </w:rPr>
            </w:pPr>
            <w:r>
              <w:rPr>
                <w:rFonts w:hint="eastAsia" w:cs="Times New Roman" w:eastAsiaTheme="minorEastAsia"/>
                <w:color w:val="auto"/>
                <w:sz w:val="21"/>
                <w:szCs w:val="21"/>
              </w:rPr>
              <w:t>颗粒物</w:t>
            </w:r>
          </w:p>
        </w:tc>
        <w:tc>
          <w:tcPr>
            <w:tcW w:w="1994" w:type="dxa"/>
            <w:tcBorders>
              <w:tl2br w:val="nil"/>
              <w:tr2bl w:val="nil"/>
            </w:tcBorders>
            <w:shd w:val="clear" w:color="auto" w:fill="auto"/>
            <w:vAlign w:val="center"/>
          </w:tcPr>
          <w:p w14:paraId="78234D40">
            <w:pPr>
              <w:spacing w:line="240" w:lineRule="auto"/>
              <w:jc w:val="center"/>
              <w:textAlignment w:val="center"/>
              <w:rPr>
                <w:rFonts w:hint="default" w:ascii="Times New Roman" w:hAnsi="Times New Roman" w:cs="Times New Roman" w:eastAsiaTheme="minorEastAsia"/>
                <w:color w:val="auto"/>
                <w:kern w:val="2"/>
                <w:sz w:val="21"/>
                <w:szCs w:val="21"/>
                <w:lang w:val="en-US" w:eastAsia="zh-CN" w:bidi="ar-SA"/>
              </w:rPr>
            </w:pPr>
            <w:r>
              <w:rPr>
                <w:rFonts w:hint="eastAsia" w:cs="Times New Roman" w:eastAsiaTheme="minorEastAsia"/>
                <w:color w:val="auto"/>
                <w:kern w:val="2"/>
                <w:sz w:val="21"/>
                <w:szCs w:val="21"/>
                <w:lang w:val="en-US" w:eastAsia="zh-CN"/>
              </w:rPr>
              <w:t>1.319</w:t>
            </w:r>
          </w:p>
        </w:tc>
      </w:tr>
      <w:tr w14:paraId="5069EE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0" w:type="dxa"/>
            <w:vMerge w:val="continue"/>
            <w:tcBorders>
              <w:tl2br w:val="nil"/>
              <w:tr2bl w:val="nil"/>
            </w:tcBorders>
            <w:vAlign w:val="center"/>
          </w:tcPr>
          <w:p w14:paraId="20206DA0">
            <w:pPr>
              <w:spacing w:line="240" w:lineRule="auto"/>
              <w:jc w:val="center"/>
              <w:rPr>
                <w:rFonts w:cs="Times New Roman"/>
                <w:color w:val="auto"/>
                <w:sz w:val="21"/>
                <w:szCs w:val="21"/>
              </w:rPr>
            </w:pPr>
          </w:p>
        </w:tc>
        <w:tc>
          <w:tcPr>
            <w:tcW w:w="996" w:type="dxa"/>
            <w:vMerge w:val="continue"/>
            <w:tcBorders>
              <w:tl2br w:val="nil"/>
              <w:tr2bl w:val="nil"/>
            </w:tcBorders>
            <w:vAlign w:val="center"/>
          </w:tcPr>
          <w:p w14:paraId="127580D5">
            <w:pPr>
              <w:spacing w:line="240" w:lineRule="auto"/>
              <w:jc w:val="center"/>
              <w:rPr>
                <w:rFonts w:cs="Times New Roman"/>
                <w:color w:val="auto"/>
                <w:sz w:val="21"/>
                <w:szCs w:val="21"/>
              </w:rPr>
            </w:pPr>
          </w:p>
        </w:tc>
        <w:tc>
          <w:tcPr>
            <w:tcW w:w="1551" w:type="dxa"/>
            <w:vMerge w:val="continue"/>
            <w:tcBorders>
              <w:tl2br w:val="nil"/>
              <w:tr2bl w:val="nil"/>
            </w:tcBorders>
            <w:vAlign w:val="center"/>
          </w:tcPr>
          <w:p w14:paraId="3A7CD22B">
            <w:pPr>
              <w:spacing w:line="240" w:lineRule="auto"/>
              <w:jc w:val="center"/>
              <w:rPr>
                <w:rFonts w:cs="Times New Roman"/>
                <w:color w:val="auto"/>
                <w:sz w:val="21"/>
                <w:szCs w:val="21"/>
              </w:rPr>
            </w:pPr>
          </w:p>
        </w:tc>
        <w:tc>
          <w:tcPr>
            <w:tcW w:w="4524" w:type="dxa"/>
            <w:gridSpan w:val="3"/>
            <w:tcBorders>
              <w:tl2br w:val="nil"/>
              <w:tr2bl w:val="nil"/>
            </w:tcBorders>
            <w:shd w:val="clear" w:color="auto" w:fill="auto"/>
            <w:vAlign w:val="center"/>
          </w:tcPr>
          <w:p w14:paraId="47C0FF10">
            <w:pPr>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eastAsia" w:cs="Times New Roman" w:eastAsiaTheme="minorEastAsia"/>
                <w:color w:val="auto"/>
                <w:sz w:val="21"/>
                <w:szCs w:val="21"/>
                <w:lang w:val="en-US" w:eastAsia="zh-CN"/>
              </w:rPr>
              <w:t>非甲烷总烃</w:t>
            </w:r>
          </w:p>
        </w:tc>
        <w:tc>
          <w:tcPr>
            <w:tcW w:w="1994" w:type="dxa"/>
            <w:tcBorders>
              <w:tl2br w:val="nil"/>
              <w:tr2bl w:val="nil"/>
            </w:tcBorders>
            <w:shd w:val="clear" w:color="auto" w:fill="auto"/>
            <w:vAlign w:val="center"/>
          </w:tcPr>
          <w:p w14:paraId="4FCF0787">
            <w:pPr>
              <w:spacing w:line="240" w:lineRule="auto"/>
              <w:jc w:val="center"/>
              <w:textAlignment w:val="center"/>
              <w:rPr>
                <w:rFonts w:hint="default"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bidi="ar-SA"/>
              </w:rPr>
              <w:t>3.997</w:t>
            </w:r>
          </w:p>
        </w:tc>
      </w:tr>
      <w:tr w14:paraId="3B594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0" w:type="dxa"/>
            <w:vMerge w:val="continue"/>
            <w:tcBorders>
              <w:tl2br w:val="nil"/>
              <w:tr2bl w:val="nil"/>
            </w:tcBorders>
            <w:vAlign w:val="center"/>
          </w:tcPr>
          <w:p w14:paraId="2E16CB54">
            <w:pPr>
              <w:spacing w:line="240" w:lineRule="auto"/>
              <w:jc w:val="center"/>
              <w:rPr>
                <w:rFonts w:cs="Times New Roman"/>
                <w:color w:val="auto"/>
                <w:sz w:val="21"/>
                <w:szCs w:val="21"/>
              </w:rPr>
            </w:pPr>
          </w:p>
        </w:tc>
        <w:tc>
          <w:tcPr>
            <w:tcW w:w="996" w:type="dxa"/>
            <w:vMerge w:val="restart"/>
            <w:tcBorders>
              <w:tl2br w:val="nil"/>
              <w:tr2bl w:val="nil"/>
            </w:tcBorders>
            <w:vAlign w:val="center"/>
          </w:tcPr>
          <w:p w14:paraId="160584BD">
            <w:pPr>
              <w:spacing w:line="240" w:lineRule="auto"/>
              <w:jc w:val="center"/>
              <w:rPr>
                <w:rFonts w:cs="Times New Roman"/>
                <w:color w:val="auto"/>
                <w:sz w:val="21"/>
                <w:szCs w:val="21"/>
              </w:rPr>
            </w:pPr>
            <w:r>
              <w:rPr>
                <w:rFonts w:cs="Times New Roman"/>
                <w:color w:val="auto"/>
                <w:sz w:val="21"/>
                <w:szCs w:val="21"/>
              </w:rPr>
              <w:t>无组织</w:t>
            </w:r>
          </w:p>
        </w:tc>
        <w:tc>
          <w:tcPr>
            <w:tcW w:w="3208" w:type="dxa"/>
            <w:gridSpan w:val="2"/>
            <w:tcBorders>
              <w:tl2br w:val="nil"/>
              <w:tr2bl w:val="nil"/>
            </w:tcBorders>
            <w:vAlign w:val="center"/>
          </w:tcPr>
          <w:p w14:paraId="7BD78764">
            <w:pPr>
              <w:spacing w:line="240" w:lineRule="auto"/>
              <w:jc w:val="center"/>
              <w:rPr>
                <w:rFonts w:cs="Times New Roman"/>
                <w:color w:val="auto"/>
                <w:sz w:val="21"/>
                <w:szCs w:val="21"/>
              </w:rPr>
            </w:pPr>
            <w:r>
              <w:rPr>
                <w:rFonts w:hint="eastAsia" w:cs="Times New Roman"/>
                <w:color w:val="auto"/>
                <w:sz w:val="21"/>
                <w:szCs w:val="21"/>
              </w:rPr>
              <w:t>颗粒物</w:t>
            </w:r>
          </w:p>
        </w:tc>
        <w:tc>
          <w:tcPr>
            <w:tcW w:w="1614" w:type="dxa"/>
            <w:tcBorders>
              <w:tl2br w:val="nil"/>
              <w:tr2bl w:val="nil"/>
            </w:tcBorders>
            <w:vAlign w:val="center"/>
          </w:tcPr>
          <w:p w14:paraId="4789FC47">
            <w:pPr>
              <w:spacing w:line="240" w:lineRule="auto"/>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w:t>
            </w:r>
          </w:p>
        </w:tc>
        <w:tc>
          <w:tcPr>
            <w:tcW w:w="1253" w:type="dxa"/>
            <w:tcBorders>
              <w:tl2br w:val="nil"/>
              <w:tr2bl w:val="nil"/>
            </w:tcBorders>
            <w:vAlign w:val="center"/>
          </w:tcPr>
          <w:p w14:paraId="44CB71A7">
            <w:pPr>
              <w:spacing w:line="240" w:lineRule="auto"/>
              <w:jc w:val="center"/>
              <w:rPr>
                <w:rFonts w:hint="default" w:eastAsia="宋体" w:cs="Times New Roman"/>
                <w:color w:val="auto"/>
                <w:sz w:val="21"/>
                <w:szCs w:val="21"/>
                <w:lang w:val="en-US" w:eastAsia="zh-CN"/>
              </w:rPr>
            </w:pPr>
            <w:r>
              <w:rPr>
                <w:rFonts w:hint="eastAsia" w:eastAsia="宋体" w:cs="Times New Roman"/>
                <w:color w:val="auto"/>
                <w:sz w:val="21"/>
                <w:szCs w:val="21"/>
                <w:lang w:val="en-US" w:eastAsia="zh-CN"/>
              </w:rPr>
              <w:t>0.0055</w:t>
            </w:r>
          </w:p>
        </w:tc>
        <w:tc>
          <w:tcPr>
            <w:tcW w:w="1994" w:type="dxa"/>
            <w:tcBorders>
              <w:tl2br w:val="nil"/>
              <w:tr2bl w:val="nil"/>
            </w:tcBorders>
            <w:vAlign w:val="center"/>
          </w:tcPr>
          <w:p w14:paraId="5E718517">
            <w:pPr>
              <w:spacing w:line="240" w:lineRule="auto"/>
              <w:jc w:val="center"/>
              <w:rPr>
                <w:rFonts w:hint="default" w:eastAsia="宋体" w:cs="Times New Roman"/>
                <w:color w:val="auto"/>
                <w:sz w:val="21"/>
                <w:szCs w:val="21"/>
                <w:lang w:val="en-US" w:eastAsia="zh-CN"/>
              </w:rPr>
            </w:pPr>
            <w:r>
              <w:rPr>
                <w:rFonts w:hint="eastAsia" w:cs="Times New Roman"/>
                <w:color w:val="auto"/>
                <w:sz w:val="21"/>
                <w:szCs w:val="21"/>
                <w:lang w:val="en-US" w:eastAsia="zh-CN"/>
              </w:rPr>
              <w:t>0.02</w:t>
            </w:r>
          </w:p>
        </w:tc>
      </w:tr>
      <w:tr w14:paraId="7C60C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0" w:type="dxa"/>
            <w:vMerge w:val="continue"/>
            <w:tcBorders>
              <w:tl2br w:val="nil"/>
              <w:tr2bl w:val="nil"/>
            </w:tcBorders>
            <w:vAlign w:val="center"/>
          </w:tcPr>
          <w:p w14:paraId="6F9C8414">
            <w:pPr>
              <w:spacing w:line="240" w:lineRule="auto"/>
              <w:jc w:val="center"/>
              <w:rPr>
                <w:rFonts w:cs="Times New Roman"/>
                <w:color w:val="auto"/>
                <w:sz w:val="21"/>
                <w:szCs w:val="21"/>
              </w:rPr>
            </w:pPr>
          </w:p>
        </w:tc>
        <w:tc>
          <w:tcPr>
            <w:tcW w:w="996" w:type="dxa"/>
            <w:vMerge w:val="continue"/>
            <w:tcBorders>
              <w:tl2br w:val="nil"/>
              <w:tr2bl w:val="nil"/>
            </w:tcBorders>
            <w:vAlign w:val="center"/>
          </w:tcPr>
          <w:p w14:paraId="6F491CD6">
            <w:pPr>
              <w:spacing w:line="240" w:lineRule="auto"/>
              <w:jc w:val="center"/>
              <w:rPr>
                <w:rFonts w:cs="Times New Roman"/>
                <w:color w:val="auto"/>
                <w:sz w:val="21"/>
                <w:szCs w:val="21"/>
              </w:rPr>
            </w:pPr>
          </w:p>
        </w:tc>
        <w:tc>
          <w:tcPr>
            <w:tcW w:w="3208" w:type="dxa"/>
            <w:gridSpan w:val="2"/>
            <w:tcBorders>
              <w:tl2br w:val="nil"/>
              <w:tr2bl w:val="nil"/>
            </w:tcBorders>
            <w:shd w:val="clear" w:color="auto" w:fill="auto"/>
            <w:vAlign w:val="center"/>
          </w:tcPr>
          <w:p w14:paraId="55C6BD6E">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cs="Times New Roman" w:eastAsiaTheme="minorEastAsia"/>
                <w:color w:val="auto"/>
                <w:sz w:val="21"/>
                <w:szCs w:val="21"/>
                <w:lang w:val="en-US" w:eastAsia="zh-CN"/>
              </w:rPr>
              <w:t>非甲烷总烃</w:t>
            </w:r>
          </w:p>
        </w:tc>
        <w:tc>
          <w:tcPr>
            <w:tcW w:w="1614" w:type="dxa"/>
            <w:tcBorders>
              <w:tl2br w:val="nil"/>
              <w:tr2bl w:val="nil"/>
            </w:tcBorders>
            <w:shd w:val="clear" w:color="auto" w:fill="auto"/>
            <w:vAlign w:val="center"/>
          </w:tcPr>
          <w:p w14:paraId="3B1B9CF7">
            <w:pPr>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eastAsia" w:eastAsia="宋体" w:cs="Times New Roman"/>
                <w:color w:val="auto"/>
                <w:sz w:val="21"/>
                <w:szCs w:val="21"/>
                <w:lang w:val="en-US" w:eastAsia="zh-CN"/>
              </w:rPr>
              <w:t>/</w:t>
            </w:r>
          </w:p>
        </w:tc>
        <w:tc>
          <w:tcPr>
            <w:tcW w:w="1253" w:type="dxa"/>
            <w:tcBorders>
              <w:tl2br w:val="nil"/>
              <w:tr2bl w:val="nil"/>
            </w:tcBorders>
            <w:vAlign w:val="center"/>
          </w:tcPr>
          <w:p w14:paraId="52FE8A62">
            <w:pPr>
              <w:spacing w:line="240" w:lineRule="auto"/>
              <w:jc w:val="center"/>
              <w:rPr>
                <w:rFonts w:hint="eastAsia" w:cs="Times New Roman"/>
                <w:color w:val="auto"/>
                <w:sz w:val="21"/>
                <w:szCs w:val="21"/>
                <w:lang w:val="en-US" w:eastAsia="zh-CN"/>
              </w:rPr>
            </w:pPr>
            <w:r>
              <w:rPr>
                <w:rFonts w:hint="eastAsia" w:ascii="Times New Roman" w:hAnsi="Times New Roman" w:cs="Times New Roman"/>
                <w:color w:val="auto"/>
                <w:sz w:val="21"/>
                <w:szCs w:val="21"/>
                <w:lang w:val="en-US" w:eastAsia="zh-CN" w:bidi="ar-SA"/>
              </w:rPr>
              <w:t>0.206</w:t>
            </w:r>
          </w:p>
        </w:tc>
        <w:tc>
          <w:tcPr>
            <w:tcW w:w="1994" w:type="dxa"/>
            <w:tcBorders>
              <w:tl2br w:val="nil"/>
              <w:tr2bl w:val="nil"/>
            </w:tcBorders>
            <w:shd w:val="clear" w:color="auto" w:fill="auto"/>
            <w:vAlign w:val="center"/>
          </w:tcPr>
          <w:p w14:paraId="1CFD2C23">
            <w:pPr>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bidi="ar-SA"/>
              </w:rPr>
              <w:t>1.631</w:t>
            </w:r>
          </w:p>
        </w:tc>
      </w:tr>
    </w:tbl>
    <w:p w14:paraId="0BDFDC5B">
      <w:pPr>
        <w:bidi w:val="0"/>
        <w:rPr>
          <w:rFonts w:hint="default"/>
          <w:b/>
          <w:bCs/>
          <w:lang w:val="en-US" w:eastAsia="zh-CN"/>
        </w:rPr>
      </w:pPr>
      <w:r>
        <w:rPr>
          <w:rFonts w:hint="eastAsia"/>
          <w:b/>
          <w:bCs/>
          <w:lang w:val="en-US" w:eastAsia="zh-CN"/>
        </w:rPr>
        <w:t>6.2.1.5 大气环境防护距离</w:t>
      </w:r>
    </w:p>
    <w:p w14:paraId="5BF99A14">
      <w:pPr>
        <w:bidi w:val="0"/>
        <w:ind w:firstLine="480" w:firstLineChars="200"/>
        <w:rPr>
          <w:rFonts w:hint="default"/>
          <w:lang w:val="en-US" w:eastAsia="zh-CN"/>
        </w:rPr>
      </w:pPr>
      <w:r>
        <w:rPr>
          <w:rFonts w:hint="default"/>
          <w:lang w:val="en-US" w:eastAsia="zh-CN"/>
        </w:rPr>
        <w:t>根据预测结果厂界外均无超标点，不需设置大气环境防护距离。根据环境风险预测结果，出现毒性终点浓度1最大影响距离为下风向</w:t>
      </w:r>
      <w:r>
        <w:rPr>
          <w:rFonts w:hint="eastAsia"/>
          <w:lang w:val="en-US" w:eastAsia="zh-CN"/>
        </w:rPr>
        <w:t>12</w:t>
      </w:r>
      <w:r>
        <w:rPr>
          <w:rFonts w:hint="default"/>
          <w:lang w:val="en-US" w:eastAsia="zh-CN"/>
        </w:rPr>
        <w:t>0m。综合厂区现有工程考虑，本项目仍保留现有工程设置的以厂界为边界1</w:t>
      </w:r>
      <w:r>
        <w:rPr>
          <w:rFonts w:hint="eastAsia"/>
          <w:lang w:val="en-US" w:eastAsia="zh-CN"/>
        </w:rPr>
        <w:t>50</w:t>
      </w:r>
      <w:r>
        <w:rPr>
          <w:rFonts w:hint="default"/>
          <w:lang w:val="en-US" w:eastAsia="zh-CN"/>
        </w:rPr>
        <w:t>m的环境防护距离，</w:t>
      </w:r>
      <w:r>
        <w:rPr>
          <w:rFonts w:hint="eastAsia"/>
          <w:lang w:val="en-US" w:eastAsia="zh-CN"/>
        </w:rPr>
        <w:t>目前</w:t>
      </w:r>
      <w:r>
        <w:rPr>
          <w:rFonts w:hint="default"/>
          <w:lang w:val="en-US" w:eastAsia="zh-CN"/>
        </w:rPr>
        <w:t>环境防护距离范围内不存在居民、学校、医院等环境敏感目标，且今后也不得在环境防护距离内建设居民区、学校、医院等敏感目标。</w:t>
      </w:r>
    </w:p>
    <w:p w14:paraId="721FC0AA">
      <w:pPr>
        <w:bidi w:val="0"/>
        <w:rPr>
          <w:rFonts w:hint="default"/>
          <w:lang w:val="en-US" w:eastAsia="zh-CN"/>
        </w:rPr>
      </w:pPr>
      <w:r>
        <w:drawing>
          <wp:inline distT="0" distB="0" distL="114300" distR="114300">
            <wp:extent cx="5935345" cy="3708400"/>
            <wp:effectExtent l="0" t="0" r="8255"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1"/>
                    <a:stretch>
                      <a:fillRect/>
                    </a:stretch>
                  </pic:blipFill>
                  <pic:spPr>
                    <a:xfrm>
                      <a:off x="0" y="0"/>
                      <a:ext cx="5935345" cy="3708400"/>
                    </a:xfrm>
                    <a:prstGeom prst="rect">
                      <a:avLst/>
                    </a:prstGeom>
                    <a:noFill/>
                    <a:ln>
                      <a:noFill/>
                    </a:ln>
                  </pic:spPr>
                </pic:pic>
              </a:graphicData>
            </a:graphic>
          </wp:inline>
        </w:drawing>
      </w:r>
    </w:p>
    <w:p w14:paraId="291FA178">
      <w:pPr>
        <w:bidi w:val="0"/>
        <w:jc w:val="center"/>
        <w:rPr>
          <w:rFonts w:hint="eastAsia"/>
          <w:b/>
          <w:bCs/>
          <w:lang w:val="en-US" w:eastAsia="zh-CN"/>
        </w:rPr>
      </w:pPr>
      <w:r>
        <w:rPr>
          <w:rFonts w:hint="eastAsia"/>
          <w:b/>
          <w:bCs/>
          <w:lang w:val="en-US" w:eastAsia="zh-CN"/>
        </w:rPr>
        <w:t>图6.2.1-1 项目环境防护距离包络线图</w:t>
      </w:r>
    </w:p>
    <w:p w14:paraId="72E8F07B">
      <w:pPr>
        <w:bidi w:val="0"/>
        <w:rPr>
          <w:rFonts w:hint="eastAsia"/>
          <w:b/>
          <w:bCs/>
        </w:rPr>
      </w:pPr>
      <w:r>
        <w:rPr>
          <w:rFonts w:hint="eastAsia"/>
          <w:b/>
          <w:bCs/>
          <w:lang w:val="en-US" w:eastAsia="zh-CN"/>
        </w:rPr>
        <w:t xml:space="preserve">6.2.1.6 </w:t>
      </w:r>
      <w:r>
        <w:rPr>
          <w:rFonts w:hint="eastAsia"/>
          <w:b/>
          <w:bCs/>
        </w:rPr>
        <w:t>项目大气环境影响评价自查表</w:t>
      </w:r>
    </w:p>
    <w:p w14:paraId="73AB2FA1">
      <w:pPr>
        <w:jc w:val="center"/>
        <w:rPr>
          <w:b/>
          <w:bCs/>
          <w:color w:val="auto"/>
        </w:rPr>
      </w:pPr>
      <w:r>
        <w:rPr>
          <w:rFonts w:hint="eastAsia"/>
          <w:b/>
          <w:bCs/>
          <w:color w:val="auto"/>
        </w:rPr>
        <w:t>表</w:t>
      </w:r>
      <w:r>
        <w:rPr>
          <w:b/>
          <w:bCs/>
          <w:color w:val="auto"/>
        </w:rPr>
        <w:t>6.</w:t>
      </w:r>
      <w:r>
        <w:rPr>
          <w:rFonts w:hint="eastAsia"/>
          <w:b/>
          <w:bCs/>
          <w:color w:val="auto"/>
          <w:lang w:val="en-US" w:eastAsia="zh-CN"/>
        </w:rPr>
        <w:t>2.1-9</w:t>
      </w:r>
      <w:r>
        <w:rPr>
          <w:b/>
          <w:bCs/>
          <w:color w:val="auto"/>
        </w:rPr>
        <w:t xml:space="preserve"> </w:t>
      </w:r>
      <w:r>
        <w:rPr>
          <w:rFonts w:hint="eastAsia"/>
          <w:b/>
          <w:bCs/>
          <w:color w:val="auto"/>
        </w:rPr>
        <w:t>建设项目大气环境影响评价自查表</w:t>
      </w:r>
    </w:p>
    <w:tbl>
      <w:tblPr>
        <w:tblStyle w:val="17"/>
        <w:tblW w:w="94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43"/>
        <w:gridCol w:w="1305"/>
        <w:gridCol w:w="1053"/>
        <w:gridCol w:w="47"/>
        <w:gridCol w:w="173"/>
        <w:gridCol w:w="311"/>
        <w:gridCol w:w="173"/>
        <w:gridCol w:w="550"/>
        <w:gridCol w:w="1100"/>
        <w:gridCol w:w="464"/>
        <w:gridCol w:w="340"/>
        <w:gridCol w:w="367"/>
        <w:gridCol w:w="430"/>
        <w:gridCol w:w="693"/>
        <w:gridCol w:w="162"/>
        <w:gridCol w:w="317"/>
        <w:gridCol w:w="107"/>
        <w:gridCol w:w="507"/>
        <w:gridCol w:w="580"/>
      </w:tblGrid>
      <w:tr w14:paraId="70FE4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1" w:hRule="atLeast"/>
          <w:jc w:val="center"/>
        </w:trPr>
        <w:tc>
          <w:tcPr>
            <w:tcW w:w="2048" w:type="dxa"/>
            <w:gridSpan w:val="2"/>
            <w:tcBorders>
              <w:top w:val="single" w:color="auto" w:sz="4" w:space="0"/>
              <w:left w:val="single" w:color="auto" w:sz="4" w:space="0"/>
              <w:bottom w:val="single" w:color="auto" w:sz="4" w:space="0"/>
              <w:right w:val="single" w:color="auto" w:sz="4" w:space="0"/>
            </w:tcBorders>
            <w:vAlign w:val="center"/>
          </w:tcPr>
          <w:p w14:paraId="5D5A1690">
            <w:pPr>
              <w:spacing w:line="240" w:lineRule="auto"/>
              <w:jc w:val="center"/>
              <w:rPr>
                <w:rFonts w:cs="Times New Roman"/>
                <w:bCs/>
                <w:color w:val="auto"/>
                <w:sz w:val="21"/>
                <w:szCs w:val="21"/>
              </w:rPr>
            </w:pPr>
            <w:r>
              <w:rPr>
                <w:rFonts w:cs="Times New Roman"/>
                <w:bCs/>
                <w:color w:val="auto"/>
                <w:sz w:val="21"/>
                <w:szCs w:val="21"/>
              </w:rPr>
              <w:t>工作内容</w:t>
            </w:r>
          </w:p>
        </w:tc>
        <w:tc>
          <w:tcPr>
            <w:tcW w:w="7374" w:type="dxa"/>
            <w:gridSpan w:val="17"/>
            <w:tcBorders>
              <w:top w:val="single" w:color="auto" w:sz="4" w:space="0"/>
              <w:left w:val="single" w:color="auto" w:sz="4" w:space="0"/>
              <w:bottom w:val="single" w:color="auto" w:sz="4" w:space="0"/>
              <w:right w:val="single" w:color="auto" w:sz="4" w:space="0"/>
            </w:tcBorders>
            <w:vAlign w:val="center"/>
          </w:tcPr>
          <w:p w14:paraId="7AB89C1E">
            <w:pPr>
              <w:spacing w:line="240" w:lineRule="auto"/>
              <w:jc w:val="center"/>
              <w:rPr>
                <w:rFonts w:cs="Times New Roman"/>
                <w:bCs/>
                <w:color w:val="auto"/>
                <w:sz w:val="21"/>
                <w:szCs w:val="21"/>
              </w:rPr>
            </w:pPr>
            <w:r>
              <w:rPr>
                <w:rFonts w:cs="Times New Roman"/>
                <w:bCs/>
                <w:color w:val="auto"/>
                <w:sz w:val="21"/>
                <w:szCs w:val="21"/>
              </w:rPr>
              <w:t>自查项目</w:t>
            </w:r>
          </w:p>
        </w:tc>
      </w:tr>
      <w:tr w14:paraId="383D8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5169453C">
            <w:pPr>
              <w:spacing w:line="240" w:lineRule="auto"/>
              <w:jc w:val="center"/>
              <w:rPr>
                <w:rFonts w:cs="Times New Roman"/>
                <w:color w:val="auto"/>
                <w:sz w:val="21"/>
                <w:szCs w:val="21"/>
              </w:rPr>
            </w:pPr>
            <w:r>
              <w:rPr>
                <w:rFonts w:cs="Times New Roman"/>
                <w:color w:val="auto"/>
                <w:sz w:val="21"/>
                <w:szCs w:val="21"/>
              </w:rPr>
              <w:t>评价等级与范围</w:t>
            </w:r>
          </w:p>
        </w:tc>
        <w:tc>
          <w:tcPr>
            <w:tcW w:w="1305" w:type="dxa"/>
            <w:tcBorders>
              <w:top w:val="single" w:color="auto" w:sz="4" w:space="0"/>
              <w:left w:val="single" w:color="auto" w:sz="4" w:space="0"/>
              <w:bottom w:val="single" w:color="auto" w:sz="4" w:space="0"/>
              <w:right w:val="single" w:color="auto" w:sz="4" w:space="0"/>
            </w:tcBorders>
            <w:vAlign w:val="center"/>
          </w:tcPr>
          <w:p w14:paraId="6DC30BFA">
            <w:pPr>
              <w:spacing w:line="240" w:lineRule="auto"/>
              <w:jc w:val="center"/>
              <w:rPr>
                <w:rFonts w:cs="Times New Roman"/>
                <w:color w:val="auto"/>
                <w:sz w:val="21"/>
                <w:szCs w:val="21"/>
              </w:rPr>
            </w:pPr>
            <w:r>
              <w:rPr>
                <w:rFonts w:cs="Times New Roman"/>
                <w:color w:val="auto"/>
                <w:sz w:val="21"/>
                <w:szCs w:val="21"/>
              </w:rPr>
              <w:t>评价等级</w:t>
            </w:r>
          </w:p>
        </w:tc>
        <w:tc>
          <w:tcPr>
            <w:tcW w:w="2307" w:type="dxa"/>
            <w:gridSpan w:val="6"/>
            <w:tcBorders>
              <w:top w:val="single" w:color="auto" w:sz="4" w:space="0"/>
              <w:left w:val="single" w:color="auto" w:sz="4" w:space="0"/>
              <w:bottom w:val="single" w:color="auto" w:sz="4" w:space="0"/>
              <w:right w:val="single" w:color="auto" w:sz="4" w:space="0"/>
            </w:tcBorders>
            <w:vAlign w:val="center"/>
          </w:tcPr>
          <w:p w14:paraId="3DA84969">
            <w:pPr>
              <w:spacing w:line="240" w:lineRule="auto"/>
              <w:jc w:val="center"/>
              <w:rPr>
                <w:rFonts w:cs="Times New Roman"/>
                <w:color w:val="auto"/>
                <w:sz w:val="21"/>
                <w:szCs w:val="21"/>
              </w:rPr>
            </w:pPr>
            <w:r>
              <w:rPr>
                <w:rFonts w:cs="Times New Roman"/>
                <w:color w:val="auto"/>
                <w:sz w:val="21"/>
                <w:szCs w:val="21"/>
              </w:rPr>
              <w:t>一级</w:t>
            </w:r>
            <w:r>
              <w:rPr>
                <w:rFonts w:cs="Times New Roman"/>
                <w:color w:val="auto"/>
                <w:sz w:val="21"/>
                <w:szCs w:val="21"/>
              </w:rPr>
              <w:sym w:font="Wingdings 2" w:char="00A3"/>
            </w:r>
          </w:p>
        </w:tc>
        <w:tc>
          <w:tcPr>
            <w:tcW w:w="3556" w:type="dxa"/>
            <w:gridSpan w:val="7"/>
            <w:tcBorders>
              <w:top w:val="single" w:color="auto" w:sz="4" w:space="0"/>
              <w:left w:val="single" w:color="auto" w:sz="4" w:space="0"/>
              <w:bottom w:val="single" w:color="auto" w:sz="4" w:space="0"/>
              <w:right w:val="single" w:color="auto" w:sz="4" w:space="0"/>
            </w:tcBorders>
            <w:vAlign w:val="center"/>
          </w:tcPr>
          <w:p w14:paraId="0E5F327C">
            <w:pPr>
              <w:spacing w:line="240" w:lineRule="auto"/>
              <w:jc w:val="center"/>
              <w:rPr>
                <w:rFonts w:cs="Times New Roman"/>
                <w:color w:val="auto"/>
                <w:sz w:val="21"/>
                <w:szCs w:val="21"/>
              </w:rPr>
            </w:pPr>
            <w:r>
              <w:rPr>
                <w:rFonts w:cs="Times New Roman"/>
                <w:color w:val="auto"/>
                <w:sz w:val="21"/>
                <w:szCs w:val="21"/>
              </w:rPr>
              <w:t>二级</w:t>
            </w:r>
            <w:r>
              <w:rPr>
                <w:rFonts w:cs="Times New Roman"/>
                <w:color w:val="auto"/>
                <w:sz w:val="21"/>
                <w:szCs w:val="21"/>
              </w:rPr>
              <w:sym w:font="Wingdings 2" w:char="0052"/>
            </w:r>
          </w:p>
        </w:tc>
        <w:tc>
          <w:tcPr>
            <w:tcW w:w="1511" w:type="dxa"/>
            <w:gridSpan w:val="4"/>
            <w:tcBorders>
              <w:top w:val="single" w:color="auto" w:sz="4" w:space="0"/>
              <w:left w:val="single" w:color="auto" w:sz="4" w:space="0"/>
              <w:bottom w:val="single" w:color="auto" w:sz="4" w:space="0"/>
              <w:right w:val="single" w:color="auto" w:sz="4" w:space="0"/>
            </w:tcBorders>
            <w:vAlign w:val="center"/>
          </w:tcPr>
          <w:p w14:paraId="55A4EAEC">
            <w:pPr>
              <w:spacing w:line="240" w:lineRule="auto"/>
              <w:jc w:val="center"/>
              <w:rPr>
                <w:rFonts w:cs="Times New Roman"/>
                <w:color w:val="auto"/>
                <w:sz w:val="21"/>
                <w:szCs w:val="21"/>
              </w:rPr>
            </w:pPr>
            <w:r>
              <w:rPr>
                <w:rFonts w:cs="Times New Roman"/>
                <w:color w:val="auto"/>
                <w:sz w:val="21"/>
                <w:szCs w:val="21"/>
              </w:rPr>
              <w:t>三级</w:t>
            </w:r>
            <w:r>
              <w:rPr>
                <w:rFonts w:cs="Times New Roman"/>
                <w:color w:val="auto"/>
                <w:sz w:val="21"/>
                <w:szCs w:val="21"/>
              </w:rPr>
              <w:sym w:font="Wingdings 2" w:char="F0A3"/>
            </w:r>
          </w:p>
        </w:tc>
      </w:tr>
      <w:tr w14:paraId="3BB0D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4D8903C1">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498C15D7">
            <w:pPr>
              <w:spacing w:line="240" w:lineRule="auto"/>
              <w:jc w:val="center"/>
              <w:rPr>
                <w:rFonts w:cs="Times New Roman"/>
                <w:color w:val="auto"/>
                <w:sz w:val="21"/>
                <w:szCs w:val="21"/>
              </w:rPr>
            </w:pPr>
            <w:r>
              <w:rPr>
                <w:rFonts w:cs="Times New Roman"/>
                <w:color w:val="auto"/>
                <w:sz w:val="21"/>
                <w:szCs w:val="21"/>
              </w:rPr>
              <w:t>评价范围</w:t>
            </w:r>
          </w:p>
        </w:tc>
        <w:tc>
          <w:tcPr>
            <w:tcW w:w="2307" w:type="dxa"/>
            <w:gridSpan w:val="6"/>
            <w:tcBorders>
              <w:top w:val="single" w:color="auto" w:sz="4" w:space="0"/>
              <w:left w:val="single" w:color="auto" w:sz="4" w:space="0"/>
              <w:bottom w:val="single" w:color="auto" w:sz="4" w:space="0"/>
              <w:right w:val="single" w:color="auto" w:sz="4" w:space="0"/>
            </w:tcBorders>
            <w:vAlign w:val="center"/>
          </w:tcPr>
          <w:p w14:paraId="55B3A2A2">
            <w:pPr>
              <w:spacing w:line="240" w:lineRule="auto"/>
              <w:jc w:val="center"/>
              <w:rPr>
                <w:rFonts w:cs="Times New Roman"/>
                <w:color w:val="auto"/>
                <w:sz w:val="21"/>
                <w:szCs w:val="21"/>
              </w:rPr>
            </w:pPr>
            <w:r>
              <w:rPr>
                <w:rFonts w:cs="Times New Roman"/>
                <w:color w:val="auto"/>
                <w:sz w:val="21"/>
                <w:szCs w:val="21"/>
              </w:rPr>
              <w:t>边长=50km</w:t>
            </w:r>
            <w:r>
              <w:rPr>
                <w:rFonts w:cs="Times New Roman"/>
                <w:color w:val="auto"/>
                <w:sz w:val="21"/>
                <w:szCs w:val="21"/>
              </w:rPr>
              <w:sym w:font="Wingdings 2" w:char="F0A3"/>
            </w:r>
          </w:p>
        </w:tc>
        <w:tc>
          <w:tcPr>
            <w:tcW w:w="3556" w:type="dxa"/>
            <w:gridSpan w:val="7"/>
            <w:tcBorders>
              <w:top w:val="single" w:color="auto" w:sz="4" w:space="0"/>
              <w:left w:val="single" w:color="auto" w:sz="4" w:space="0"/>
              <w:bottom w:val="single" w:color="auto" w:sz="4" w:space="0"/>
              <w:right w:val="single" w:color="auto" w:sz="4" w:space="0"/>
            </w:tcBorders>
            <w:vAlign w:val="center"/>
          </w:tcPr>
          <w:p w14:paraId="74373708">
            <w:pPr>
              <w:spacing w:line="240" w:lineRule="auto"/>
              <w:jc w:val="center"/>
              <w:rPr>
                <w:rFonts w:cs="Times New Roman"/>
                <w:color w:val="auto"/>
                <w:sz w:val="21"/>
                <w:szCs w:val="21"/>
              </w:rPr>
            </w:pPr>
            <w:r>
              <w:rPr>
                <w:rFonts w:cs="Times New Roman"/>
                <w:color w:val="auto"/>
                <w:sz w:val="21"/>
                <w:szCs w:val="21"/>
              </w:rPr>
              <w:t>边长5～50km</w:t>
            </w:r>
            <w:r>
              <w:rPr>
                <w:rFonts w:cs="Times New Roman"/>
                <w:color w:val="auto"/>
                <w:sz w:val="21"/>
                <w:szCs w:val="21"/>
              </w:rPr>
              <w:sym w:font="Wingdings 2" w:char="F0A3"/>
            </w:r>
          </w:p>
        </w:tc>
        <w:tc>
          <w:tcPr>
            <w:tcW w:w="1511" w:type="dxa"/>
            <w:gridSpan w:val="4"/>
            <w:tcBorders>
              <w:top w:val="single" w:color="auto" w:sz="4" w:space="0"/>
              <w:left w:val="single" w:color="auto" w:sz="4" w:space="0"/>
              <w:bottom w:val="single" w:color="auto" w:sz="4" w:space="0"/>
              <w:right w:val="single" w:color="auto" w:sz="4" w:space="0"/>
            </w:tcBorders>
            <w:vAlign w:val="center"/>
          </w:tcPr>
          <w:p w14:paraId="24CD7179">
            <w:pPr>
              <w:spacing w:line="240" w:lineRule="auto"/>
              <w:jc w:val="center"/>
              <w:rPr>
                <w:rFonts w:cs="Times New Roman"/>
                <w:color w:val="auto"/>
                <w:sz w:val="21"/>
                <w:szCs w:val="21"/>
              </w:rPr>
            </w:pPr>
            <w:r>
              <w:rPr>
                <w:rFonts w:cs="Times New Roman"/>
                <w:color w:val="auto"/>
                <w:sz w:val="21"/>
                <w:szCs w:val="21"/>
              </w:rPr>
              <w:t>边长=5km</w:t>
            </w:r>
            <w:r>
              <w:rPr>
                <w:rFonts w:cs="Times New Roman"/>
                <w:color w:val="auto"/>
                <w:sz w:val="21"/>
                <w:szCs w:val="21"/>
              </w:rPr>
              <w:sym w:font="Wingdings 2" w:char="F052"/>
            </w:r>
          </w:p>
        </w:tc>
      </w:tr>
      <w:tr w14:paraId="5780D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7F37AF5B">
            <w:pPr>
              <w:spacing w:line="240" w:lineRule="auto"/>
              <w:jc w:val="center"/>
              <w:rPr>
                <w:rFonts w:cs="Times New Roman"/>
                <w:color w:val="auto"/>
                <w:sz w:val="21"/>
                <w:szCs w:val="21"/>
              </w:rPr>
            </w:pPr>
            <w:r>
              <w:rPr>
                <w:rFonts w:cs="Times New Roman"/>
                <w:color w:val="auto"/>
                <w:sz w:val="21"/>
                <w:szCs w:val="21"/>
              </w:rPr>
              <w:t>评价因子</w:t>
            </w:r>
          </w:p>
        </w:tc>
        <w:tc>
          <w:tcPr>
            <w:tcW w:w="1305" w:type="dxa"/>
            <w:tcBorders>
              <w:top w:val="single" w:color="auto" w:sz="4" w:space="0"/>
              <w:left w:val="single" w:color="auto" w:sz="4" w:space="0"/>
              <w:bottom w:val="single" w:color="auto" w:sz="4" w:space="0"/>
              <w:right w:val="single" w:color="auto" w:sz="4" w:space="0"/>
            </w:tcBorders>
            <w:vAlign w:val="center"/>
          </w:tcPr>
          <w:p w14:paraId="3DC3B475">
            <w:pPr>
              <w:spacing w:line="240" w:lineRule="auto"/>
              <w:jc w:val="center"/>
              <w:rPr>
                <w:rFonts w:cs="Times New Roman"/>
                <w:color w:val="auto"/>
                <w:sz w:val="21"/>
                <w:szCs w:val="21"/>
              </w:rPr>
            </w:pPr>
            <w:r>
              <w:rPr>
                <w:rFonts w:cs="Times New Roman"/>
                <w:color w:val="auto"/>
                <w:sz w:val="21"/>
                <w:szCs w:val="21"/>
              </w:rPr>
              <w:t>SO</w:t>
            </w:r>
            <w:r>
              <w:rPr>
                <w:rFonts w:cs="Times New Roman"/>
                <w:color w:val="auto"/>
                <w:sz w:val="21"/>
                <w:szCs w:val="21"/>
                <w:vertAlign w:val="subscript"/>
              </w:rPr>
              <w:t>2</w:t>
            </w:r>
            <w:r>
              <w:rPr>
                <w:rFonts w:cs="Times New Roman"/>
                <w:color w:val="auto"/>
                <w:sz w:val="21"/>
                <w:szCs w:val="21"/>
              </w:rPr>
              <w:t>+NO</w:t>
            </w:r>
            <w:r>
              <w:rPr>
                <w:rFonts w:cs="Times New Roman"/>
                <w:color w:val="auto"/>
                <w:sz w:val="21"/>
                <w:szCs w:val="21"/>
                <w:vertAlign w:val="subscript"/>
              </w:rPr>
              <w:t>X</w:t>
            </w:r>
            <w:r>
              <w:rPr>
                <w:rFonts w:cs="Times New Roman"/>
                <w:color w:val="auto"/>
                <w:sz w:val="21"/>
                <w:szCs w:val="21"/>
              </w:rPr>
              <w:t>排放量</w:t>
            </w:r>
          </w:p>
        </w:tc>
        <w:tc>
          <w:tcPr>
            <w:tcW w:w="1584" w:type="dxa"/>
            <w:gridSpan w:val="4"/>
            <w:tcBorders>
              <w:top w:val="single" w:color="auto" w:sz="4" w:space="0"/>
              <w:left w:val="single" w:color="auto" w:sz="4" w:space="0"/>
              <w:bottom w:val="single" w:color="auto" w:sz="4" w:space="0"/>
              <w:right w:val="single" w:color="auto" w:sz="4" w:space="0"/>
            </w:tcBorders>
            <w:vAlign w:val="center"/>
          </w:tcPr>
          <w:p w14:paraId="03C9C056">
            <w:pPr>
              <w:spacing w:line="240" w:lineRule="auto"/>
              <w:jc w:val="center"/>
              <w:rPr>
                <w:rFonts w:cs="Times New Roman"/>
                <w:color w:val="auto"/>
                <w:sz w:val="21"/>
                <w:szCs w:val="21"/>
              </w:rPr>
            </w:pPr>
            <w:r>
              <w:rPr>
                <w:rFonts w:cs="Times New Roman"/>
                <w:color w:val="auto"/>
                <w:sz w:val="21"/>
                <w:szCs w:val="21"/>
              </w:rPr>
              <w:t>≥2000t/a</w:t>
            </w:r>
            <w:r>
              <w:rPr>
                <w:rFonts w:cs="Times New Roman"/>
                <w:color w:val="auto"/>
                <w:sz w:val="21"/>
                <w:szCs w:val="21"/>
              </w:rPr>
              <w:sym w:font="Wingdings 2" w:char="F0A3"/>
            </w:r>
          </w:p>
        </w:tc>
        <w:tc>
          <w:tcPr>
            <w:tcW w:w="4279" w:type="dxa"/>
            <w:gridSpan w:val="9"/>
            <w:tcBorders>
              <w:top w:val="single" w:color="auto" w:sz="4" w:space="0"/>
              <w:left w:val="single" w:color="auto" w:sz="4" w:space="0"/>
              <w:bottom w:val="single" w:color="auto" w:sz="4" w:space="0"/>
              <w:right w:val="single" w:color="auto" w:sz="4" w:space="0"/>
            </w:tcBorders>
            <w:vAlign w:val="center"/>
          </w:tcPr>
          <w:p w14:paraId="47281573">
            <w:pPr>
              <w:spacing w:line="240" w:lineRule="auto"/>
              <w:jc w:val="center"/>
              <w:rPr>
                <w:rFonts w:cs="Times New Roman"/>
                <w:color w:val="auto"/>
                <w:sz w:val="21"/>
                <w:szCs w:val="21"/>
              </w:rPr>
            </w:pPr>
            <w:r>
              <w:rPr>
                <w:rFonts w:cs="Times New Roman"/>
                <w:color w:val="auto"/>
                <w:sz w:val="21"/>
                <w:szCs w:val="21"/>
              </w:rPr>
              <w:t>500～2000t/a</w:t>
            </w:r>
            <w:r>
              <w:rPr>
                <w:rFonts w:cs="Times New Roman"/>
                <w:color w:val="auto"/>
                <w:sz w:val="21"/>
                <w:szCs w:val="21"/>
              </w:rPr>
              <w:sym w:font="Wingdings 2" w:char="F0A3"/>
            </w:r>
          </w:p>
        </w:tc>
        <w:tc>
          <w:tcPr>
            <w:tcW w:w="1511" w:type="dxa"/>
            <w:gridSpan w:val="4"/>
            <w:tcBorders>
              <w:top w:val="single" w:color="auto" w:sz="4" w:space="0"/>
              <w:left w:val="single" w:color="auto" w:sz="4" w:space="0"/>
              <w:bottom w:val="single" w:color="auto" w:sz="4" w:space="0"/>
              <w:right w:val="single" w:color="auto" w:sz="4" w:space="0"/>
            </w:tcBorders>
            <w:vAlign w:val="center"/>
          </w:tcPr>
          <w:p w14:paraId="083583EC">
            <w:pPr>
              <w:spacing w:line="240" w:lineRule="auto"/>
              <w:jc w:val="center"/>
              <w:rPr>
                <w:rFonts w:cs="Times New Roman"/>
                <w:color w:val="auto"/>
                <w:sz w:val="21"/>
                <w:szCs w:val="21"/>
              </w:rPr>
            </w:pPr>
            <w:r>
              <w:rPr>
                <w:rFonts w:cs="Times New Roman"/>
                <w:color w:val="auto"/>
                <w:sz w:val="21"/>
                <w:szCs w:val="21"/>
              </w:rPr>
              <w:t>＜500t/a</w:t>
            </w:r>
            <w:r>
              <w:rPr>
                <w:rFonts w:cs="Times New Roman"/>
                <w:color w:val="auto"/>
                <w:sz w:val="21"/>
                <w:szCs w:val="21"/>
              </w:rPr>
              <w:sym w:font="Wingdings 2" w:char="F052"/>
            </w:r>
          </w:p>
        </w:tc>
      </w:tr>
      <w:tr w14:paraId="7E2C7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4"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5EBF404D">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0920BD42">
            <w:pPr>
              <w:spacing w:line="240" w:lineRule="auto"/>
              <w:jc w:val="center"/>
              <w:rPr>
                <w:rFonts w:cs="Times New Roman"/>
                <w:color w:val="auto"/>
                <w:sz w:val="21"/>
                <w:szCs w:val="21"/>
              </w:rPr>
            </w:pPr>
            <w:r>
              <w:rPr>
                <w:rFonts w:cs="Times New Roman"/>
                <w:color w:val="auto"/>
                <w:sz w:val="21"/>
                <w:szCs w:val="21"/>
              </w:rPr>
              <w:t>评价因子</w:t>
            </w:r>
          </w:p>
        </w:tc>
        <w:tc>
          <w:tcPr>
            <w:tcW w:w="4211" w:type="dxa"/>
            <w:gridSpan w:val="9"/>
            <w:tcBorders>
              <w:top w:val="single" w:color="auto" w:sz="4" w:space="0"/>
              <w:left w:val="single" w:color="auto" w:sz="4" w:space="0"/>
              <w:bottom w:val="single" w:color="auto" w:sz="4" w:space="0"/>
              <w:right w:val="single" w:color="auto" w:sz="4" w:space="0"/>
            </w:tcBorders>
            <w:vAlign w:val="center"/>
          </w:tcPr>
          <w:p w14:paraId="3DA1C64F">
            <w:pPr>
              <w:spacing w:line="240" w:lineRule="auto"/>
              <w:jc w:val="center"/>
              <w:rPr>
                <w:rFonts w:cs="Times New Roman"/>
                <w:color w:val="auto"/>
                <w:sz w:val="21"/>
                <w:szCs w:val="21"/>
              </w:rPr>
            </w:pPr>
            <w:r>
              <w:rPr>
                <w:rFonts w:cs="Times New Roman"/>
                <w:color w:val="auto"/>
                <w:sz w:val="21"/>
                <w:szCs w:val="21"/>
              </w:rPr>
              <w:t>基本污染物（PM</w:t>
            </w:r>
            <w:r>
              <w:rPr>
                <w:rFonts w:cs="Times New Roman"/>
                <w:color w:val="auto"/>
                <w:sz w:val="21"/>
                <w:szCs w:val="21"/>
                <w:vertAlign w:val="subscript"/>
              </w:rPr>
              <w:t>10</w:t>
            </w:r>
            <w:r>
              <w:rPr>
                <w:rFonts w:cs="Times New Roman"/>
                <w:color w:val="auto"/>
                <w:sz w:val="21"/>
                <w:szCs w:val="21"/>
              </w:rPr>
              <w:t>、PM</w:t>
            </w:r>
            <w:r>
              <w:rPr>
                <w:rFonts w:cs="Times New Roman"/>
                <w:color w:val="auto"/>
                <w:sz w:val="21"/>
                <w:szCs w:val="21"/>
                <w:vertAlign w:val="subscript"/>
              </w:rPr>
              <w:t>2.5</w:t>
            </w:r>
            <w:r>
              <w:rPr>
                <w:rFonts w:cs="Times New Roman"/>
                <w:color w:val="auto"/>
                <w:sz w:val="21"/>
                <w:szCs w:val="21"/>
              </w:rPr>
              <w:t>）</w:t>
            </w:r>
          </w:p>
          <w:p w14:paraId="04702662">
            <w:pPr>
              <w:spacing w:line="240" w:lineRule="auto"/>
              <w:jc w:val="center"/>
              <w:rPr>
                <w:rFonts w:cs="Times New Roman"/>
                <w:color w:val="auto"/>
                <w:sz w:val="21"/>
                <w:szCs w:val="21"/>
              </w:rPr>
            </w:pPr>
            <w:r>
              <w:rPr>
                <w:rFonts w:cs="Times New Roman"/>
                <w:color w:val="auto"/>
                <w:sz w:val="21"/>
                <w:szCs w:val="21"/>
              </w:rPr>
              <w:t>其他污染物（</w:t>
            </w:r>
            <w:r>
              <w:rPr>
                <w:rFonts w:hint="eastAsia" w:cs="Times New Roman"/>
                <w:color w:val="auto"/>
                <w:sz w:val="21"/>
                <w:szCs w:val="21"/>
              </w:rPr>
              <w:t>TSP、</w:t>
            </w:r>
            <w:r>
              <w:rPr>
                <w:rFonts w:cs="Times New Roman"/>
                <w:color w:val="auto"/>
                <w:sz w:val="21"/>
                <w:szCs w:val="21"/>
              </w:rPr>
              <w:t>非甲烷总烃）</w:t>
            </w:r>
          </w:p>
        </w:tc>
        <w:tc>
          <w:tcPr>
            <w:tcW w:w="3163" w:type="dxa"/>
            <w:gridSpan w:val="8"/>
            <w:tcBorders>
              <w:top w:val="single" w:color="auto" w:sz="4" w:space="0"/>
              <w:left w:val="single" w:color="auto" w:sz="4" w:space="0"/>
              <w:bottom w:val="single" w:color="auto" w:sz="4" w:space="0"/>
              <w:right w:val="single" w:color="auto" w:sz="4" w:space="0"/>
            </w:tcBorders>
            <w:vAlign w:val="center"/>
          </w:tcPr>
          <w:p w14:paraId="4AECC00F">
            <w:pPr>
              <w:spacing w:line="240" w:lineRule="auto"/>
              <w:jc w:val="center"/>
              <w:rPr>
                <w:rFonts w:cs="Times New Roman"/>
                <w:color w:val="auto"/>
                <w:sz w:val="21"/>
                <w:szCs w:val="21"/>
              </w:rPr>
            </w:pPr>
            <w:r>
              <w:rPr>
                <w:rFonts w:cs="Times New Roman"/>
                <w:color w:val="auto"/>
                <w:sz w:val="21"/>
                <w:szCs w:val="21"/>
              </w:rPr>
              <w:t>包括二次PM</w:t>
            </w:r>
            <w:r>
              <w:rPr>
                <w:rFonts w:cs="Times New Roman"/>
                <w:color w:val="auto"/>
                <w:sz w:val="21"/>
                <w:szCs w:val="21"/>
                <w:vertAlign w:val="subscript"/>
              </w:rPr>
              <w:t>2.5</w:t>
            </w:r>
            <w:r>
              <w:rPr>
                <w:rFonts w:cs="Times New Roman"/>
                <w:color w:val="auto"/>
                <w:sz w:val="21"/>
                <w:szCs w:val="21"/>
              </w:rPr>
              <w:sym w:font="Wingdings 2" w:char="F0A3"/>
            </w:r>
          </w:p>
          <w:p w14:paraId="40D4F682">
            <w:pPr>
              <w:spacing w:line="240" w:lineRule="auto"/>
              <w:jc w:val="center"/>
              <w:rPr>
                <w:rFonts w:cs="Times New Roman"/>
                <w:color w:val="auto"/>
                <w:sz w:val="21"/>
                <w:szCs w:val="21"/>
              </w:rPr>
            </w:pPr>
            <w:r>
              <w:rPr>
                <w:rFonts w:cs="Times New Roman"/>
                <w:color w:val="auto"/>
                <w:sz w:val="21"/>
                <w:szCs w:val="21"/>
              </w:rPr>
              <w:t>不包括二次PM</w:t>
            </w:r>
            <w:r>
              <w:rPr>
                <w:rFonts w:cs="Times New Roman"/>
                <w:color w:val="auto"/>
                <w:sz w:val="21"/>
                <w:szCs w:val="21"/>
                <w:vertAlign w:val="subscript"/>
              </w:rPr>
              <w:t>2.5</w:t>
            </w:r>
            <w:r>
              <w:rPr>
                <w:rFonts w:cs="Times New Roman"/>
                <w:color w:val="auto"/>
                <w:sz w:val="21"/>
                <w:szCs w:val="21"/>
              </w:rPr>
              <w:sym w:font="Wingdings 2" w:char="F052"/>
            </w:r>
          </w:p>
        </w:tc>
      </w:tr>
      <w:tr w14:paraId="50D00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tcBorders>
              <w:top w:val="single" w:color="auto" w:sz="4" w:space="0"/>
              <w:left w:val="single" w:color="auto" w:sz="4" w:space="0"/>
              <w:bottom w:val="single" w:color="auto" w:sz="4" w:space="0"/>
              <w:right w:val="single" w:color="auto" w:sz="4" w:space="0"/>
            </w:tcBorders>
            <w:vAlign w:val="center"/>
          </w:tcPr>
          <w:p w14:paraId="03D97554">
            <w:pPr>
              <w:spacing w:line="240" w:lineRule="auto"/>
              <w:jc w:val="center"/>
              <w:rPr>
                <w:rFonts w:cs="Times New Roman"/>
                <w:color w:val="auto"/>
                <w:sz w:val="21"/>
                <w:szCs w:val="21"/>
              </w:rPr>
            </w:pPr>
            <w:r>
              <w:rPr>
                <w:rFonts w:cs="Times New Roman"/>
                <w:color w:val="auto"/>
                <w:sz w:val="21"/>
                <w:szCs w:val="21"/>
              </w:rPr>
              <w:t>评价标准</w:t>
            </w:r>
          </w:p>
        </w:tc>
        <w:tc>
          <w:tcPr>
            <w:tcW w:w="1305" w:type="dxa"/>
            <w:tcBorders>
              <w:top w:val="single" w:color="auto" w:sz="4" w:space="0"/>
              <w:left w:val="single" w:color="auto" w:sz="4" w:space="0"/>
              <w:bottom w:val="single" w:color="auto" w:sz="4" w:space="0"/>
              <w:right w:val="single" w:color="auto" w:sz="4" w:space="0"/>
            </w:tcBorders>
            <w:vAlign w:val="center"/>
          </w:tcPr>
          <w:p w14:paraId="60158D5B">
            <w:pPr>
              <w:spacing w:line="240" w:lineRule="auto"/>
              <w:jc w:val="center"/>
              <w:rPr>
                <w:rFonts w:cs="Times New Roman"/>
                <w:color w:val="auto"/>
                <w:sz w:val="21"/>
                <w:szCs w:val="21"/>
              </w:rPr>
            </w:pPr>
            <w:r>
              <w:rPr>
                <w:rFonts w:cs="Times New Roman"/>
                <w:color w:val="auto"/>
                <w:sz w:val="21"/>
                <w:szCs w:val="21"/>
              </w:rPr>
              <w:t>评价标准</w:t>
            </w:r>
          </w:p>
        </w:tc>
        <w:tc>
          <w:tcPr>
            <w:tcW w:w="1584" w:type="dxa"/>
            <w:gridSpan w:val="4"/>
            <w:tcBorders>
              <w:top w:val="single" w:color="auto" w:sz="4" w:space="0"/>
              <w:left w:val="single" w:color="auto" w:sz="4" w:space="0"/>
              <w:bottom w:val="single" w:color="auto" w:sz="4" w:space="0"/>
              <w:right w:val="single" w:color="auto" w:sz="4" w:space="0"/>
            </w:tcBorders>
            <w:vAlign w:val="center"/>
          </w:tcPr>
          <w:p w14:paraId="13631852">
            <w:pPr>
              <w:spacing w:line="240" w:lineRule="auto"/>
              <w:jc w:val="center"/>
              <w:rPr>
                <w:rFonts w:cs="Times New Roman"/>
                <w:color w:val="auto"/>
                <w:sz w:val="21"/>
                <w:szCs w:val="21"/>
              </w:rPr>
            </w:pPr>
            <w:r>
              <w:rPr>
                <w:rFonts w:cs="Times New Roman"/>
                <w:color w:val="auto"/>
                <w:sz w:val="21"/>
                <w:szCs w:val="21"/>
              </w:rPr>
              <w:t>国家标准</w:t>
            </w:r>
            <w:r>
              <w:rPr>
                <w:rFonts w:cs="Times New Roman"/>
                <w:color w:val="auto"/>
                <w:sz w:val="21"/>
                <w:szCs w:val="21"/>
              </w:rPr>
              <w:sym w:font="Wingdings 2" w:char="F052"/>
            </w:r>
          </w:p>
        </w:tc>
        <w:tc>
          <w:tcPr>
            <w:tcW w:w="2627" w:type="dxa"/>
            <w:gridSpan w:val="5"/>
            <w:tcBorders>
              <w:top w:val="single" w:color="auto" w:sz="4" w:space="0"/>
              <w:left w:val="single" w:color="auto" w:sz="4" w:space="0"/>
              <w:bottom w:val="single" w:color="auto" w:sz="4" w:space="0"/>
              <w:right w:val="single" w:color="auto" w:sz="4" w:space="0"/>
            </w:tcBorders>
            <w:vAlign w:val="center"/>
          </w:tcPr>
          <w:p w14:paraId="386B2426">
            <w:pPr>
              <w:spacing w:line="240" w:lineRule="auto"/>
              <w:jc w:val="center"/>
              <w:rPr>
                <w:rFonts w:cs="Times New Roman"/>
                <w:color w:val="auto"/>
                <w:sz w:val="21"/>
                <w:szCs w:val="21"/>
              </w:rPr>
            </w:pPr>
            <w:r>
              <w:rPr>
                <w:rFonts w:cs="Times New Roman"/>
                <w:color w:val="auto"/>
                <w:sz w:val="21"/>
                <w:szCs w:val="21"/>
              </w:rPr>
              <w:t>地方标准</w:t>
            </w:r>
            <w:r>
              <w:rPr>
                <w:rFonts w:cs="Times New Roman"/>
                <w:color w:val="auto"/>
                <w:sz w:val="21"/>
                <w:szCs w:val="21"/>
              </w:rPr>
              <w:sym w:font="Wingdings 2" w:char="F0A3"/>
            </w:r>
          </w:p>
        </w:tc>
        <w:tc>
          <w:tcPr>
            <w:tcW w:w="1969" w:type="dxa"/>
            <w:gridSpan w:val="5"/>
            <w:tcBorders>
              <w:top w:val="single" w:color="auto" w:sz="4" w:space="0"/>
              <w:left w:val="single" w:color="auto" w:sz="4" w:space="0"/>
              <w:bottom w:val="single" w:color="auto" w:sz="4" w:space="0"/>
              <w:right w:val="single" w:color="auto" w:sz="4" w:space="0"/>
            </w:tcBorders>
            <w:vAlign w:val="center"/>
          </w:tcPr>
          <w:p w14:paraId="767C29EC">
            <w:pPr>
              <w:spacing w:line="240" w:lineRule="auto"/>
              <w:jc w:val="center"/>
              <w:rPr>
                <w:rFonts w:cs="Times New Roman"/>
                <w:color w:val="auto"/>
                <w:sz w:val="21"/>
                <w:szCs w:val="21"/>
              </w:rPr>
            </w:pPr>
            <w:r>
              <w:rPr>
                <w:rFonts w:cs="Times New Roman"/>
                <w:color w:val="auto"/>
                <w:sz w:val="21"/>
                <w:szCs w:val="21"/>
              </w:rPr>
              <w:t>附录D</w:t>
            </w:r>
            <w:r>
              <w:rPr>
                <w:rFonts w:cs="Times New Roman"/>
                <w:color w:val="auto"/>
                <w:sz w:val="21"/>
                <w:szCs w:val="21"/>
              </w:rPr>
              <w:sym w:font="Wingdings 2" w:char="00A3"/>
            </w:r>
          </w:p>
        </w:tc>
        <w:tc>
          <w:tcPr>
            <w:tcW w:w="1194" w:type="dxa"/>
            <w:gridSpan w:val="3"/>
            <w:tcBorders>
              <w:top w:val="single" w:color="auto" w:sz="4" w:space="0"/>
              <w:left w:val="single" w:color="auto" w:sz="4" w:space="0"/>
              <w:bottom w:val="single" w:color="auto" w:sz="4" w:space="0"/>
              <w:right w:val="single" w:color="auto" w:sz="4" w:space="0"/>
            </w:tcBorders>
            <w:vAlign w:val="center"/>
          </w:tcPr>
          <w:p w14:paraId="0B9AF8F0">
            <w:pPr>
              <w:spacing w:line="240" w:lineRule="auto"/>
              <w:jc w:val="center"/>
              <w:rPr>
                <w:rFonts w:cs="Times New Roman"/>
                <w:color w:val="auto"/>
                <w:sz w:val="21"/>
                <w:szCs w:val="21"/>
              </w:rPr>
            </w:pPr>
            <w:r>
              <w:rPr>
                <w:rFonts w:cs="Times New Roman"/>
                <w:color w:val="auto"/>
                <w:sz w:val="21"/>
                <w:szCs w:val="21"/>
              </w:rPr>
              <w:t>其他标准</w:t>
            </w:r>
            <w:r>
              <w:rPr>
                <w:rFonts w:cs="Times New Roman"/>
                <w:color w:val="auto"/>
                <w:sz w:val="21"/>
                <w:szCs w:val="21"/>
              </w:rPr>
              <w:sym w:font="Wingdings 2" w:char="F0A3"/>
            </w:r>
          </w:p>
        </w:tc>
      </w:tr>
      <w:tr w14:paraId="321A9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602F8C27">
            <w:pPr>
              <w:spacing w:line="240" w:lineRule="auto"/>
              <w:jc w:val="center"/>
              <w:rPr>
                <w:rFonts w:cs="Times New Roman"/>
                <w:color w:val="auto"/>
                <w:sz w:val="21"/>
                <w:szCs w:val="21"/>
              </w:rPr>
            </w:pPr>
            <w:r>
              <w:rPr>
                <w:rFonts w:cs="Times New Roman"/>
                <w:color w:val="auto"/>
                <w:sz w:val="21"/>
                <w:szCs w:val="21"/>
              </w:rPr>
              <w:t>现状评价</w:t>
            </w:r>
          </w:p>
        </w:tc>
        <w:tc>
          <w:tcPr>
            <w:tcW w:w="1305" w:type="dxa"/>
            <w:tcBorders>
              <w:top w:val="single" w:color="auto" w:sz="4" w:space="0"/>
              <w:left w:val="single" w:color="auto" w:sz="4" w:space="0"/>
              <w:bottom w:val="single" w:color="auto" w:sz="4" w:space="0"/>
              <w:right w:val="single" w:color="auto" w:sz="4" w:space="0"/>
            </w:tcBorders>
            <w:vAlign w:val="center"/>
          </w:tcPr>
          <w:p w14:paraId="0C2E1EF7">
            <w:pPr>
              <w:spacing w:line="240" w:lineRule="auto"/>
              <w:jc w:val="center"/>
              <w:rPr>
                <w:rFonts w:cs="Times New Roman"/>
                <w:color w:val="auto"/>
                <w:sz w:val="21"/>
                <w:szCs w:val="21"/>
              </w:rPr>
            </w:pPr>
            <w:r>
              <w:rPr>
                <w:rFonts w:cs="Times New Roman"/>
                <w:color w:val="auto"/>
                <w:sz w:val="21"/>
                <w:szCs w:val="21"/>
              </w:rPr>
              <w:t>环境功能区</w:t>
            </w:r>
          </w:p>
        </w:tc>
        <w:tc>
          <w:tcPr>
            <w:tcW w:w="2307" w:type="dxa"/>
            <w:gridSpan w:val="6"/>
            <w:tcBorders>
              <w:top w:val="single" w:color="auto" w:sz="4" w:space="0"/>
              <w:left w:val="single" w:color="auto" w:sz="4" w:space="0"/>
              <w:bottom w:val="single" w:color="auto" w:sz="4" w:space="0"/>
              <w:right w:val="single" w:color="auto" w:sz="4" w:space="0"/>
            </w:tcBorders>
            <w:vAlign w:val="center"/>
          </w:tcPr>
          <w:p w14:paraId="018F3417">
            <w:pPr>
              <w:spacing w:line="240" w:lineRule="auto"/>
              <w:jc w:val="center"/>
              <w:rPr>
                <w:rFonts w:hint="eastAsia" w:eastAsia="宋体" w:cs="Times New Roman"/>
                <w:color w:val="auto"/>
                <w:sz w:val="21"/>
                <w:szCs w:val="21"/>
                <w:lang w:eastAsia="zh-CN"/>
              </w:rPr>
            </w:pPr>
            <w:r>
              <w:rPr>
                <w:rFonts w:cs="Times New Roman"/>
                <w:color w:val="auto"/>
                <w:sz w:val="21"/>
                <w:szCs w:val="21"/>
              </w:rPr>
              <w:t>一类区</w:t>
            </w:r>
            <w:r>
              <w:rPr>
                <w:rFonts w:hint="eastAsia" w:cs="Times New Roman"/>
                <w:color w:val="auto"/>
                <w:sz w:val="21"/>
                <w:szCs w:val="21"/>
                <w:lang w:eastAsia="zh-CN"/>
              </w:rPr>
              <w:t>□</w:t>
            </w:r>
          </w:p>
        </w:tc>
        <w:tc>
          <w:tcPr>
            <w:tcW w:w="3556" w:type="dxa"/>
            <w:gridSpan w:val="7"/>
            <w:tcBorders>
              <w:top w:val="single" w:color="auto" w:sz="4" w:space="0"/>
              <w:left w:val="single" w:color="auto" w:sz="4" w:space="0"/>
              <w:bottom w:val="single" w:color="auto" w:sz="4" w:space="0"/>
              <w:right w:val="single" w:color="auto" w:sz="4" w:space="0"/>
            </w:tcBorders>
            <w:vAlign w:val="center"/>
          </w:tcPr>
          <w:p w14:paraId="48A980F8">
            <w:pPr>
              <w:spacing w:line="240" w:lineRule="auto"/>
              <w:jc w:val="center"/>
              <w:rPr>
                <w:rFonts w:cs="Times New Roman"/>
                <w:color w:val="auto"/>
                <w:sz w:val="21"/>
                <w:szCs w:val="21"/>
              </w:rPr>
            </w:pPr>
            <w:r>
              <w:rPr>
                <w:rFonts w:cs="Times New Roman"/>
                <w:color w:val="auto"/>
                <w:sz w:val="21"/>
                <w:szCs w:val="21"/>
              </w:rPr>
              <w:t>二类区</w:t>
            </w:r>
            <w:r>
              <w:rPr>
                <w:rFonts w:cs="Times New Roman"/>
                <w:color w:val="auto"/>
                <w:sz w:val="21"/>
                <w:szCs w:val="21"/>
              </w:rPr>
              <w:sym w:font="Wingdings 2" w:char="F052"/>
            </w:r>
          </w:p>
        </w:tc>
        <w:tc>
          <w:tcPr>
            <w:tcW w:w="1511" w:type="dxa"/>
            <w:gridSpan w:val="4"/>
            <w:tcBorders>
              <w:top w:val="single" w:color="auto" w:sz="4" w:space="0"/>
              <w:left w:val="single" w:color="auto" w:sz="4" w:space="0"/>
              <w:bottom w:val="single" w:color="auto" w:sz="4" w:space="0"/>
              <w:right w:val="single" w:color="auto" w:sz="4" w:space="0"/>
            </w:tcBorders>
            <w:vAlign w:val="center"/>
          </w:tcPr>
          <w:p w14:paraId="0BC02036">
            <w:pPr>
              <w:spacing w:line="240" w:lineRule="auto"/>
              <w:jc w:val="center"/>
              <w:rPr>
                <w:rFonts w:cs="Times New Roman"/>
                <w:color w:val="auto"/>
                <w:sz w:val="21"/>
                <w:szCs w:val="21"/>
              </w:rPr>
            </w:pPr>
            <w:r>
              <w:rPr>
                <w:rFonts w:cs="Times New Roman"/>
                <w:color w:val="auto"/>
                <w:sz w:val="21"/>
                <w:szCs w:val="21"/>
              </w:rPr>
              <w:t>一类区和二类区</w:t>
            </w:r>
            <w:r>
              <w:rPr>
                <w:rFonts w:cs="Times New Roman"/>
                <w:color w:val="auto"/>
                <w:sz w:val="21"/>
                <w:szCs w:val="21"/>
              </w:rPr>
              <w:sym w:font="Wingdings 2" w:char="F0A3"/>
            </w:r>
          </w:p>
        </w:tc>
      </w:tr>
      <w:tr w14:paraId="5F2CB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53F3072C">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67993BE4">
            <w:pPr>
              <w:spacing w:line="240" w:lineRule="auto"/>
              <w:jc w:val="center"/>
              <w:rPr>
                <w:rFonts w:cs="Times New Roman"/>
                <w:color w:val="auto"/>
                <w:sz w:val="21"/>
                <w:szCs w:val="21"/>
              </w:rPr>
            </w:pPr>
            <w:r>
              <w:rPr>
                <w:rFonts w:cs="Times New Roman"/>
                <w:color w:val="auto"/>
                <w:sz w:val="21"/>
                <w:szCs w:val="21"/>
              </w:rPr>
              <w:t>评价基准年</w:t>
            </w:r>
          </w:p>
        </w:tc>
        <w:tc>
          <w:tcPr>
            <w:tcW w:w="7374" w:type="dxa"/>
            <w:gridSpan w:val="17"/>
            <w:tcBorders>
              <w:top w:val="single" w:color="auto" w:sz="4" w:space="0"/>
              <w:left w:val="single" w:color="auto" w:sz="4" w:space="0"/>
              <w:bottom w:val="single" w:color="auto" w:sz="4" w:space="0"/>
              <w:right w:val="single" w:color="auto" w:sz="4" w:space="0"/>
            </w:tcBorders>
            <w:vAlign w:val="center"/>
          </w:tcPr>
          <w:p w14:paraId="42A8AD68">
            <w:pPr>
              <w:spacing w:line="240" w:lineRule="auto"/>
              <w:jc w:val="center"/>
              <w:rPr>
                <w:rFonts w:cs="Times New Roman"/>
                <w:color w:val="auto"/>
                <w:sz w:val="21"/>
                <w:szCs w:val="21"/>
              </w:rPr>
            </w:pPr>
            <w:r>
              <w:rPr>
                <w:rFonts w:cs="Times New Roman"/>
                <w:color w:val="auto"/>
                <w:sz w:val="21"/>
                <w:szCs w:val="21"/>
              </w:rPr>
              <w:t>（202</w:t>
            </w:r>
            <w:r>
              <w:rPr>
                <w:rFonts w:hint="eastAsia" w:cs="Times New Roman"/>
                <w:color w:val="auto"/>
                <w:sz w:val="21"/>
                <w:szCs w:val="21"/>
                <w:lang w:val="en-US" w:eastAsia="zh-CN"/>
              </w:rPr>
              <w:t>4</w:t>
            </w:r>
            <w:r>
              <w:rPr>
                <w:rFonts w:cs="Times New Roman"/>
                <w:color w:val="auto"/>
                <w:sz w:val="21"/>
                <w:szCs w:val="21"/>
              </w:rPr>
              <w:t>）年</w:t>
            </w:r>
          </w:p>
        </w:tc>
      </w:tr>
      <w:tr w14:paraId="69168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1CFDE32F">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3209048B">
            <w:pPr>
              <w:spacing w:line="240" w:lineRule="auto"/>
              <w:jc w:val="center"/>
              <w:rPr>
                <w:rFonts w:cs="Times New Roman"/>
                <w:color w:val="auto"/>
                <w:sz w:val="21"/>
                <w:szCs w:val="21"/>
              </w:rPr>
            </w:pPr>
            <w:r>
              <w:rPr>
                <w:rFonts w:cs="Times New Roman"/>
                <w:color w:val="auto"/>
                <w:sz w:val="21"/>
                <w:szCs w:val="21"/>
              </w:rPr>
              <w:t>环境空气质量现状调查数据来源</w:t>
            </w:r>
          </w:p>
        </w:tc>
        <w:tc>
          <w:tcPr>
            <w:tcW w:w="2307" w:type="dxa"/>
            <w:gridSpan w:val="6"/>
            <w:tcBorders>
              <w:top w:val="single" w:color="auto" w:sz="4" w:space="0"/>
              <w:left w:val="single" w:color="auto" w:sz="4" w:space="0"/>
              <w:bottom w:val="single" w:color="auto" w:sz="4" w:space="0"/>
              <w:right w:val="single" w:color="auto" w:sz="4" w:space="0"/>
            </w:tcBorders>
            <w:vAlign w:val="center"/>
          </w:tcPr>
          <w:p w14:paraId="3345FFBB">
            <w:pPr>
              <w:spacing w:line="240" w:lineRule="auto"/>
              <w:jc w:val="center"/>
              <w:rPr>
                <w:rFonts w:cs="Times New Roman"/>
                <w:color w:val="auto"/>
                <w:sz w:val="21"/>
                <w:szCs w:val="21"/>
              </w:rPr>
            </w:pPr>
            <w:r>
              <w:rPr>
                <w:rFonts w:cs="Times New Roman"/>
                <w:color w:val="auto"/>
                <w:sz w:val="21"/>
                <w:szCs w:val="21"/>
              </w:rPr>
              <w:t>长期例行监测数据</w:t>
            </w:r>
            <w:r>
              <w:rPr>
                <w:rFonts w:cs="Times New Roman"/>
                <w:color w:val="auto"/>
                <w:sz w:val="21"/>
                <w:szCs w:val="21"/>
              </w:rPr>
              <w:sym w:font="Wingdings 2" w:char="F0A3"/>
            </w:r>
          </w:p>
        </w:tc>
        <w:tc>
          <w:tcPr>
            <w:tcW w:w="3556" w:type="dxa"/>
            <w:gridSpan w:val="7"/>
            <w:tcBorders>
              <w:top w:val="single" w:color="auto" w:sz="4" w:space="0"/>
              <w:left w:val="single" w:color="auto" w:sz="4" w:space="0"/>
              <w:bottom w:val="single" w:color="auto" w:sz="4" w:space="0"/>
              <w:right w:val="single" w:color="auto" w:sz="4" w:space="0"/>
            </w:tcBorders>
            <w:vAlign w:val="center"/>
          </w:tcPr>
          <w:p w14:paraId="6D78A53B">
            <w:pPr>
              <w:spacing w:line="240" w:lineRule="auto"/>
              <w:jc w:val="center"/>
              <w:rPr>
                <w:rFonts w:cs="Times New Roman"/>
                <w:color w:val="auto"/>
                <w:sz w:val="21"/>
                <w:szCs w:val="21"/>
              </w:rPr>
            </w:pPr>
            <w:r>
              <w:rPr>
                <w:rFonts w:cs="Times New Roman"/>
                <w:color w:val="auto"/>
                <w:sz w:val="21"/>
                <w:szCs w:val="21"/>
              </w:rPr>
              <w:t>主管部门发布的数据</w:t>
            </w:r>
            <w:r>
              <w:rPr>
                <w:rFonts w:cs="Times New Roman"/>
                <w:color w:val="auto"/>
                <w:sz w:val="21"/>
                <w:szCs w:val="21"/>
              </w:rPr>
              <w:sym w:font="Wingdings 2" w:char="F052"/>
            </w:r>
          </w:p>
        </w:tc>
        <w:tc>
          <w:tcPr>
            <w:tcW w:w="1511" w:type="dxa"/>
            <w:gridSpan w:val="4"/>
            <w:tcBorders>
              <w:top w:val="single" w:color="auto" w:sz="4" w:space="0"/>
              <w:left w:val="single" w:color="auto" w:sz="4" w:space="0"/>
              <w:bottom w:val="single" w:color="auto" w:sz="4" w:space="0"/>
              <w:right w:val="single" w:color="auto" w:sz="4" w:space="0"/>
            </w:tcBorders>
            <w:vAlign w:val="center"/>
          </w:tcPr>
          <w:p w14:paraId="0E7CD497">
            <w:pPr>
              <w:spacing w:line="240" w:lineRule="auto"/>
              <w:jc w:val="center"/>
              <w:rPr>
                <w:rFonts w:cs="Times New Roman"/>
                <w:color w:val="auto"/>
                <w:sz w:val="21"/>
                <w:szCs w:val="21"/>
              </w:rPr>
            </w:pPr>
            <w:r>
              <w:rPr>
                <w:rFonts w:cs="Times New Roman"/>
                <w:color w:val="auto"/>
                <w:sz w:val="21"/>
                <w:szCs w:val="21"/>
              </w:rPr>
              <w:t>现状补充监测</w:t>
            </w:r>
            <w:r>
              <w:rPr>
                <w:rFonts w:cs="Times New Roman"/>
                <w:color w:val="auto"/>
                <w:sz w:val="21"/>
                <w:szCs w:val="21"/>
              </w:rPr>
              <w:sym w:font="Wingdings 2" w:char="F052"/>
            </w:r>
          </w:p>
        </w:tc>
      </w:tr>
      <w:tr w14:paraId="24843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7C8DBB86">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3F672E78">
            <w:pPr>
              <w:spacing w:line="240" w:lineRule="auto"/>
              <w:jc w:val="center"/>
              <w:rPr>
                <w:rFonts w:cs="Times New Roman"/>
                <w:color w:val="auto"/>
                <w:sz w:val="21"/>
                <w:szCs w:val="21"/>
              </w:rPr>
            </w:pPr>
            <w:r>
              <w:rPr>
                <w:rFonts w:cs="Times New Roman"/>
                <w:color w:val="auto"/>
                <w:sz w:val="21"/>
                <w:szCs w:val="21"/>
              </w:rPr>
              <w:t>现状评价</w:t>
            </w:r>
          </w:p>
        </w:tc>
        <w:tc>
          <w:tcPr>
            <w:tcW w:w="4211" w:type="dxa"/>
            <w:gridSpan w:val="9"/>
            <w:tcBorders>
              <w:top w:val="single" w:color="auto" w:sz="4" w:space="0"/>
              <w:left w:val="single" w:color="auto" w:sz="4" w:space="0"/>
              <w:bottom w:val="single" w:color="auto" w:sz="4" w:space="0"/>
              <w:right w:val="single" w:color="auto" w:sz="4" w:space="0"/>
            </w:tcBorders>
            <w:vAlign w:val="center"/>
          </w:tcPr>
          <w:p w14:paraId="207D3EA7">
            <w:pPr>
              <w:spacing w:line="240" w:lineRule="auto"/>
              <w:jc w:val="center"/>
              <w:rPr>
                <w:rFonts w:cs="Times New Roman"/>
                <w:color w:val="auto"/>
                <w:sz w:val="21"/>
                <w:szCs w:val="21"/>
              </w:rPr>
            </w:pPr>
            <w:r>
              <w:rPr>
                <w:rFonts w:cs="Times New Roman"/>
                <w:color w:val="auto"/>
                <w:sz w:val="21"/>
                <w:szCs w:val="21"/>
              </w:rPr>
              <w:t>达标区</w:t>
            </w:r>
            <w:r>
              <w:rPr>
                <w:rFonts w:cs="Times New Roman"/>
                <w:color w:val="auto"/>
                <w:sz w:val="21"/>
                <w:szCs w:val="21"/>
              </w:rPr>
              <w:sym w:font="Wingdings 2" w:char="F0A3"/>
            </w:r>
          </w:p>
        </w:tc>
        <w:tc>
          <w:tcPr>
            <w:tcW w:w="3163" w:type="dxa"/>
            <w:gridSpan w:val="8"/>
            <w:tcBorders>
              <w:top w:val="single" w:color="auto" w:sz="4" w:space="0"/>
              <w:left w:val="single" w:color="auto" w:sz="4" w:space="0"/>
              <w:bottom w:val="single" w:color="auto" w:sz="4" w:space="0"/>
              <w:right w:val="single" w:color="auto" w:sz="4" w:space="0"/>
            </w:tcBorders>
            <w:vAlign w:val="center"/>
          </w:tcPr>
          <w:p w14:paraId="721CC9F5">
            <w:pPr>
              <w:spacing w:line="240" w:lineRule="auto"/>
              <w:jc w:val="center"/>
              <w:rPr>
                <w:rFonts w:cs="Times New Roman"/>
                <w:color w:val="auto"/>
                <w:sz w:val="21"/>
                <w:szCs w:val="21"/>
              </w:rPr>
            </w:pPr>
            <w:r>
              <w:rPr>
                <w:rFonts w:cs="Times New Roman"/>
                <w:color w:val="auto"/>
                <w:sz w:val="21"/>
                <w:szCs w:val="21"/>
              </w:rPr>
              <w:t>不达标区</w:t>
            </w:r>
            <w:r>
              <w:rPr>
                <w:rFonts w:cs="Times New Roman"/>
                <w:color w:val="auto"/>
                <w:sz w:val="21"/>
                <w:szCs w:val="21"/>
              </w:rPr>
              <w:sym w:font="Wingdings 2" w:char="F052"/>
            </w:r>
          </w:p>
        </w:tc>
      </w:tr>
      <w:tr w14:paraId="58A31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72" w:hRule="atLeast"/>
          <w:jc w:val="center"/>
        </w:trPr>
        <w:tc>
          <w:tcPr>
            <w:tcW w:w="743" w:type="dxa"/>
            <w:tcBorders>
              <w:top w:val="single" w:color="auto" w:sz="4" w:space="0"/>
              <w:left w:val="single" w:color="auto" w:sz="4" w:space="0"/>
              <w:bottom w:val="single" w:color="auto" w:sz="4" w:space="0"/>
              <w:right w:val="single" w:color="auto" w:sz="4" w:space="0"/>
            </w:tcBorders>
            <w:vAlign w:val="center"/>
          </w:tcPr>
          <w:p w14:paraId="6345F4DF">
            <w:pPr>
              <w:spacing w:line="240" w:lineRule="auto"/>
              <w:jc w:val="center"/>
              <w:rPr>
                <w:rFonts w:cs="Times New Roman"/>
                <w:color w:val="auto"/>
                <w:sz w:val="21"/>
                <w:szCs w:val="21"/>
              </w:rPr>
            </w:pPr>
            <w:r>
              <w:rPr>
                <w:rFonts w:cs="Times New Roman"/>
                <w:color w:val="auto"/>
                <w:sz w:val="21"/>
                <w:szCs w:val="21"/>
              </w:rPr>
              <w:t>污染源</w:t>
            </w:r>
          </w:p>
          <w:p w14:paraId="72DF6236">
            <w:pPr>
              <w:spacing w:line="240" w:lineRule="auto"/>
              <w:jc w:val="center"/>
              <w:rPr>
                <w:rFonts w:cs="Times New Roman"/>
                <w:color w:val="auto"/>
                <w:sz w:val="21"/>
                <w:szCs w:val="21"/>
              </w:rPr>
            </w:pPr>
            <w:r>
              <w:rPr>
                <w:rFonts w:cs="Times New Roman"/>
                <w:color w:val="auto"/>
                <w:sz w:val="21"/>
                <w:szCs w:val="21"/>
              </w:rPr>
              <w:t>调查</w:t>
            </w:r>
          </w:p>
        </w:tc>
        <w:tc>
          <w:tcPr>
            <w:tcW w:w="1305" w:type="dxa"/>
            <w:tcBorders>
              <w:top w:val="single" w:color="auto" w:sz="4" w:space="0"/>
              <w:left w:val="single" w:color="auto" w:sz="4" w:space="0"/>
              <w:bottom w:val="single" w:color="auto" w:sz="4" w:space="0"/>
              <w:right w:val="single" w:color="auto" w:sz="4" w:space="0"/>
            </w:tcBorders>
            <w:vAlign w:val="center"/>
          </w:tcPr>
          <w:p w14:paraId="79AD4F11">
            <w:pPr>
              <w:spacing w:line="240" w:lineRule="auto"/>
              <w:jc w:val="center"/>
              <w:rPr>
                <w:rFonts w:cs="Times New Roman"/>
                <w:color w:val="auto"/>
                <w:sz w:val="21"/>
                <w:szCs w:val="21"/>
              </w:rPr>
            </w:pPr>
            <w:r>
              <w:rPr>
                <w:rFonts w:cs="Times New Roman"/>
                <w:color w:val="auto"/>
                <w:sz w:val="21"/>
                <w:szCs w:val="21"/>
              </w:rPr>
              <w:t>调查内容</w:t>
            </w:r>
          </w:p>
        </w:tc>
        <w:tc>
          <w:tcPr>
            <w:tcW w:w="2307" w:type="dxa"/>
            <w:gridSpan w:val="6"/>
            <w:tcBorders>
              <w:top w:val="single" w:color="auto" w:sz="4" w:space="0"/>
              <w:left w:val="single" w:color="auto" w:sz="4" w:space="0"/>
              <w:bottom w:val="single" w:color="auto" w:sz="4" w:space="0"/>
              <w:right w:val="single" w:color="auto" w:sz="4" w:space="0"/>
            </w:tcBorders>
            <w:vAlign w:val="center"/>
          </w:tcPr>
          <w:p w14:paraId="5D9B6B00">
            <w:pPr>
              <w:spacing w:line="240" w:lineRule="auto"/>
              <w:jc w:val="center"/>
              <w:rPr>
                <w:rFonts w:cs="Times New Roman"/>
                <w:color w:val="auto"/>
                <w:sz w:val="21"/>
                <w:szCs w:val="21"/>
              </w:rPr>
            </w:pPr>
            <w:r>
              <w:rPr>
                <w:rFonts w:cs="Times New Roman"/>
                <w:color w:val="auto"/>
                <w:sz w:val="21"/>
                <w:szCs w:val="21"/>
              </w:rPr>
              <w:t>本项目正常排放源</w:t>
            </w:r>
            <w:r>
              <w:rPr>
                <w:rFonts w:cs="Times New Roman"/>
                <w:color w:val="auto"/>
                <w:sz w:val="21"/>
                <w:szCs w:val="21"/>
              </w:rPr>
              <w:sym w:font="Wingdings 2" w:char="F052"/>
            </w:r>
          </w:p>
          <w:p w14:paraId="6E7C4538">
            <w:pPr>
              <w:spacing w:line="240" w:lineRule="auto"/>
              <w:jc w:val="center"/>
              <w:rPr>
                <w:rFonts w:cs="Times New Roman"/>
                <w:color w:val="auto"/>
                <w:sz w:val="21"/>
                <w:szCs w:val="21"/>
              </w:rPr>
            </w:pPr>
            <w:r>
              <w:rPr>
                <w:rFonts w:cs="Times New Roman"/>
                <w:color w:val="auto"/>
                <w:sz w:val="21"/>
                <w:szCs w:val="21"/>
              </w:rPr>
              <w:t>本项目非正常排放源</w:t>
            </w:r>
            <w:r>
              <w:rPr>
                <w:rFonts w:cs="Times New Roman"/>
                <w:color w:val="auto"/>
                <w:sz w:val="21"/>
                <w:szCs w:val="21"/>
              </w:rPr>
              <w:sym w:font="Wingdings 2" w:char="00A3"/>
            </w:r>
          </w:p>
          <w:p w14:paraId="46860AB6">
            <w:pPr>
              <w:spacing w:line="240" w:lineRule="auto"/>
              <w:jc w:val="center"/>
              <w:rPr>
                <w:rFonts w:cs="Times New Roman"/>
                <w:color w:val="auto"/>
                <w:sz w:val="21"/>
                <w:szCs w:val="21"/>
              </w:rPr>
            </w:pPr>
            <w:r>
              <w:rPr>
                <w:rFonts w:cs="Times New Roman"/>
                <w:color w:val="auto"/>
                <w:sz w:val="21"/>
                <w:szCs w:val="21"/>
              </w:rPr>
              <w:t>现有污染源</w:t>
            </w:r>
            <w:r>
              <w:rPr>
                <w:rFonts w:cs="Times New Roman"/>
                <w:color w:val="auto"/>
                <w:sz w:val="21"/>
                <w:szCs w:val="21"/>
              </w:rPr>
              <w:sym w:font="Wingdings 2" w:char="F0A3"/>
            </w:r>
          </w:p>
        </w:tc>
        <w:tc>
          <w:tcPr>
            <w:tcW w:w="1904" w:type="dxa"/>
            <w:gridSpan w:val="3"/>
            <w:tcBorders>
              <w:top w:val="single" w:color="auto" w:sz="4" w:space="0"/>
              <w:left w:val="single" w:color="auto" w:sz="4" w:space="0"/>
              <w:bottom w:val="single" w:color="auto" w:sz="4" w:space="0"/>
              <w:right w:val="single" w:color="auto" w:sz="4" w:space="0"/>
            </w:tcBorders>
            <w:vAlign w:val="center"/>
          </w:tcPr>
          <w:p w14:paraId="4FC8F32F">
            <w:pPr>
              <w:spacing w:line="240" w:lineRule="auto"/>
              <w:jc w:val="center"/>
              <w:rPr>
                <w:rFonts w:cs="Times New Roman"/>
                <w:color w:val="auto"/>
                <w:sz w:val="21"/>
                <w:szCs w:val="21"/>
              </w:rPr>
            </w:pPr>
            <w:r>
              <w:rPr>
                <w:rFonts w:cs="Times New Roman"/>
                <w:color w:val="auto"/>
                <w:sz w:val="21"/>
                <w:szCs w:val="21"/>
              </w:rPr>
              <w:t>拟替代的污染源</w:t>
            </w:r>
            <w:r>
              <w:rPr>
                <w:rFonts w:cs="Times New Roman"/>
                <w:color w:val="auto"/>
                <w:sz w:val="21"/>
                <w:szCs w:val="21"/>
              </w:rPr>
              <w:sym w:font="Wingdings 2" w:char="00A3"/>
            </w:r>
          </w:p>
        </w:tc>
        <w:tc>
          <w:tcPr>
            <w:tcW w:w="1969" w:type="dxa"/>
            <w:gridSpan w:val="5"/>
            <w:tcBorders>
              <w:top w:val="single" w:color="auto" w:sz="4" w:space="0"/>
              <w:left w:val="single" w:color="auto" w:sz="4" w:space="0"/>
              <w:bottom w:val="single" w:color="auto" w:sz="4" w:space="0"/>
              <w:right w:val="single" w:color="auto" w:sz="4" w:space="0"/>
            </w:tcBorders>
            <w:vAlign w:val="center"/>
          </w:tcPr>
          <w:p w14:paraId="6C3BF0F3">
            <w:pPr>
              <w:spacing w:line="240" w:lineRule="auto"/>
              <w:jc w:val="center"/>
              <w:rPr>
                <w:rFonts w:cs="Times New Roman"/>
                <w:color w:val="auto"/>
                <w:sz w:val="21"/>
                <w:szCs w:val="21"/>
              </w:rPr>
            </w:pPr>
            <w:r>
              <w:rPr>
                <w:rFonts w:cs="Times New Roman"/>
                <w:color w:val="auto"/>
                <w:sz w:val="21"/>
                <w:szCs w:val="21"/>
              </w:rPr>
              <w:t>其他在建、拟建项目污染源</w:t>
            </w:r>
            <w:r>
              <w:rPr>
                <w:rFonts w:cs="Times New Roman"/>
                <w:color w:val="auto"/>
                <w:sz w:val="21"/>
                <w:szCs w:val="21"/>
              </w:rPr>
              <w:sym w:font="Wingdings 2" w:char="00A3"/>
            </w:r>
          </w:p>
        </w:tc>
        <w:tc>
          <w:tcPr>
            <w:tcW w:w="1194" w:type="dxa"/>
            <w:gridSpan w:val="3"/>
            <w:tcBorders>
              <w:top w:val="single" w:color="auto" w:sz="4" w:space="0"/>
              <w:left w:val="single" w:color="auto" w:sz="4" w:space="0"/>
              <w:bottom w:val="single" w:color="auto" w:sz="4" w:space="0"/>
              <w:right w:val="single" w:color="auto" w:sz="4" w:space="0"/>
            </w:tcBorders>
            <w:vAlign w:val="center"/>
          </w:tcPr>
          <w:p w14:paraId="2B094F91">
            <w:pPr>
              <w:spacing w:line="240" w:lineRule="auto"/>
              <w:jc w:val="center"/>
              <w:rPr>
                <w:rFonts w:cs="Times New Roman"/>
                <w:color w:val="auto"/>
                <w:sz w:val="21"/>
                <w:szCs w:val="21"/>
              </w:rPr>
            </w:pPr>
            <w:r>
              <w:rPr>
                <w:rFonts w:cs="Times New Roman"/>
                <w:color w:val="auto"/>
                <w:sz w:val="21"/>
                <w:szCs w:val="21"/>
              </w:rPr>
              <w:t>区域污染源</w:t>
            </w:r>
            <w:r>
              <w:rPr>
                <w:rFonts w:cs="Times New Roman"/>
                <w:color w:val="auto"/>
                <w:sz w:val="21"/>
                <w:szCs w:val="21"/>
              </w:rPr>
              <w:sym w:font="Wingdings 2" w:char="00A3"/>
            </w:r>
          </w:p>
        </w:tc>
      </w:tr>
      <w:tr w14:paraId="76866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5AE5112F">
            <w:pPr>
              <w:spacing w:line="240" w:lineRule="auto"/>
              <w:jc w:val="center"/>
              <w:rPr>
                <w:rFonts w:cs="Times New Roman"/>
                <w:color w:val="auto"/>
                <w:sz w:val="21"/>
                <w:szCs w:val="21"/>
              </w:rPr>
            </w:pPr>
            <w:r>
              <w:rPr>
                <w:rFonts w:cs="Times New Roman"/>
                <w:color w:val="auto"/>
                <w:sz w:val="21"/>
                <w:szCs w:val="21"/>
              </w:rPr>
              <w:t>大气环境影响预测与评价</w:t>
            </w:r>
          </w:p>
        </w:tc>
        <w:tc>
          <w:tcPr>
            <w:tcW w:w="1305" w:type="dxa"/>
            <w:tcBorders>
              <w:top w:val="single" w:color="auto" w:sz="4" w:space="0"/>
              <w:left w:val="single" w:color="auto" w:sz="4" w:space="0"/>
              <w:bottom w:val="single" w:color="auto" w:sz="4" w:space="0"/>
              <w:right w:val="single" w:color="auto" w:sz="4" w:space="0"/>
            </w:tcBorders>
            <w:vAlign w:val="center"/>
          </w:tcPr>
          <w:p w14:paraId="2CF3E672">
            <w:pPr>
              <w:spacing w:line="240" w:lineRule="auto"/>
              <w:jc w:val="center"/>
              <w:rPr>
                <w:rFonts w:cs="Times New Roman"/>
                <w:color w:val="auto"/>
                <w:sz w:val="21"/>
                <w:szCs w:val="21"/>
              </w:rPr>
            </w:pPr>
            <w:r>
              <w:rPr>
                <w:rFonts w:cs="Times New Roman"/>
                <w:color w:val="auto"/>
                <w:sz w:val="21"/>
                <w:szCs w:val="21"/>
              </w:rPr>
              <w:t>预测模型</w:t>
            </w:r>
          </w:p>
        </w:tc>
        <w:tc>
          <w:tcPr>
            <w:tcW w:w="1053" w:type="dxa"/>
            <w:tcBorders>
              <w:top w:val="single" w:color="auto" w:sz="4" w:space="0"/>
              <w:left w:val="single" w:color="auto" w:sz="4" w:space="0"/>
              <w:bottom w:val="single" w:color="auto" w:sz="4" w:space="0"/>
              <w:right w:val="single" w:color="auto" w:sz="4" w:space="0"/>
            </w:tcBorders>
            <w:vAlign w:val="center"/>
          </w:tcPr>
          <w:p w14:paraId="1BF50868">
            <w:pPr>
              <w:spacing w:line="240" w:lineRule="auto"/>
              <w:jc w:val="center"/>
              <w:rPr>
                <w:rFonts w:cs="Times New Roman"/>
                <w:color w:val="auto"/>
                <w:sz w:val="21"/>
                <w:szCs w:val="21"/>
              </w:rPr>
            </w:pPr>
            <w:r>
              <w:rPr>
                <w:rFonts w:cs="Times New Roman"/>
                <w:color w:val="auto"/>
                <w:sz w:val="21"/>
                <w:szCs w:val="21"/>
              </w:rPr>
              <w:t>AERMOD</w:t>
            </w:r>
          </w:p>
          <w:p w14:paraId="0618EBD2">
            <w:pPr>
              <w:spacing w:line="240" w:lineRule="auto"/>
              <w:jc w:val="center"/>
              <w:rPr>
                <w:rFonts w:cs="Times New Roman"/>
                <w:color w:val="auto"/>
                <w:sz w:val="21"/>
                <w:szCs w:val="21"/>
              </w:rPr>
            </w:pPr>
            <w:r>
              <w:rPr>
                <w:rFonts w:cs="Times New Roman"/>
                <w:color w:val="auto"/>
                <w:sz w:val="21"/>
                <w:szCs w:val="21"/>
              </w:rPr>
              <w:sym w:font="Wingdings 2" w:char="00A3"/>
            </w:r>
          </w:p>
        </w:tc>
        <w:tc>
          <w:tcPr>
            <w:tcW w:w="704" w:type="dxa"/>
            <w:gridSpan w:val="4"/>
            <w:tcBorders>
              <w:top w:val="single" w:color="auto" w:sz="4" w:space="0"/>
              <w:left w:val="single" w:color="auto" w:sz="4" w:space="0"/>
              <w:bottom w:val="single" w:color="auto" w:sz="4" w:space="0"/>
              <w:right w:val="single" w:color="auto" w:sz="4" w:space="0"/>
            </w:tcBorders>
            <w:vAlign w:val="center"/>
          </w:tcPr>
          <w:p w14:paraId="02DE1E80">
            <w:pPr>
              <w:spacing w:line="240" w:lineRule="auto"/>
              <w:jc w:val="center"/>
              <w:rPr>
                <w:rFonts w:cs="Times New Roman"/>
                <w:color w:val="auto"/>
                <w:sz w:val="21"/>
                <w:szCs w:val="21"/>
              </w:rPr>
            </w:pPr>
            <w:r>
              <w:rPr>
                <w:rFonts w:cs="Times New Roman"/>
                <w:color w:val="auto"/>
                <w:sz w:val="21"/>
                <w:szCs w:val="21"/>
              </w:rPr>
              <w:t>ADMS</w:t>
            </w:r>
          </w:p>
          <w:p w14:paraId="300755D4">
            <w:pPr>
              <w:spacing w:line="240" w:lineRule="auto"/>
              <w:jc w:val="center"/>
              <w:rPr>
                <w:rFonts w:cs="Times New Roman"/>
                <w:color w:val="auto"/>
                <w:sz w:val="21"/>
                <w:szCs w:val="21"/>
              </w:rPr>
            </w:pPr>
            <w:r>
              <w:rPr>
                <w:rFonts w:cs="Times New Roman"/>
                <w:color w:val="auto"/>
                <w:sz w:val="21"/>
                <w:szCs w:val="21"/>
              </w:rPr>
              <w:sym w:font="Wingdings 2" w:char="F0A3"/>
            </w:r>
          </w:p>
        </w:tc>
        <w:tc>
          <w:tcPr>
            <w:tcW w:w="1650" w:type="dxa"/>
            <w:gridSpan w:val="2"/>
            <w:tcBorders>
              <w:top w:val="single" w:color="auto" w:sz="4" w:space="0"/>
              <w:left w:val="single" w:color="auto" w:sz="4" w:space="0"/>
              <w:bottom w:val="single" w:color="auto" w:sz="4" w:space="0"/>
              <w:right w:val="single" w:color="auto" w:sz="4" w:space="0"/>
            </w:tcBorders>
            <w:vAlign w:val="center"/>
          </w:tcPr>
          <w:p w14:paraId="77561B7B">
            <w:pPr>
              <w:spacing w:line="240" w:lineRule="auto"/>
              <w:jc w:val="center"/>
              <w:rPr>
                <w:rFonts w:cs="Times New Roman"/>
                <w:color w:val="auto"/>
                <w:sz w:val="21"/>
                <w:szCs w:val="21"/>
              </w:rPr>
            </w:pPr>
            <w:r>
              <w:rPr>
                <w:rFonts w:cs="Times New Roman"/>
                <w:color w:val="auto"/>
                <w:sz w:val="21"/>
                <w:szCs w:val="21"/>
              </w:rPr>
              <w:t>AUSTAL2000</w:t>
            </w:r>
            <w:r>
              <w:rPr>
                <w:rFonts w:cs="Times New Roman"/>
                <w:color w:val="auto"/>
                <w:sz w:val="21"/>
                <w:szCs w:val="21"/>
              </w:rPr>
              <w:sym w:font="Wingdings 2" w:char="F0A3"/>
            </w:r>
          </w:p>
        </w:tc>
        <w:tc>
          <w:tcPr>
            <w:tcW w:w="1601" w:type="dxa"/>
            <w:gridSpan w:val="4"/>
            <w:tcBorders>
              <w:top w:val="single" w:color="auto" w:sz="4" w:space="0"/>
              <w:left w:val="single" w:color="auto" w:sz="4" w:space="0"/>
              <w:bottom w:val="single" w:color="auto" w:sz="4" w:space="0"/>
              <w:right w:val="single" w:color="auto" w:sz="4" w:space="0"/>
            </w:tcBorders>
            <w:vAlign w:val="center"/>
          </w:tcPr>
          <w:p w14:paraId="3853ADCD">
            <w:pPr>
              <w:spacing w:line="240" w:lineRule="auto"/>
              <w:jc w:val="center"/>
              <w:rPr>
                <w:rFonts w:cs="Times New Roman"/>
                <w:color w:val="auto"/>
                <w:sz w:val="21"/>
                <w:szCs w:val="21"/>
              </w:rPr>
            </w:pPr>
            <w:r>
              <w:rPr>
                <w:rFonts w:cs="Times New Roman"/>
                <w:color w:val="auto"/>
                <w:sz w:val="21"/>
                <w:szCs w:val="21"/>
              </w:rPr>
              <w:t>EDMS/AEDT</w:t>
            </w:r>
            <w:r>
              <w:rPr>
                <w:rFonts w:cs="Times New Roman"/>
                <w:color w:val="auto"/>
                <w:sz w:val="21"/>
                <w:szCs w:val="21"/>
              </w:rPr>
              <w:sym w:font="Wingdings 2" w:char="F0A3"/>
            </w:r>
          </w:p>
        </w:tc>
        <w:tc>
          <w:tcPr>
            <w:tcW w:w="1279" w:type="dxa"/>
            <w:gridSpan w:val="4"/>
            <w:tcBorders>
              <w:top w:val="single" w:color="auto" w:sz="4" w:space="0"/>
              <w:left w:val="single" w:color="auto" w:sz="4" w:space="0"/>
              <w:bottom w:val="single" w:color="auto" w:sz="4" w:space="0"/>
              <w:right w:val="single" w:color="auto" w:sz="4" w:space="0"/>
            </w:tcBorders>
            <w:vAlign w:val="center"/>
          </w:tcPr>
          <w:p w14:paraId="537DD321">
            <w:pPr>
              <w:spacing w:line="240" w:lineRule="auto"/>
              <w:jc w:val="center"/>
              <w:rPr>
                <w:rFonts w:cs="Times New Roman"/>
                <w:color w:val="auto"/>
                <w:sz w:val="21"/>
                <w:szCs w:val="21"/>
              </w:rPr>
            </w:pPr>
            <w:r>
              <w:rPr>
                <w:rFonts w:cs="Times New Roman"/>
                <w:color w:val="auto"/>
                <w:sz w:val="21"/>
                <w:szCs w:val="21"/>
              </w:rPr>
              <w:t>CALPUFF</w:t>
            </w:r>
            <w:r>
              <w:rPr>
                <w:rFonts w:cs="Times New Roman"/>
                <w:color w:val="auto"/>
                <w:sz w:val="21"/>
                <w:szCs w:val="21"/>
              </w:rPr>
              <w:sym w:font="Wingdings 2" w:char="F0A3"/>
            </w:r>
          </w:p>
        </w:tc>
        <w:tc>
          <w:tcPr>
            <w:tcW w:w="507" w:type="dxa"/>
            <w:tcBorders>
              <w:top w:val="single" w:color="auto" w:sz="4" w:space="0"/>
              <w:left w:val="single" w:color="auto" w:sz="4" w:space="0"/>
              <w:bottom w:val="single" w:color="auto" w:sz="4" w:space="0"/>
              <w:right w:val="single" w:color="auto" w:sz="4" w:space="0"/>
            </w:tcBorders>
            <w:vAlign w:val="center"/>
          </w:tcPr>
          <w:p w14:paraId="0DB39531">
            <w:pPr>
              <w:spacing w:line="240" w:lineRule="auto"/>
              <w:jc w:val="center"/>
              <w:rPr>
                <w:rFonts w:cs="Times New Roman"/>
                <w:color w:val="auto"/>
                <w:sz w:val="21"/>
                <w:szCs w:val="21"/>
              </w:rPr>
            </w:pPr>
            <w:r>
              <w:rPr>
                <w:rFonts w:cs="Times New Roman"/>
                <w:color w:val="auto"/>
                <w:sz w:val="21"/>
                <w:szCs w:val="21"/>
              </w:rPr>
              <w:t>网格模型</w:t>
            </w:r>
          </w:p>
          <w:p w14:paraId="3E37B0F6">
            <w:pPr>
              <w:spacing w:line="240" w:lineRule="auto"/>
              <w:jc w:val="center"/>
              <w:rPr>
                <w:rFonts w:cs="Times New Roman"/>
                <w:color w:val="auto"/>
                <w:sz w:val="21"/>
                <w:szCs w:val="21"/>
              </w:rPr>
            </w:pPr>
            <w:r>
              <w:rPr>
                <w:rFonts w:cs="Times New Roman"/>
                <w:color w:val="auto"/>
                <w:sz w:val="21"/>
                <w:szCs w:val="21"/>
              </w:rPr>
              <w:sym w:font="Wingdings 2" w:char="F0A3"/>
            </w:r>
          </w:p>
        </w:tc>
        <w:tc>
          <w:tcPr>
            <w:tcW w:w="580" w:type="dxa"/>
            <w:tcBorders>
              <w:top w:val="single" w:color="auto" w:sz="4" w:space="0"/>
              <w:left w:val="single" w:color="auto" w:sz="4" w:space="0"/>
              <w:bottom w:val="single" w:color="auto" w:sz="4" w:space="0"/>
              <w:right w:val="single" w:color="auto" w:sz="4" w:space="0"/>
            </w:tcBorders>
            <w:vAlign w:val="center"/>
          </w:tcPr>
          <w:p w14:paraId="7B2D5FC1">
            <w:pPr>
              <w:spacing w:line="240" w:lineRule="auto"/>
              <w:jc w:val="center"/>
              <w:rPr>
                <w:rFonts w:cs="Times New Roman"/>
                <w:color w:val="auto"/>
                <w:sz w:val="21"/>
                <w:szCs w:val="21"/>
              </w:rPr>
            </w:pPr>
            <w:r>
              <w:rPr>
                <w:rFonts w:cs="Times New Roman"/>
                <w:color w:val="auto"/>
                <w:sz w:val="21"/>
                <w:szCs w:val="21"/>
              </w:rPr>
              <w:t>其他</w:t>
            </w:r>
          </w:p>
          <w:p w14:paraId="05932A4C">
            <w:pPr>
              <w:spacing w:line="240" w:lineRule="auto"/>
              <w:jc w:val="center"/>
              <w:rPr>
                <w:rFonts w:cs="Times New Roman"/>
                <w:color w:val="auto"/>
                <w:sz w:val="21"/>
                <w:szCs w:val="21"/>
              </w:rPr>
            </w:pPr>
            <w:r>
              <w:rPr>
                <w:rFonts w:cs="Times New Roman"/>
                <w:color w:val="auto"/>
                <w:sz w:val="21"/>
                <w:szCs w:val="21"/>
              </w:rPr>
              <w:sym w:font="Wingdings 2" w:char="F052"/>
            </w:r>
          </w:p>
        </w:tc>
      </w:tr>
      <w:tr w14:paraId="614641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2A262310">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4D7289A0">
            <w:pPr>
              <w:spacing w:line="240" w:lineRule="auto"/>
              <w:jc w:val="center"/>
              <w:rPr>
                <w:rFonts w:cs="Times New Roman"/>
                <w:color w:val="auto"/>
                <w:sz w:val="21"/>
                <w:szCs w:val="21"/>
              </w:rPr>
            </w:pPr>
            <w:r>
              <w:rPr>
                <w:rFonts w:cs="Times New Roman"/>
                <w:color w:val="auto"/>
                <w:sz w:val="21"/>
                <w:szCs w:val="21"/>
              </w:rPr>
              <w:t>预测范围</w:t>
            </w:r>
          </w:p>
        </w:tc>
        <w:tc>
          <w:tcPr>
            <w:tcW w:w="1757" w:type="dxa"/>
            <w:gridSpan w:val="5"/>
            <w:tcBorders>
              <w:top w:val="single" w:color="auto" w:sz="4" w:space="0"/>
              <w:left w:val="single" w:color="auto" w:sz="4" w:space="0"/>
              <w:bottom w:val="single" w:color="auto" w:sz="4" w:space="0"/>
              <w:right w:val="single" w:color="auto" w:sz="4" w:space="0"/>
            </w:tcBorders>
            <w:vAlign w:val="center"/>
          </w:tcPr>
          <w:p w14:paraId="2B64CFFF">
            <w:pPr>
              <w:spacing w:line="240" w:lineRule="auto"/>
              <w:jc w:val="center"/>
              <w:rPr>
                <w:rFonts w:cs="Times New Roman"/>
                <w:color w:val="auto"/>
                <w:sz w:val="21"/>
                <w:szCs w:val="21"/>
              </w:rPr>
            </w:pPr>
            <w:r>
              <w:rPr>
                <w:rFonts w:cs="Times New Roman"/>
                <w:color w:val="auto"/>
                <w:sz w:val="21"/>
                <w:szCs w:val="21"/>
              </w:rPr>
              <w:t>边长≥50km</w:t>
            </w:r>
            <w:r>
              <w:rPr>
                <w:rFonts w:cs="Times New Roman"/>
                <w:color w:val="auto"/>
                <w:sz w:val="21"/>
                <w:szCs w:val="21"/>
              </w:rPr>
              <w:sym w:font="Wingdings 2" w:char="F0A3"/>
            </w:r>
          </w:p>
        </w:tc>
        <w:tc>
          <w:tcPr>
            <w:tcW w:w="4530" w:type="dxa"/>
            <w:gridSpan w:val="10"/>
            <w:tcBorders>
              <w:top w:val="single" w:color="auto" w:sz="4" w:space="0"/>
              <w:left w:val="single" w:color="auto" w:sz="4" w:space="0"/>
              <w:bottom w:val="single" w:color="auto" w:sz="4" w:space="0"/>
              <w:right w:val="single" w:color="auto" w:sz="4" w:space="0"/>
            </w:tcBorders>
            <w:vAlign w:val="center"/>
          </w:tcPr>
          <w:p w14:paraId="740C1A83">
            <w:pPr>
              <w:spacing w:line="240" w:lineRule="auto"/>
              <w:jc w:val="center"/>
              <w:rPr>
                <w:rFonts w:cs="Times New Roman"/>
                <w:color w:val="auto"/>
                <w:sz w:val="21"/>
                <w:szCs w:val="21"/>
              </w:rPr>
            </w:pPr>
            <w:r>
              <w:rPr>
                <w:rFonts w:cs="Times New Roman"/>
                <w:color w:val="auto"/>
                <w:sz w:val="21"/>
                <w:szCs w:val="21"/>
              </w:rPr>
              <w:t>边长5～50km</w:t>
            </w:r>
            <w:r>
              <w:rPr>
                <w:rFonts w:cs="Times New Roman"/>
                <w:color w:val="auto"/>
                <w:sz w:val="21"/>
                <w:szCs w:val="21"/>
              </w:rPr>
              <w:sym w:font="Wingdings 2" w:char="F0A3"/>
            </w:r>
          </w:p>
        </w:tc>
        <w:tc>
          <w:tcPr>
            <w:tcW w:w="1087" w:type="dxa"/>
            <w:gridSpan w:val="2"/>
            <w:tcBorders>
              <w:top w:val="single" w:color="auto" w:sz="4" w:space="0"/>
              <w:left w:val="single" w:color="auto" w:sz="4" w:space="0"/>
              <w:bottom w:val="single" w:color="auto" w:sz="4" w:space="0"/>
              <w:right w:val="single" w:color="auto" w:sz="4" w:space="0"/>
            </w:tcBorders>
            <w:vAlign w:val="center"/>
          </w:tcPr>
          <w:p w14:paraId="511A226B">
            <w:pPr>
              <w:spacing w:line="240" w:lineRule="auto"/>
              <w:jc w:val="center"/>
              <w:rPr>
                <w:rFonts w:cs="Times New Roman"/>
                <w:color w:val="auto"/>
                <w:sz w:val="21"/>
                <w:szCs w:val="21"/>
              </w:rPr>
            </w:pPr>
            <w:r>
              <w:rPr>
                <w:rFonts w:cs="Times New Roman"/>
                <w:color w:val="auto"/>
                <w:sz w:val="21"/>
                <w:szCs w:val="21"/>
              </w:rPr>
              <w:t>边长=5km</w:t>
            </w:r>
            <w:r>
              <w:rPr>
                <w:rFonts w:cs="Times New Roman"/>
                <w:color w:val="auto"/>
                <w:sz w:val="21"/>
                <w:szCs w:val="21"/>
              </w:rPr>
              <w:sym w:font="Wingdings 2" w:char="F052"/>
            </w:r>
          </w:p>
        </w:tc>
      </w:tr>
      <w:tr w14:paraId="6B9FF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2AC6F0FC">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369C0E4C">
            <w:pPr>
              <w:spacing w:line="240" w:lineRule="auto"/>
              <w:jc w:val="center"/>
              <w:rPr>
                <w:rFonts w:cs="Times New Roman"/>
                <w:color w:val="auto"/>
                <w:sz w:val="21"/>
                <w:szCs w:val="21"/>
              </w:rPr>
            </w:pPr>
            <w:r>
              <w:rPr>
                <w:rFonts w:cs="Times New Roman"/>
                <w:color w:val="auto"/>
                <w:sz w:val="21"/>
                <w:szCs w:val="21"/>
              </w:rPr>
              <w:t>预测因子</w:t>
            </w:r>
          </w:p>
        </w:tc>
        <w:tc>
          <w:tcPr>
            <w:tcW w:w="4578" w:type="dxa"/>
            <w:gridSpan w:val="10"/>
            <w:tcBorders>
              <w:top w:val="single" w:color="auto" w:sz="4" w:space="0"/>
              <w:left w:val="single" w:color="auto" w:sz="4" w:space="0"/>
              <w:bottom w:val="single" w:color="auto" w:sz="4" w:space="0"/>
              <w:right w:val="single" w:color="auto" w:sz="4" w:space="0"/>
            </w:tcBorders>
            <w:vAlign w:val="center"/>
          </w:tcPr>
          <w:p w14:paraId="67455EE5">
            <w:pPr>
              <w:spacing w:line="240" w:lineRule="auto"/>
              <w:jc w:val="center"/>
              <w:rPr>
                <w:rFonts w:cs="Times New Roman"/>
                <w:color w:val="auto"/>
                <w:sz w:val="21"/>
                <w:szCs w:val="21"/>
              </w:rPr>
            </w:pPr>
            <w:r>
              <w:rPr>
                <w:rFonts w:cs="Times New Roman"/>
                <w:color w:val="auto"/>
                <w:sz w:val="21"/>
                <w:szCs w:val="21"/>
              </w:rPr>
              <w:t>预测因子（</w:t>
            </w:r>
            <w:r>
              <w:rPr>
                <w:color w:val="auto"/>
                <w:sz w:val="21"/>
                <w:szCs w:val="18"/>
              </w:rPr>
              <w:t>PM</w:t>
            </w:r>
            <w:r>
              <w:rPr>
                <w:color w:val="auto"/>
                <w:sz w:val="21"/>
                <w:szCs w:val="18"/>
                <w:vertAlign w:val="subscript"/>
              </w:rPr>
              <w:t>2.5</w:t>
            </w:r>
            <w:r>
              <w:rPr>
                <w:color w:val="auto"/>
                <w:sz w:val="21"/>
                <w:szCs w:val="18"/>
              </w:rPr>
              <w:t>、PM</w:t>
            </w:r>
            <w:r>
              <w:rPr>
                <w:color w:val="auto"/>
                <w:sz w:val="21"/>
                <w:szCs w:val="18"/>
                <w:vertAlign w:val="subscript"/>
              </w:rPr>
              <w:t>10</w:t>
            </w:r>
            <w:r>
              <w:rPr>
                <w:rFonts w:hint="eastAsia"/>
                <w:color w:val="auto"/>
                <w:sz w:val="21"/>
                <w:szCs w:val="18"/>
              </w:rPr>
              <w:t>、TSP</w:t>
            </w:r>
            <w:r>
              <w:rPr>
                <w:rFonts w:hint="eastAsia"/>
                <w:color w:val="auto"/>
                <w:sz w:val="21"/>
                <w:szCs w:val="18"/>
                <w:lang w:eastAsia="zh-CN"/>
              </w:rPr>
              <w:t>、</w:t>
            </w:r>
            <w:r>
              <w:rPr>
                <w:rFonts w:cs="Times New Roman"/>
                <w:color w:val="auto"/>
                <w:sz w:val="21"/>
                <w:szCs w:val="21"/>
              </w:rPr>
              <w:t>非甲烷总烃）</w:t>
            </w:r>
          </w:p>
        </w:tc>
        <w:tc>
          <w:tcPr>
            <w:tcW w:w="2796" w:type="dxa"/>
            <w:gridSpan w:val="7"/>
            <w:tcBorders>
              <w:top w:val="single" w:color="auto" w:sz="4" w:space="0"/>
              <w:left w:val="single" w:color="auto" w:sz="4" w:space="0"/>
              <w:bottom w:val="single" w:color="auto" w:sz="4" w:space="0"/>
              <w:right w:val="single" w:color="auto" w:sz="4" w:space="0"/>
            </w:tcBorders>
            <w:vAlign w:val="center"/>
          </w:tcPr>
          <w:p w14:paraId="3D5EB403">
            <w:pPr>
              <w:spacing w:line="240" w:lineRule="auto"/>
              <w:jc w:val="center"/>
              <w:rPr>
                <w:rFonts w:cs="Times New Roman"/>
                <w:color w:val="auto"/>
                <w:sz w:val="21"/>
                <w:szCs w:val="21"/>
              </w:rPr>
            </w:pPr>
            <w:r>
              <w:rPr>
                <w:rFonts w:cs="Times New Roman"/>
                <w:color w:val="auto"/>
                <w:sz w:val="21"/>
                <w:szCs w:val="21"/>
              </w:rPr>
              <w:t>包括二次PM</w:t>
            </w:r>
            <w:r>
              <w:rPr>
                <w:rFonts w:cs="Times New Roman"/>
                <w:color w:val="auto"/>
                <w:sz w:val="21"/>
                <w:szCs w:val="21"/>
                <w:vertAlign w:val="subscript"/>
              </w:rPr>
              <w:t>2.5</w:t>
            </w:r>
            <w:r>
              <w:rPr>
                <w:rFonts w:cs="Times New Roman"/>
                <w:color w:val="auto"/>
                <w:sz w:val="21"/>
                <w:szCs w:val="21"/>
              </w:rPr>
              <w:sym w:font="Wingdings 2" w:char="F0A3"/>
            </w:r>
          </w:p>
          <w:p w14:paraId="7F5A471C">
            <w:pPr>
              <w:spacing w:line="240" w:lineRule="auto"/>
              <w:jc w:val="center"/>
              <w:rPr>
                <w:rFonts w:cs="Times New Roman"/>
                <w:color w:val="auto"/>
                <w:sz w:val="21"/>
                <w:szCs w:val="21"/>
              </w:rPr>
            </w:pPr>
            <w:r>
              <w:rPr>
                <w:rFonts w:cs="Times New Roman"/>
                <w:color w:val="auto"/>
                <w:sz w:val="21"/>
                <w:szCs w:val="21"/>
              </w:rPr>
              <w:t>不包括二次PM</w:t>
            </w:r>
            <w:r>
              <w:rPr>
                <w:rFonts w:cs="Times New Roman"/>
                <w:color w:val="auto"/>
                <w:sz w:val="21"/>
                <w:szCs w:val="21"/>
                <w:vertAlign w:val="subscript"/>
              </w:rPr>
              <w:t>2.5</w:t>
            </w:r>
            <w:r>
              <w:rPr>
                <w:rFonts w:cs="Times New Roman"/>
                <w:color w:val="auto"/>
                <w:sz w:val="21"/>
                <w:szCs w:val="21"/>
              </w:rPr>
              <w:sym w:font="Wingdings 2" w:char="F052"/>
            </w:r>
          </w:p>
        </w:tc>
      </w:tr>
      <w:tr w14:paraId="13C271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4D107A38">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332679FA">
            <w:pPr>
              <w:spacing w:line="240" w:lineRule="auto"/>
              <w:jc w:val="center"/>
              <w:rPr>
                <w:rFonts w:cs="Times New Roman"/>
                <w:color w:val="auto"/>
                <w:sz w:val="21"/>
                <w:szCs w:val="21"/>
              </w:rPr>
            </w:pPr>
            <w:r>
              <w:rPr>
                <w:rFonts w:cs="Times New Roman"/>
                <w:color w:val="auto"/>
                <w:sz w:val="21"/>
                <w:szCs w:val="21"/>
              </w:rPr>
              <w:t>正常排放短期浓度贡献值</w:t>
            </w:r>
          </w:p>
        </w:tc>
        <w:tc>
          <w:tcPr>
            <w:tcW w:w="4578" w:type="dxa"/>
            <w:gridSpan w:val="10"/>
            <w:tcBorders>
              <w:top w:val="single" w:color="auto" w:sz="4" w:space="0"/>
              <w:left w:val="single" w:color="auto" w:sz="4" w:space="0"/>
              <w:bottom w:val="single" w:color="auto" w:sz="4" w:space="0"/>
              <w:right w:val="single" w:color="auto" w:sz="4" w:space="0"/>
            </w:tcBorders>
            <w:vAlign w:val="center"/>
          </w:tcPr>
          <w:p w14:paraId="014D26D3">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最大占标率≤100%</w:t>
            </w:r>
            <w:r>
              <w:rPr>
                <w:rFonts w:cs="Times New Roman"/>
                <w:color w:val="auto"/>
                <w:sz w:val="21"/>
                <w:szCs w:val="21"/>
              </w:rPr>
              <w:sym w:font="Wingdings 2" w:char="F052"/>
            </w:r>
          </w:p>
        </w:tc>
        <w:tc>
          <w:tcPr>
            <w:tcW w:w="2796" w:type="dxa"/>
            <w:gridSpan w:val="7"/>
            <w:tcBorders>
              <w:top w:val="single" w:color="auto" w:sz="4" w:space="0"/>
              <w:left w:val="single" w:color="auto" w:sz="4" w:space="0"/>
              <w:bottom w:val="single" w:color="auto" w:sz="4" w:space="0"/>
              <w:right w:val="single" w:color="auto" w:sz="4" w:space="0"/>
            </w:tcBorders>
            <w:vAlign w:val="center"/>
          </w:tcPr>
          <w:p w14:paraId="43F82CEE">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最大占标率＞100%</w:t>
            </w:r>
            <w:r>
              <w:rPr>
                <w:rFonts w:cs="Times New Roman"/>
                <w:color w:val="auto"/>
                <w:sz w:val="21"/>
                <w:szCs w:val="21"/>
              </w:rPr>
              <w:sym w:font="Wingdings 2" w:char="F0A3"/>
            </w:r>
          </w:p>
        </w:tc>
      </w:tr>
      <w:tr w14:paraId="75DDF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1020A8C0">
            <w:pPr>
              <w:spacing w:line="240" w:lineRule="auto"/>
              <w:rPr>
                <w:rFonts w:cs="Times New Roman"/>
                <w:color w:val="auto"/>
                <w:kern w:val="2"/>
                <w:sz w:val="21"/>
                <w:szCs w:val="21"/>
              </w:rPr>
            </w:pPr>
          </w:p>
        </w:tc>
        <w:tc>
          <w:tcPr>
            <w:tcW w:w="1305" w:type="dxa"/>
            <w:vMerge w:val="restart"/>
            <w:tcBorders>
              <w:top w:val="single" w:color="auto" w:sz="4" w:space="0"/>
              <w:left w:val="single" w:color="auto" w:sz="4" w:space="0"/>
              <w:bottom w:val="single" w:color="auto" w:sz="4" w:space="0"/>
              <w:right w:val="single" w:color="auto" w:sz="4" w:space="0"/>
            </w:tcBorders>
            <w:vAlign w:val="center"/>
          </w:tcPr>
          <w:p w14:paraId="6A71EE80">
            <w:pPr>
              <w:spacing w:line="240" w:lineRule="auto"/>
              <w:jc w:val="center"/>
              <w:rPr>
                <w:rFonts w:cs="Times New Roman"/>
                <w:color w:val="auto"/>
                <w:sz w:val="21"/>
                <w:szCs w:val="21"/>
              </w:rPr>
            </w:pPr>
            <w:r>
              <w:rPr>
                <w:rFonts w:cs="Times New Roman"/>
                <w:color w:val="auto"/>
                <w:sz w:val="21"/>
                <w:szCs w:val="21"/>
              </w:rPr>
              <w:t>正常排放年均浓度贡献值</w:t>
            </w:r>
          </w:p>
        </w:tc>
        <w:tc>
          <w:tcPr>
            <w:tcW w:w="1100" w:type="dxa"/>
            <w:gridSpan w:val="2"/>
            <w:tcBorders>
              <w:top w:val="single" w:color="auto" w:sz="4" w:space="0"/>
              <w:left w:val="single" w:color="auto" w:sz="4" w:space="0"/>
              <w:bottom w:val="single" w:color="auto" w:sz="4" w:space="0"/>
              <w:right w:val="single" w:color="auto" w:sz="4" w:space="0"/>
            </w:tcBorders>
            <w:vAlign w:val="center"/>
          </w:tcPr>
          <w:p w14:paraId="656E7B2B">
            <w:pPr>
              <w:spacing w:line="240" w:lineRule="auto"/>
              <w:jc w:val="center"/>
              <w:rPr>
                <w:rFonts w:cs="Times New Roman"/>
                <w:color w:val="auto"/>
                <w:sz w:val="21"/>
                <w:szCs w:val="21"/>
              </w:rPr>
            </w:pPr>
            <w:r>
              <w:rPr>
                <w:rFonts w:cs="Times New Roman"/>
                <w:color w:val="auto"/>
                <w:sz w:val="21"/>
                <w:szCs w:val="21"/>
              </w:rPr>
              <w:t>一类区</w:t>
            </w:r>
          </w:p>
        </w:tc>
        <w:tc>
          <w:tcPr>
            <w:tcW w:w="3478" w:type="dxa"/>
            <w:gridSpan w:val="8"/>
            <w:tcBorders>
              <w:top w:val="single" w:color="auto" w:sz="4" w:space="0"/>
              <w:left w:val="single" w:color="auto" w:sz="4" w:space="0"/>
              <w:bottom w:val="single" w:color="auto" w:sz="4" w:space="0"/>
              <w:right w:val="single" w:color="auto" w:sz="4" w:space="0"/>
            </w:tcBorders>
            <w:vAlign w:val="center"/>
          </w:tcPr>
          <w:p w14:paraId="094907AD">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最大占标率≤10%</w:t>
            </w:r>
            <w:r>
              <w:rPr>
                <w:rFonts w:cs="Times New Roman"/>
                <w:color w:val="auto"/>
                <w:sz w:val="21"/>
                <w:szCs w:val="21"/>
              </w:rPr>
              <w:sym w:font="Wingdings 2" w:char="F0A3"/>
            </w:r>
          </w:p>
        </w:tc>
        <w:tc>
          <w:tcPr>
            <w:tcW w:w="2796" w:type="dxa"/>
            <w:gridSpan w:val="7"/>
            <w:tcBorders>
              <w:top w:val="single" w:color="auto" w:sz="4" w:space="0"/>
              <w:left w:val="single" w:color="auto" w:sz="4" w:space="0"/>
              <w:bottom w:val="single" w:color="auto" w:sz="4" w:space="0"/>
              <w:right w:val="single" w:color="auto" w:sz="4" w:space="0"/>
            </w:tcBorders>
            <w:vAlign w:val="center"/>
          </w:tcPr>
          <w:p w14:paraId="42EDADF4">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最大标率＞10%</w:t>
            </w:r>
            <w:r>
              <w:rPr>
                <w:rFonts w:cs="Times New Roman"/>
                <w:color w:val="auto"/>
                <w:sz w:val="21"/>
                <w:szCs w:val="21"/>
              </w:rPr>
              <w:sym w:font="Wingdings 2" w:char="F0A3"/>
            </w:r>
          </w:p>
        </w:tc>
      </w:tr>
      <w:tr w14:paraId="0040C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29CA45B0">
            <w:pPr>
              <w:spacing w:line="240" w:lineRule="auto"/>
              <w:rPr>
                <w:rFonts w:cs="Times New Roman"/>
                <w:color w:val="auto"/>
                <w:kern w:val="2"/>
                <w:sz w:val="21"/>
                <w:szCs w:val="21"/>
              </w:rPr>
            </w:pPr>
          </w:p>
        </w:tc>
        <w:tc>
          <w:tcPr>
            <w:tcW w:w="1305" w:type="dxa"/>
            <w:vMerge w:val="continue"/>
            <w:tcBorders>
              <w:top w:val="single" w:color="auto" w:sz="4" w:space="0"/>
              <w:left w:val="single" w:color="auto" w:sz="4" w:space="0"/>
              <w:bottom w:val="single" w:color="auto" w:sz="4" w:space="0"/>
              <w:right w:val="single" w:color="auto" w:sz="4" w:space="0"/>
            </w:tcBorders>
            <w:vAlign w:val="center"/>
          </w:tcPr>
          <w:p w14:paraId="35052B92">
            <w:pPr>
              <w:spacing w:line="240" w:lineRule="auto"/>
              <w:rPr>
                <w:rFonts w:cs="Times New Roman"/>
                <w:color w:val="auto"/>
                <w:kern w:val="2"/>
                <w:sz w:val="21"/>
                <w:szCs w:val="21"/>
              </w:rPr>
            </w:pPr>
          </w:p>
        </w:tc>
        <w:tc>
          <w:tcPr>
            <w:tcW w:w="1100" w:type="dxa"/>
            <w:gridSpan w:val="2"/>
            <w:tcBorders>
              <w:top w:val="single" w:color="auto" w:sz="4" w:space="0"/>
              <w:left w:val="single" w:color="auto" w:sz="4" w:space="0"/>
              <w:bottom w:val="single" w:color="auto" w:sz="4" w:space="0"/>
              <w:right w:val="single" w:color="auto" w:sz="4" w:space="0"/>
            </w:tcBorders>
            <w:vAlign w:val="center"/>
          </w:tcPr>
          <w:p w14:paraId="723F51B8">
            <w:pPr>
              <w:spacing w:line="240" w:lineRule="auto"/>
              <w:jc w:val="center"/>
              <w:rPr>
                <w:rFonts w:cs="Times New Roman"/>
                <w:color w:val="auto"/>
                <w:sz w:val="21"/>
                <w:szCs w:val="21"/>
              </w:rPr>
            </w:pPr>
            <w:r>
              <w:rPr>
                <w:rFonts w:cs="Times New Roman"/>
                <w:color w:val="auto"/>
                <w:sz w:val="21"/>
                <w:szCs w:val="21"/>
              </w:rPr>
              <w:t>二类区</w:t>
            </w:r>
          </w:p>
        </w:tc>
        <w:tc>
          <w:tcPr>
            <w:tcW w:w="3478" w:type="dxa"/>
            <w:gridSpan w:val="8"/>
            <w:tcBorders>
              <w:top w:val="single" w:color="auto" w:sz="4" w:space="0"/>
              <w:left w:val="single" w:color="auto" w:sz="4" w:space="0"/>
              <w:bottom w:val="single" w:color="auto" w:sz="4" w:space="0"/>
              <w:right w:val="single" w:color="auto" w:sz="4" w:space="0"/>
            </w:tcBorders>
            <w:vAlign w:val="center"/>
          </w:tcPr>
          <w:p w14:paraId="0ED3EE6B">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最大占标率≤30%</w:t>
            </w:r>
            <w:r>
              <w:rPr>
                <w:rFonts w:cs="Times New Roman"/>
                <w:color w:val="auto"/>
                <w:sz w:val="21"/>
                <w:szCs w:val="21"/>
              </w:rPr>
              <w:sym w:font="Wingdings 2" w:char="00A3"/>
            </w:r>
          </w:p>
        </w:tc>
        <w:tc>
          <w:tcPr>
            <w:tcW w:w="2796" w:type="dxa"/>
            <w:gridSpan w:val="7"/>
            <w:tcBorders>
              <w:top w:val="single" w:color="auto" w:sz="4" w:space="0"/>
              <w:left w:val="single" w:color="auto" w:sz="4" w:space="0"/>
              <w:bottom w:val="single" w:color="auto" w:sz="4" w:space="0"/>
              <w:right w:val="single" w:color="auto" w:sz="4" w:space="0"/>
            </w:tcBorders>
            <w:vAlign w:val="center"/>
          </w:tcPr>
          <w:p w14:paraId="6169DC14">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最大标率＞30%</w:t>
            </w:r>
            <w:r>
              <w:rPr>
                <w:rFonts w:cs="Times New Roman"/>
                <w:color w:val="auto"/>
                <w:sz w:val="21"/>
                <w:szCs w:val="21"/>
              </w:rPr>
              <w:sym w:font="Wingdings 2" w:char="F0A3"/>
            </w:r>
          </w:p>
        </w:tc>
      </w:tr>
      <w:tr w14:paraId="3B37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2A4151E8">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1C89177C">
            <w:pPr>
              <w:spacing w:line="240" w:lineRule="auto"/>
              <w:jc w:val="center"/>
              <w:rPr>
                <w:rFonts w:cs="Times New Roman"/>
                <w:color w:val="auto"/>
                <w:sz w:val="21"/>
                <w:szCs w:val="21"/>
              </w:rPr>
            </w:pPr>
            <w:r>
              <w:rPr>
                <w:rFonts w:cs="Times New Roman"/>
                <w:color w:val="auto"/>
                <w:sz w:val="21"/>
                <w:szCs w:val="21"/>
              </w:rPr>
              <w:t>非正常排放1h浓度贡献值</w:t>
            </w:r>
          </w:p>
        </w:tc>
        <w:tc>
          <w:tcPr>
            <w:tcW w:w="1273" w:type="dxa"/>
            <w:gridSpan w:val="3"/>
            <w:tcBorders>
              <w:top w:val="single" w:color="auto" w:sz="4" w:space="0"/>
              <w:left w:val="single" w:color="auto" w:sz="4" w:space="0"/>
              <w:bottom w:val="single" w:color="auto" w:sz="4" w:space="0"/>
              <w:right w:val="single" w:color="auto" w:sz="4" w:space="0"/>
            </w:tcBorders>
            <w:vAlign w:val="center"/>
          </w:tcPr>
          <w:p w14:paraId="247A7852">
            <w:pPr>
              <w:spacing w:line="240" w:lineRule="auto"/>
              <w:jc w:val="center"/>
              <w:rPr>
                <w:rFonts w:cs="Times New Roman"/>
                <w:color w:val="auto"/>
                <w:sz w:val="21"/>
                <w:szCs w:val="21"/>
              </w:rPr>
            </w:pPr>
            <w:r>
              <w:rPr>
                <w:rFonts w:cs="Times New Roman"/>
                <w:color w:val="auto"/>
                <w:sz w:val="21"/>
                <w:szCs w:val="21"/>
              </w:rPr>
              <w:t>非正常持续时长（1）h</w:t>
            </w:r>
          </w:p>
        </w:tc>
        <w:tc>
          <w:tcPr>
            <w:tcW w:w="4428" w:type="dxa"/>
            <w:gridSpan w:val="9"/>
            <w:tcBorders>
              <w:top w:val="single" w:color="auto" w:sz="4" w:space="0"/>
              <w:left w:val="single" w:color="auto" w:sz="4" w:space="0"/>
              <w:bottom w:val="single" w:color="auto" w:sz="4" w:space="0"/>
              <w:right w:val="single" w:color="auto" w:sz="4" w:space="0"/>
            </w:tcBorders>
            <w:vAlign w:val="center"/>
          </w:tcPr>
          <w:p w14:paraId="24258E3F">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占标率≤100%</w:t>
            </w:r>
            <w:r>
              <w:rPr>
                <w:rFonts w:cs="Times New Roman"/>
                <w:color w:val="auto"/>
                <w:sz w:val="21"/>
                <w:szCs w:val="21"/>
              </w:rPr>
              <w:sym w:font="Wingdings 2" w:char="00A3"/>
            </w:r>
          </w:p>
        </w:tc>
        <w:tc>
          <w:tcPr>
            <w:tcW w:w="1673" w:type="dxa"/>
            <w:gridSpan w:val="5"/>
            <w:tcBorders>
              <w:top w:val="single" w:color="auto" w:sz="4" w:space="0"/>
              <w:left w:val="single" w:color="auto" w:sz="4" w:space="0"/>
              <w:bottom w:val="single" w:color="auto" w:sz="4" w:space="0"/>
              <w:right w:val="single" w:color="auto" w:sz="4" w:space="0"/>
            </w:tcBorders>
            <w:vAlign w:val="center"/>
          </w:tcPr>
          <w:p w14:paraId="0B6C7E86">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本项目</w:t>
            </w:r>
            <w:r>
              <w:rPr>
                <w:rFonts w:cs="Times New Roman"/>
                <w:color w:val="auto"/>
                <w:sz w:val="21"/>
                <w:szCs w:val="21"/>
              </w:rPr>
              <w:t>占标率＞100%</w:t>
            </w:r>
            <w:r>
              <w:rPr>
                <w:rFonts w:cs="Times New Roman"/>
                <w:color w:val="auto"/>
                <w:sz w:val="21"/>
                <w:szCs w:val="21"/>
              </w:rPr>
              <w:sym w:font="Wingdings 2" w:char="F0A3"/>
            </w:r>
          </w:p>
        </w:tc>
      </w:tr>
      <w:tr w14:paraId="4D77C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6"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65EAF7A9">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33FFC833">
            <w:pPr>
              <w:spacing w:line="240" w:lineRule="auto"/>
              <w:jc w:val="center"/>
              <w:rPr>
                <w:rFonts w:cs="Times New Roman"/>
                <w:color w:val="auto"/>
                <w:sz w:val="21"/>
                <w:szCs w:val="21"/>
              </w:rPr>
            </w:pPr>
            <w:r>
              <w:rPr>
                <w:rFonts w:cs="Times New Roman"/>
                <w:color w:val="auto"/>
                <w:sz w:val="21"/>
                <w:szCs w:val="21"/>
              </w:rPr>
              <w:t>保证率日平均浓度和年平均浓度叠加值</w:t>
            </w:r>
          </w:p>
        </w:tc>
        <w:tc>
          <w:tcPr>
            <w:tcW w:w="3871" w:type="dxa"/>
            <w:gridSpan w:val="8"/>
            <w:tcBorders>
              <w:top w:val="single" w:color="auto" w:sz="4" w:space="0"/>
              <w:left w:val="single" w:color="auto" w:sz="4" w:space="0"/>
              <w:bottom w:val="single" w:color="auto" w:sz="4" w:space="0"/>
              <w:right w:val="single" w:color="auto" w:sz="4" w:space="0"/>
            </w:tcBorders>
            <w:vAlign w:val="center"/>
          </w:tcPr>
          <w:p w14:paraId="06B11722">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叠加</w:t>
            </w:r>
            <w:r>
              <w:rPr>
                <w:rFonts w:cs="Times New Roman"/>
                <w:color w:val="auto"/>
                <w:sz w:val="21"/>
                <w:szCs w:val="21"/>
              </w:rPr>
              <w:t>达标</w:t>
            </w:r>
            <w:r>
              <w:rPr>
                <w:rFonts w:cs="Times New Roman"/>
                <w:color w:val="auto"/>
                <w:sz w:val="21"/>
                <w:szCs w:val="21"/>
              </w:rPr>
              <w:sym w:font="Wingdings 2" w:char="00A3"/>
            </w:r>
          </w:p>
        </w:tc>
        <w:tc>
          <w:tcPr>
            <w:tcW w:w="3503" w:type="dxa"/>
            <w:gridSpan w:val="9"/>
            <w:tcBorders>
              <w:top w:val="single" w:color="auto" w:sz="4" w:space="0"/>
              <w:left w:val="single" w:color="auto" w:sz="4" w:space="0"/>
              <w:bottom w:val="single" w:color="auto" w:sz="4" w:space="0"/>
              <w:right w:val="single" w:color="auto" w:sz="4" w:space="0"/>
            </w:tcBorders>
            <w:vAlign w:val="center"/>
          </w:tcPr>
          <w:p w14:paraId="66071D62">
            <w:pPr>
              <w:spacing w:line="240" w:lineRule="auto"/>
              <w:jc w:val="center"/>
              <w:rPr>
                <w:rFonts w:cs="Times New Roman"/>
                <w:color w:val="auto"/>
                <w:sz w:val="21"/>
                <w:szCs w:val="21"/>
              </w:rPr>
            </w:pPr>
            <w:r>
              <w:rPr>
                <w:rFonts w:cs="Times New Roman"/>
                <w:color w:val="auto"/>
                <w:sz w:val="21"/>
                <w:szCs w:val="21"/>
              </w:rPr>
              <w:t>C</w:t>
            </w:r>
            <w:r>
              <w:rPr>
                <w:rFonts w:cs="Times New Roman"/>
                <w:color w:val="auto"/>
                <w:sz w:val="21"/>
                <w:szCs w:val="21"/>
                <w:vertAlign w:val="subscript"/>
              </w:rPr>
              <w:t>叠加</w:t>
            </w:r>
            <w:r>
              <w:rPr>
                <w:rFonts w:cs="Times New Roman"/>
                <w:color w:val="auto"/>
                <w:sz w:val="21"/>
                <w:szCs w:val="21"/>
              </w:rPr>
              <w:t>不达标</w:t>
            </w:r>
            <w:r>
              <w:rPr>
                <w:rFonts w:cs="Times New Roman"/>
                <w:color w:val="auto"/>
                <w:sz w:val="21"/>
                <w:szCs w:val="21"/>
              </w:rPr>
              <w:sym w:font="Wingdings 2" w:char="F0A3"/>
            </w:r>
          </w:p>
        </w:tc>
      </w:tr>
      <w:tr w14:paraId="763D2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0C3E08C0">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133F4A6E">
            <w:pPr>
              <w:spacing w:line="240" w:lineRule="auto"/>
              <w:jc w:val="center"/>
              <w:rPr>
                <w:rFonts w:cs="Times New Roman"/>
                <w:color w:val="auto"/>
                <w:sz w:val="21"/>
                <w:szCs w:val="21"/>
              </w:rPr>
            </w:pPr>
            <w:r>
              <w:rPr>
                <w:rFonts w:cs="Times New Roman"/>
                <w:color w:val="auto"/>
                <w:sz w:val="21"/>
                <w:szCs w:val="21"/>
              </w:rPr>
              <w:t>区域环境质量的整体变化情况</w:t>
            </w:r>
          </w:p>
        </w:tc>
        <w:tc>
          <w:tcPr>
            <w:tcW w:w="3871" w:type="dxa"/>
            <w:gridSpan w:val="8"/>
            <w:tcBorders>
              <w:top w:val="single" w:color="auto" w:sz="4" w:space="0"/>
              <w:left w:val="single" w:color="auto" w:sz="4" w:space="0"/>
              <w:bottom w:val="single" w:color="auto" w:sz="4" w:space="0"/>
              <w:right w:val="single" w:color="auto" w:sz="4" w:space="0"/>
            </w:tcBorders>
            <w:vAlign w:val="center"/>
          </w:tcPr>
          <w:p w14:paraId="538FE853">
            <w:pPr>
              <w:spacing w:line="240" w:lineRule="auto"/>
              <w:jc w:val="center"/>
              <w:rPr>
                <w:rFonts w:cs="Times New Roman"/>
                <w:color w:val="auto"/>
                <w:sz w:val="21"/>
                <w:szCs w:val="21"/>
              </w:rPr>
            </w:pPr>
            <w:r>
              <w:rPr>
                <w:rFonts w:cs="Times New Roman"/>
                <w:color w:val="auto"/>
                <w:sz w:val="21"/>
                <w:szCs w:val="21"/>
              </w:rPr>
              <w:t>k≤</w:t>
            </w:r>
            <w:r>
              <w:rPr>
                <w:rFonts w:eastAsia="微软雅黑" w:cs="Times New Roman"/>
                <w:color w:val="auto"/>
                <w:sz w:val="21"/>
                <w:szCs w:val="21"/>
              </w:rPr>
              <w:t>−</w:t>
            </w:r>
            <w:r>
              <w:rPr>
                <w:rFonts w:cs="Times New Roman"/>
                <w:color w:val="auto"/>
                <w:sz w:val="21"/>
                <w:szCs w:val="21"/>
              </w:rPr>
              <w:t>20%</w:t>
            </w:r>
            <w:r>
              <w:rPr>
                <w:rFonts w:cs="Times New Roman"/>
                <w:color w:val="auto"/>
                <w:sz w:val="21"/>
                <w:szCs w:val="21"/>
              </w:rPr>
              <w:sym w:font="Wingdings 2" w:char="00A3"/>
            </w:r>
          </w:p>
        </w:tc>
        <w:tc>
          <w:tcPr>
            <w:tcW w:w="3503" w:type="dxa"/>
            <w:gridSpan w:val="9"/>
            <w:tcBorders>
              <w:top w:val="single" w:color="auto" w:sz="4" w:space="0"/>
              <w:left w:val="single" w:color="auto" w:sz="4" w:space="0"/>
              <w:bottom w:val="single" w:color="auto" w:sz="4" w:space="0"/>
              <w:right w:val="single" w:color="auto" w:sz="4" w:space="0"/>
            </w:tcBorders>
            <w:vAlign w:val="center"/>
          </w:tcPr>
          <w:p w14:paraId="1DD293F2">
            <w:pPr>
              <w:spacing w:line="240" w:lineRule="auto"/>
              <w:jc w:val="center"/>
              <w:rPr>
                <w:rFonts w:cs="Times New Roman"/>
                <w:color w:val="auto"/>
                <w:sz w:val="21"/>
                <w:szCs w:val="21"/>
              </w:rPr>
            </w:pPr>
            <w:r>
              <w:rPr>
                <w:rFonts w:cs="Times New Roman"/>
                <w:color w:val="auto"/>
                <w:sz w:val="21"/>
                <w:szCs w:val="21"/>
              </w:rPr>
              <w:t>k＞</w:t>
            </w:r>
            <w:r>
              <w:rPr>
                <w:rFonts w:eastAsia="微软雅黑" w:cs="Times New Roman"/>
                <w:color w:val="auto"/>
                <w:sz w:val="21"/>
                <w:szCs w:val="21"/>
              </w:rPr>
              <w:t>−</w:t>
            </w:r>
            <w:r>
              <w:rPr>
                <w:rFonts w:cs="Times New Roman"/>
                <w:color w:val="auto"/>
                <w:sz w:val="21"/>
                <w:szCs w:val="21"/>
              </w:rPr>
              <w:t>20%</w:t>
            </w:r>
            <w:r>
              <w:rPr>
                <w:rFonts w:cs="Times New Roman"/>
                <w:color w:val="auto"/>
                <w:sz w:val="21"/>
                <w:szCs w:val="21"/>
              </w:rPr>
              <w:sym w:font="Wingdings 2" w:char="F0A3"/>
            </w:r>
          </w:p>
        </w:tc>
      </w:tr>
      <w:tr w14:paraId="665317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5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33272091">
            <w:pPr>
              <w:spacing w:line="240" w:lineRule="auto"/>
              <w:jc w:val="center"/>
              <w:rPr>
                <w:rFonts w:cs="Times New Roman"/>
                <w:color w:val="auto"/>
                <w:sz w:val="21"/>
                <w:szCs w:val="21"/>
              </w:rPr>
            </w:pPr>
            <w:bookmarkStart w:id="91" w:name="OLE_LINK21" w:colFirst="0" w:colLast="0"/>
            <w:r>
              <w:rPr>
                <w:rFonts w:cs="Times New Roman"/>
                <w:color w:val="auto"/>
                <w:sz w:val="21"/>
                <w:szCs w:val="21"/>
              </w:rPr>
              <w:t>环境监测计划</w:t>
            </w:r>
          </w:p>
        </w:tc>
        <w:tc>
          <w:tcPr>
            <w:tcW w:w="1305" w:type="dxa"/>
            <w:tcBorders>
              <w:top w:val="single" w:color="auto" w:sz="4" w:space="0"/>
              <w:left w:val="single" w:color="auto" w:sz="4" w:space="0"/>
              <w:bottom w:val="single" w:color="auto" w:sz="4" w:space="0"/>
              <w:right w:val="single" w:color="auto" w:sz="4" w:space="0"/>
            </w:tcBorders>
            <w:vAlign w:val="center"/>
          </w:tcPr>
          <w:p w14:paraId="4B019A16">
            <w:pPr>
              <w:spacing w:line="240" w:lineRule="auto"/>
              <w:jc w:val="center"/>
              <w:rPr>
                <w:rFonts w:cs="Times New Roman"/>
                <w:color w:val="auto"/>
                <w:sz w:val="21"/>
                <w:szCs w:val="21"/>
              </w:rPr>
            </w:pPr>
            <w:r>
              <w:rPr>
                <w:rFonts w:cs="Times New Roman"/>
                <w:color w:val="auto"/>
                <w:sz w:val="21"/>
                <w:szCs w:val="21"/>
              </w:rPr>
              <w:t>污染源监测</w:t>
            </w:r>
          </w:p>
        </w:tc>
        <w:tc>
          <w:tcPr>
            <w:tcW w:w="3871" w:type="dxa"/>
            <w:gridSpan w:val="8"/>
            <w:tcBorders>
              <w:top w:val="single" w:color="auto" w:sz="4" w:space="0"/>
              <w:left w:val="single" w:color="auto" w:sz="4" w:space="0"/>
              <w:bottom w:val="single" w:color="auto" w:sz="4" w:space="0"/>
              <w:right w:val="single" w:color="auto" w:sz="4" w:space="0"/>
            </w:tcBorders>
            <w:vAlign w:val="center"/>
          </w:tcPr>
          <w:p w14:paraId="193CBC28">
            <w:pPr>
              <w:spacing w:line="240" w:lineRule="auto"/>
              <w:jc w:val="center"/>
              <w:rPr>
                <w:rFonts w:cs="Times New Roman"/>
                <w:color w:val="auto"/>
                <w:sz w:val="21"/>
                <w:szCs w:val="21"/>
              </w:rPr>
            </w:pPr>
            <w:r>
              <w:rPr>
                <w:rFonts w:cs="Times New Roman"/>
                <w:color w:val="auto"/>
                <w:sz w:val="21"/>
                <w:szCs w:val="21"/>
              </w:rPr>
              <w:t>监测因子：（</w:t>
            </w:r>
            <w:r>
              <w:rPr>
                <w:rFonts w:hint="eastAsia"/>
                <w:color w:val="auto"/>
                <w:sz w:val="21"/>
                <w:szCs w:val="18"/>
              </w:rPr>
              <w:t>颗粒物</w:t>
            </w:r>
            <w:r>
              <w:rPr>
                <w:rFonts w:hint="eastAsia"/>
                <w:color w:val="auto"/>
                <w:sz w:val="21"/>
                <w:szCs w:val="18"/>
                <w:lang w:eastAsia="zh-CN"/>
              </w:rPr>
              <w:t>、</w:t>
            </w:r>
            <w:r>
              <w:rPr>
                <w:rFonts w:cs="Times New Roman"/>
                <w:color w:val="auto"/>
                <w:sz w:val="21"/>
                <w:szCs w:val="21"/>
              </w:rPr>
              <w:t>非甲烷总烃）</w:t>
            </w:r>
          </w:p>
        </w:tc>
        <w:tc>
          <w:tcPr>
            <w:tcW w:w="2309" w:type="dxa"/>
            <w:gridSpan w:val="6"/>
            <w:tcBorders>
              <w:top w:val="single" w:color="auto" w:sz="4" w:space="0"/>
              <w:left w:val="single" w:color="auto" w:sz="4" w:space="0"/>
              <w:bottom w:val="single" w:color="auto" w:sz="4" w:space="0"/>
              <w:right w:val="single" w:color="auto" w:sz="4" w:space="0"/>
            </w:tcBorders>
            <w:vAlign w:val="center"/>
          </w:tcPr>
          <w:p w14:paraId="78A99635">
            <w:pPr>
              <w:spacing w:line="240" w:lineRule="auto"/>
              <w:jc w:val="center"/>
              <w:rPr>
                <w:rFonts w:cs="Times New Roman"/>
                <w:color w:val="auto"/>
                <w:sz w:val="21"/>
                <w:szCs w:val="21"/>
              </w:rPr>
            </w:pPr>
            <w:r>
              <w:rPr>
                <w:rFonts w:cs="Times New Roman"/>
                <w:color w:val="auto"/>
                <w:sz w:val="21"/>
                <w:szCs w:val="21"/>
              </w:rPr>
              <w:t>有组织废气监测</w:t>
            </w:r>
            <w:r>
              <w:rPr>
                <w:rFonts w:cs="Times New Roman"/>
                <w:color w:val="auto"/>
                <w:sz w:val="21"/>
                <w:szCs w:val="21"/>
              </w:rPr>
              <w:sym w:font="Wingdings 2" w:char="F052"/>
            </w:r>
          </w:p>
          <w:p w14:paraId="6C984CD7">
            <w:pPr>
              <w:spacing w:line="240" w:lineRule="auto"/>
              <w:jc w:val="center"/>
              <w:rPr>
                <w:rFonts w:cs="Times New Roman"/>
                <w:color w:val="auto"/>
                <w:sz w:val="21"/>
                <w:szCs w:val="21"/>
              </w:rPr>
            </w:pPr>
            <w:r>
              <w:rPr>
                <w:rFonts w:cs="Times New Roman"/>
                <w:color w:val="auto"/>
                <w:sz w:val="21"/>
                <w:szCs w:val="21"/>
              </w:rPr>
              <w:t>无组织废气监测</w:t>
            </w:r>
            <w:r>
              <w:rPr>
                <w:rFonts w:cs="Times New Roman"/>
                <w:color w:val="auto"/>
                <w:sz w:val="21"/>
                <w:szCs w:val="21"/>
              </w:rPr>
              <w:sym w:font="Wingdings 2" w:char="F052"/>
            </w:r>
          </w:p>
        </w:tc>
        <w:tc>
          <w:tcPr>
            <w:tcW w:w="1194" w:type="dxa"/>
            <w:gridSpan w:val="3"/>
            <w:tcBorders>
              <w:top w:val="single" w:color="auto" w:sz="4" w:space="0"/>
              <w:left w:val="single" w:color="auto" w:sz="4" w:space="0"/>
              <w:bottom w:val="single" w:color="auto" w:sz="4" w:space="0"/>
              <w:right w:val="single" w:color="auto" w:sz="4" w:space="0"/>
            </w:tcBorders>
            <w:vAlign w:val="center"/>
          </w:tcPr>
          <w:p w14:paraId="6278E376">
            <w:pPr>
              <w:spacing w:line="240" w:lineRule="auto"/>
              <w:jc w:val="center"/>
              <w:rPr>
                <w:rFonts w:cs="Times New Roman"/>
                <w:color w:val="auto"/>
                <w:sz w:val="21"/>
                <w:szCs w:val="21"/>
              </w:rPr>
            </w:pPr>
            <w:r>
              <w:rPr>
                <w:rFonts w:cs="Times New Roman"/>
                <w:color w:val="auto"/>
                <w:sz w:val="21"/>
                <w:szCs w:val="21"/>
              </w:rPr>
              <w:t>无监测</w:t>
            </w:r>
            <w:r>
              <w:rPr>
                <w:rFonts w:cs="Times New Roman"/>
                <w:color w:val="auto"/>
                <w:sz w:val="21"/>
                <w:szCs w:val="21"/>
              </w:rPr>
              <w:sym w:font="Wingdings 2" w:char="F0A3"/>
            </w:r>
          </w:p>
        </w:tc>
      </w:tr>
      <w:tr w14:paraId="38E57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106B8F68">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7514C817">
            <w:pPr>
              <w:spacing w:line="240" w:lineRule="auto"/>
              <w:jc w:val="center"/>
              <w:rPr>
                <w:rFonts w:cs="Times New Roman"/>
                <w:color w:val="auto"/>
                <w:sz w:val="21"/>
                <w:szCs w:val="21"/>
              </w:rPr>
            </w:pPr>
            <w:r>
              <w:rPr>
                <w:rFonts w:cs="Times New Roman"/>
                <w:color w:val="auto"/>
                <w:sz w:val="21"/>
                <w:szCs w:val="21"/>
              </w:rPr>
              <w:t>环境质量监测</w:t>
            </w:r>
          </w:p>
        </w:tc>
        <w:tc>
          <w:tcPr>
            <w:tcW w:w="3871" w:type="dxa"/>
            <w:gridSpan w:val="8"/>
            <w:tcBorders>
              <w:top w:val="single" w:color="auto" w:sz="4" w:space="0"/>
              <w:left w:val="single" w:color="auto" w:sz="4" w:space="0"/>
              <w:bottom w:val="single" w:color="auto" w:sz="4" w:space="0"/>
              <w:right w:val="single" w:color="auto" w:sz="4" w:space="0"/>
            </w:tcBorders>
            <w:vAlign w:val="center"/>
          </w:tcPr>
          <w:p w14:paraId="0F58717C">
            <w:pPr>
              <w:spacing w:line="240" w:lineRule="auto"/>
              <w:jc w:val="center"/>
              <w:rPr>
                <w:rFonts w:cs="Times New Roman"/>
                <w:color w:val="auto"/>
                <w:sz w:val="21"/>
                <w:szCs w:val="21"/>
              </w:rPr>
            </w:pPr>
            <w:r>
              <w:rPr>
                <w:rFonts w:cs="Times New Roman"/>
                <w:color w:val="auto"/>
                <w:sz w:val="21"/>
                <w:szCs w:val="21"/>
              </w:rPr>
              <w:t>监测因子：（）</w:t>
            </w:r>
          </w:p>
        </w:tc>
        <w:tc>
          <w:tcPr>
            <w:tcW w:w="2309" w:type="dxa"/>
            <w:gridSpan w:val="6"/>
            <w:tcBorders>
              <w:top w:val="single" w:color="auto" w:sz="4" w:space="0"/>
              <w:left w:val="single" w:color="auto" w:sz="4" w:space="0"/>
              <w:bottom w:val="single" w:color="auto" w:sz="4" w:space="0"/>
              <w:right w:val="single" w:color="auto" w:sz="4" w:space="0"/>
            </w:tcBorders>
            <w:vAlign w:val="center"/>
          </w:tcPr>
          <w:p w14:paraId="711FBE8A">
            <w:pPr>
              <w:spacing w:line="240" w:lineRule="auto"/>
              <w:jc w:val="center"/>
              <w:rPr>
                <w:rFonts w:cs="Times New Roman"/>
                <w:color w:val="auto"/>
                <w:sz w:val="21"/>
                <w:szCs w:val="21"/>
              </w:rPr>
            </w:pPr>
            <w:r>
              <w:rPr>
                <w:rFonts w:cs="Times New Roman"/>
                <w:color w:val="auto"/>
                <w:sz w:val="21"/>
                <w:szCs w:val="21"/>
              </w:rPr>
              <w:t>监测点位数（）</w:t>
            </w:r>
          </w:p>
        </w:tc>
        <w:tc>
          <w:tcPr>
            <w:tcW w:w="1194" w:type="dxa"/>
            <w:gridSpan w:val="3"/>
            <w:tcBorders>
              <w:top w:val="single" w:color="auto" w:sz="4" w:space="0"/>
              <w:left w:val="single" w:color="auto" w:sz="4" w:space="0"/>
              <w:bottom w:val="single" w:color="auto" w:sz="4" w:space="0"/>
              <w:right w:val="single" w:color="auto" w:sz="4" w:space="0"/>
            </w:tcBorders>
            <w:vAlign w:val="center"/>
          </w:tcPr>
          <w:p w14:paraId="09A8B01C">
            <w:pPr>
              <w:spacing w:line="240" w:lineRule="auto"/>
              <w:jc w:val="center"/>
              <w:rPr>
                <w:rFonts w:cs="Times New Roman"/>
                <w:color w:val="auto"/>
                <w:sz w:val="21"/>
                <w:szCs w:val="21"/>
              </w:rPr>
            </w:pPr>
            <w:r>
              <w:rPr>
                <w:rFonts w:cs="Times New Roman"/>
                <w:color w:val="auto"/>
                <w:sz w:val="21"/>
                <w:szCs w:val="21"/>
              </w:rPr>
              <w:t>无监测</w:t>
            </w:r>
            <w:r>
              <w:rPr>
                <w:rFonts w:cs="Times New Roman"/>
                <w:color w:val="auto"/>
                <w:sz w:val="21"/>
                <w:szCs w:val="21"/>
              </w:rPr>
              <w:sym w:font="Wingdings 2" w:char="0052"/>
            </w:r>
          </w:p>
        </w:tc>
      </w:tr>
      <w:tr w14:paraId="76632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restart"/>
            <w:tcBorders>
              <w:top w:val="single" w:color="auto" w:sz="4" w:space="0"/>
              <w:left w:val="single" w:color="auto" w:sz="4" w:space="0"/>
              <w:bottom w:val="single" w:color="auto" w:sz="4" w:space="0"/>
              <w:right w:val="single" w:color="auto" w:sz="4" w:space="0"/>
            </w:tcBorders>
            <w:vAlign w:val="center"/>
          </w:tcPr>
          <w:p w14:paraId="58034ED2">
            <w:pPr>
              <w:spacing w:line="240" w:lineRule="auto"/>
              <w:jc w:val="center"/>
              <w:rPr>
                <w:rFonts w:cs="Times New Roman"/>
                <w:color w:val="auto"/>
                <w:sz w:val="21"/>
                <w:szCs w:val="21"/>
              </w:rPr>
            </w:pPr>
            <w:r>
              <w:rPr>
                <w:rFonts w:cs="Times New Roman"/>
                <w:color w:val="auto"/>
                <w:sz w:val="21"/>
                <w:szCs w:val="21"/>
              </w:rPr>
              <w:t>评价结论</w:t>
            </w:r>
          </w:p>
        </w:tc>
        <w:tc>
          <w:tcPr>
            <w:tcW w:w="1305" w:type="dxa"/>
            <w:tcBorders>
              <w:top w:val="single" w:color="auto" w:sz="4" w:space="0"/>
              <w:left w:val="single" w:color="auto" w:sz="4" w:space="0"/>
              <w:bottom w:val="single" w:color="auto" w:sz="4" w:space="0"/>
              <w:right w:val="single" w:color="auto" w:sz="4" w:space="0"/>
            </w:tcBorders>
            <w:vAlign w:val="center"/>
          </w:tcPr>
          <w:p w14:paraId="744BF51D">
            <w:pPr>
              <w:spacing w:line="240" w:lineRule="auto"/>
              <w:jc w:val="center"/>
              <w:rPr>
                <w:rFonts w:cs="Times New Roman"/>
                <w:color w:val="auto"/>
                <w:sz w:val="21"/>
                <w:szCs w:val="21"/>
              </w:rPr>
            </w:pPr>
            <w:r>
              <w:rPr>
                <w:rFonts w:cs="Times New Roman"/>
                <w:color w:val="auto"/>
                <w:sz w:val="21"/>
                <w:szCs w:val="21"/>
              </w:rPr>
              <w:t>环境影响</w:t>
            </w:r>
          </w:p>
        </w:tc>
        <w:tc>
          <w:tcPr>
            <w:tcW w:w="7374" w:type="dxa"/>
            <w:gridSpan w:val="17"/>
            <w:tcBorders>
              <w:top w:val="single" w:color="auto" w:sz="4" w:space="0"/>
              <w:left w:val="single" w:color="auto" w:sz="4" w:space="0"/>
              <w:bottom w:val="single" w:color="auto" w:sz="4" w:space="0"/>
              <w:right w:val="single" w:color="auto" w:sz="4" w:space="0"/>
            </w:tcBorders>
            <w:vAlign w:val="center"/>
          </w:tcPr>
          <w:p w14:paraId="2723EEF7">
            <w:pPr>
              <w:spacing w:line="240" w:lineRule="auto"/>
              <w:jc w:val="center"/>
              <w:rPr>
                <w:rFonts w:hint="eastAsia" w:eastAsia="宋体" w:cs="Times New Roman"/>
                <w:color w:val="auto"/>
                <w:sz w:val="21"/>
                <w:szCs w:val="21"/>
                <w:lang w:eastAsia="zh-CN"/>
              </w:rPr>
            </w:pPr>
            <w:r>
              <w:rPr>
                <w:rFonts w:cs="Times New Roman"/>
                <w:color w:val="auto"/>
                <w:sz w:val="21"/>
                <w:szCs w:val="21"/>
              </w:rPr>
              <w:t>可以接受</w:t>
            </w:r>
            <w:r>
              <w:rPr>
                <w:rFonts w:cs="Times New Roman"/>
                <w:color w:val="auto"/>
                <w:sz w:val="21"/>
                <w:szCs w:val="21"/>
              </w:rPr>
              <w:sym w:font="Wingdings 2" w:char="0052"/>
            </w:r>
            <w:r>
              <w:rPr>
                <w:rFonts w:cs="Times New Roman"/>
                <w:color w:val="auto"/>
                <w:sz w:val="21"/>
                <w:szCs w:val="21"/>
              </w:rPr>
              <w:t xml:space="preserve">       不可以接受</w:t>
            </w:r>
            <w:r>
              <w:rPr>
                <w:rFonts w:hint="eastAsia" w:cs="Times New Roman"/>
                <w:color w:val="auto"/>
                <w:sz w:val="21"/>
                <w:szCs w:val="21"/>
                <w:lang w:eastAsia="zh-CN"/>
              </w:rPr>
              <w:t>□</w:t>
            </w:r>
          </w:p>
        </w:tc>
      </w:tr>
      <w:tr w14:paraId="12126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65BF5866">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24A6BFC4">
            <w:pPr>
              <w:spacing w:line="240" w:lineRule="auto"/>
              <w:jc w:val="center"/>
              <w:rPr>
                <w:rFonts w:cs="Times New Roman"/>
                <w:color w:val="auto"/>
                <w:sz w:val="21"/>
                <w:szCs w:val="21"/>
              </w:rPr>
            </w:pPr>
            <w:r>
              <w:rPr>
                <w:rFonts w:cs="Times New Roman"/>
                <w:color w:val="auto"/>
                <w:sz w:val="21"/>
                <w:szCs w:val="21"/>
              </w:rPr>
              <w:t>大气环境防护距离</w:t>
            </w:r>
          </w:p>
        </w:tc>
        <w:tc>
          <w:tcPr>
            <w:tcW w:w="7374" w:type="dxa"/>
            <w:gridSpan w:val="17"/>
            <w:tcBorders>
              <w:top w:val="single" w:color="auto" w:sz="4" w:space="0"/>
              <w:left w:val="single" w:color="auto" w:sz="4" w:space="0"/>
              <w:bottom w:val="single" w:color="auto" w:sz="4" w:space="0"/>
              <w:right w:val="single" w:color="auto" w:sz="4" w:space="0"/>
            </w:tcBorders>
            <w:vAlign w:val="center"/>
          </w:tcPr>
          <w:p w14:paraId="291AE7EA">
            <w:pPr>
              <w:spacing w:line="240" w:lineRule="auto"/>
              <w:jc w:val="center"/>
              <w:rPr>
                <w:rFonts w:cs="Times New Roman"/>
                <w:color w:val="auto"/>
                <w:sz w:val="21"/>
                <w:szCs w:val="21"/>
              </w:rPr>
            </w:pPr>
            <w:r>
              <w:rPr>
                <w:rFonts w:cs="Times New Roman"/>
                <w:color w:val="auto"/>
                <w:sz w:val="21"/>
                <w:szCs w:val="21"/>
              </w:rPr>
              <w:t>距（/）厂界最远（</w:t>
            </w:r>
            <w:r>
              <w:rPr>
                <w:rFonts w:hint="eastAsia" w:cs="Times New Roman"/>
                <w:color w:val="auto"/>
                <w:sz w:val="21"/>
                <w:szCs w:val="21"/>
                <w:lang w:val="en-US" w:eastAsia="zh-CN"/>
              </w:rPr>
              <w:t>150</w:t>
            </w:r>
            <w:r>
              <w:rPr>
                <w:rFonts w:cs="Times New Roman"/>
                <w:color w:val="auto"/>
                <w:sz w:val="21"/>
                <w:szCs w:val="21"/>
              </w:rPr>
              <w:t>）m</w:t>
            </w:r>
          </w:p>
        </w:tc>
      </w:tr>
      <w:tr w14:paraId="05383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81" w:hRule="atLeast"/>
          <w:jc w:val="center"/>
        </w:trPr>
        <w:tc>
          <w:tcPr>
            <w:tcW w:w="743" w:type="dxa"/>
            <w:vMerge w:val="continue"/>
            <w:tcBorders>
              <w:top w:val="single" w:color="auto" w:sz="4" w:space="0"/>
              <w:left w:val="single" w:color="auto" w:sz="4" w:space="0"/>
              <w:bottom w:val="single" w:color="auto" w:sz="4" w:space="0"/>
              <w:right w:val="single" w:color="auto" w:sz="4" w:space="0"/>
            </w:tcBorders>
            <w:vAlign w:val="center"/>
          </w:tcPr>
          <w:p w14:paraId="76BE17B5">
            <w:pPr>
              <w:spacing w:line="240" w:lineRule="auto"/>
              <w:rPr>
                <w:rFonts w:cs="Times New Roman"/>
                <w:color w:val="auto"/>
                <w:kern w:val="2"/>
                <w:sz w:val="21"/>
                <w:szCs w:val="21"/>
              </w:rPr>
            </w:pPr>
          </w:p>
        </w:tc>
        <w:tc>
          <w:tcPr>
            <w:tcW w:w="1305" w:type="dxa"/>
            <w:tcBorders>
              <w:top w:val="single" w:color="auto" w:sz="4" w:space="0"/>
              <w:left w:val="single" w:color="auto" w:sz="4" w:space="0"/>
              <w:bottom w:val="single" w:color="auto" w:sz="4" w:space="0"/>
              <w:right w:val="single" w:color="auto" w:sz="4" w:space="0"/>
            </w:tcBorders>
            <w:vAlign w:val="center"/>
          </w:tcPr>
          <w:p w14:paraId="2C01ED82">
            <w:pPr>
              <w:spacing w:line="240" w:lineRule="auto"/>
              <w:jc w:val="center"/>
              <w:rPr>
                <w:rFonts w:cs="Times New Roman"/>
                <w:color w:val="auto"/>
                <w:sz w:val="21"/>
                <w:szCs w:val="21"/>
              </w:rPr>
            </w:pPr>
            <w:r>
              <w:rPr>
                <w:rFonts w:cs="Times New Roman"/>
                <w:color w:val="auto"/>
                <w:sz w:val="21"/>
                <w:szCs w:val="21"/>
              </w:rPr>
              <w:t>污染源年排放量</w:t>
            </w:r>
          </w:p>
        </w:tc>
        <w:tc>
          <w:tcPr>
            <w:tcW w:w="7374" w:type="dxa"/>
            <w:gridSpan w:val="17"/>
            <w:tcBorders>
              <w:top w:val="single" w:color="auto" w:sz="4" w:space="0"/>
              <w:left w:val="single" w:color="auto" w:sz="4" w:space="0"/>
              <w:bottom w:val="single" w:color="auto" w:sz="4" w:space="0"/>
              <w:right w:val="single" w:color="auto" w:sz="4" w:space="0"/>
            </w:tcBorders>
            <w:vAlign w:val="center"/>
          </w:tcPr>
          <w:p w14:paraId="62573C66">
            <w:pPr>
              <w:spacing w:line="240" w:lineRule="auto"/>
              <w:jc w:val="center"/>
              <w:rPr>
                <w:rFonts w:hint="eastAsia" w:eastAsia="宋体" w:cs="Times New Roman"/>
                <w:color w:val="auto"/>
                <w:sz w:val="21"/>
                <w:szCs w:val="21"/>
                <w:lang w:eastAsia="zh-CN"/>
              </w:rPr>
            </w:pPr>
            <w:r>
              <w:rPr>
                <w:rFonts w:cs="Times New Roman"/>
                <w:color w:val="auto"/>
                <w:sz w:val="21"/>
                <w:szCs w:val="21"/>
              </w:rPr>
              <w:t>颗粒物：（</w:t>
            </w:r>
            <w:r>
              <w:rPr>
                <w:rFonts w:hint="eastAsia" w:cs="Times New Roman"/>
                <w:color w:val="auto"/>
                <w:sz w:val="21"/>
                <w:szCs w:val="21"/>
                <w:lang w:val="en-US" w:eastAsia="zh-CN"/>
              </w:rPr>
              <w:t>1.319</w:t>
            </w:r>
            <w:r>
              <w:rPr>
                <w:rFonts w:cs="Times New Roman"/>
                <w:color w:val="auto"/>
                <w:sz w:val="21"/>
                <w:szCs w:val="21"/>
              </w:rPr>
              <w:t>）t/a</w:t>
            </w:r>
            <w:r>
              <w:rPr>
                <w:rFonts w:hint="eastAsia" w:cs="Times New Roman"/>
                <w:color w:val="auto"/>
                <w:sz w:val="21"/>
                <w:szCs w:val="21"/>
                <w:lang w:eastAsia="zh-CN"/>
              </w:rPr>
              <w:t>；</w:t>
            </w:r>
            <w:r>
              <w:rPr>
                <w:rFonts w:cs="Times New Roman"/>
                <w:color w:val="auto"/>
                <w:sz w:val="21"/>
                <w:szCs w:val="21"/>
              </w:rPr>
              <w:t>非甲烷总烃：（</w:t>
            </w:r>
            <w:r>
              <w:rPr>
                <w:rFonts w:hint="eastAsia" w:cs="Times New Roman"/>
                <w:color w:val="auto"/>
                <w:sz w:val="21"/>
                <w:szCs w:val="21"/>
                <w:lang w:val="en-US" w:eastAsia="zh-CN"/>
              </w:rPr>
              <w:t>3.997</w:t>
            </w:r>
            <w:r>
              <w:rPr>
                <w:rFonts w:cs="Times New Roman"/>
                <w:color w:val="auto"/>
                <w:sz w:val="21"/>
                <w:szCs w:val="21"/>
              </w:rPr>
              <w:t>）t/a</w:t>
            </w:r>
          </w:p>
        </w:tc>
      </w:tr>
      <w:tr w14:paraId="1D8DA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1" w:hRule="atLeast"/>
          <w:jc w:val="center"/>
        </w:trPr>
        <w:tc>
          <w:tcPr>
            <w:tcW w:w="9422" w:type="dxa"/>
            <w:gridSpan w:val="19"/>
            <w:tcBorders>
              <w:top w:val="single" w:color="auto" w:sz="4" w:space="0"/>
              <w:left w:val="single" w:color="auto" w:sz="4" w:space="0"/>
              <w:bottom w:val="single" w:color="auto" w:sz="4" w:space="0"/>
              <w:right w:val="single" w:color="auto" w:sz="4" w:space="0"/>
            </w:tcBorders>
            <w:vAlign w:val="center"/>
          </w:tcPr>
          <w:p w14:paraId="17D3C724">
            <w:pPr>
              <w:spacing w:line="240" w:lineRule="auto"/>
              <w:rPr>
                <w:rFonts w:cs="Times New Roman"/>
                <w:color w:val="auto"/>
                <w:sz w:val="21"/>
                <w:szCs w:val="21"/>
              </w:rPr>
            </w:pPr>
            <w:r>
              <w:rPr>
                <w:rFonts w:cs="Times New Roman"/>
                <w:color w:val="auto"/>
                <w:sz w:val="21"/>
                <w:szCs w:val="21"/>
              </w:rPr>
              <w:t>注：“□”为勾选项，填“√”；“（ ）”为内容填写项。</w:t>
            </w:r>
          </w:p>
        </w:tc>
      </w:tr>
      <w:bookmarkEnd w:id="91"/>
    </w:tbl>
    <w:p w14:paraId="0DCCDE70">
      <w:pPr>
        <w:bidi w:val="0"/>
        <w:rPr>
          <w:rFonts w:hint="default"/>
          <w:b w:val="0"/>
          <w:bCs w:val="0"/>
          <w:lang w:val="en-US" w:eastAsia="zh-CN"/>
        </w:rPr>
        <w:sectPr>
          <w:pgSz w:w="11905" w:h="16838"/>
          <w:pgMar w:top="1417" w:right="1134" w:bottom="1134" w:left="1417" w:header="851" w:footer="992" w:gutter="0"/>
          <w:pgNumType w:fmt="decimal"/>
          <w:cols w:space="0" w:num="1"/>
          <w:rtlGutter w:val="0"/>
          <w:docGrid w:type="lines" w:linePitch="346" w:charSpace="0"/>
        </w:sectPr>
      </w:pPr>
    </w:p>
    <w:p w14:paraId="64A8B847">
      <w:pPr>
        <w:bidi w:val="0"/>
        <w:rPr>
          <w:rFonts w:hint="eastAsia"/>
          <w:b/>
          <w:bCs/>
          <w:lang w:val="en-US" w:eastAsia="zh-CN"/>
        </w:rPr>
      </w:pPr>
      <w:r>
        <w:rPr>
          <w:rFonts w:hint="eastAsia"/>
          <w:b/>
          <w:bCs/>
          <w:lang w:val="en-US" w:eastAsia="zh-CN"/>
        </w:rPr>
        <w:t>6.2.2 地表水环境影响分析</w:t>
      </w:r>
    </w:p>
    <w:p w14:paraId="4C572679">
      <w:pPr>
        <w:bidi w:val="0"/>
        <w:rPr>
          <w:b/>
          <w:bCs/>
        </w:rPr>
      </w:pPr>
      <w:r>
        <w:rPr>
          <w:rFonts w:hint="eastAsia"/>
          <w:b/>
          <w:bCs/>
          <w:lang w:val="en-US" w:eastAsia="zh-CN"/>
        </w:rPr>
        <w:t xml:space="preserve">6.2.2.1 </w:t>
      </w:r>
      <w:r>
        <w:rPr>
          <w:b/>
          <w:bCs/>
        </w:rPr>
        <w:t>废水正常排放</w:t>
      </w:r>
    </w:p>
    <w:p w14:paraId="3C7EA3A0">
      <w:pPr>
        <w:ind w:firstLine="480" w:firstLineChars="200"/>
        <w:rPr>
          <w:rFonts w:hint="eastAsia" w:cs="Times New Roman"/>
          <w:color w:val="auto"/>
        </w:rPr>
      </w:pPr>
      <w:r>
        <w:rPr>
          <w:rFonts w:hint="eastAsia" w:cs="Times New Roman"/>
          <w:color w:val="auto"/>
          <w:lang w:val="en-US" w:eastAsia="zh-CN"/>
        </w:rPr>
        <w:t>本次技改项目新增废水主要有铝舟及周托清洗废水、激光划片废水、纯水制备浓水、废气治理设施废水等。其中铝舟及周托清洗废水进入浓碱废水收集池；激光划片废水和废气治理设施废水进入稀碱废水收集池；依托厂区现有除氟系统处理后，与纯水制备浓水一起排入市政污水管网接入合肥循环经济示范园第二污水处理厂集中处理，处理达标后排入店埠河</w:t>
      </w:r>
      <w:r>
        <w:rPr>
          <w:rFonts w:hint="eastAsia" w:cs="Times New Roman"/>
          <w:color w:val="auto"/>
        </w:rPr>
        <w:t>。</w:t>
      </w:r>
    </w:p>
    <w:p w14:paraId="560F6EFC">
      <w:pPr>
        <w:ind w:firstLine="480" w:firstLineChars="200"/>
        <w:rPr>
          <w:rFonts w:hint="eastAsia" w:eastAsia="宋体" w:cs="Times New Roman"/>
          <w:color w:val="auto"/>
          <w:lang w:val="en-US" w:eastAsia="zh-CN"/>
        </w:rPr>
      </w:pPr>
      <w:r>
        <w:rPr>
          <w:rFonts w:hint="eastAsia" w:cs="Times New Roman"/>
          <w:color w:val="auto"/>
          <w:lang w:val="en-US" w:eastAsia="zh-CN"/>
        </w:rPr>
        <w:t>现有工程一期污水处理站（脱氟系统2套，单套处理能力为6000t/d，采用“两套两级钙盐+除氟剂组合沉淀法”除氟；备用生化系统设计处理能力为1800t/d，采用“枭龙-安奇脱氮工艺作为主处理工艺，同时结合传统A/O生化工艺”）；二期污水处理站（脱氟系统2套，单套处理能力为6000t/d，采用“两套两级钙盐+除氟剂组合沉淀法”除氟；生化系统设计处理能力为700t/d，采用“枭龙-安奇脱氮工艺作为主处理工艺，同时结合传统A/O生化工艺”）。</w:t>
      </w:r>
    </w:p>
    <w:p w14:paraId="1A696B15">
      <w:pPr>
        <w:ind w:firstLine="480" w:firstLineChars="200"/>
        <w:rPr>
          <w:rFonts w:cs="Times New Roman"/>
          <w:color w:val="auto"/>
        </w:rPr>
      </w:pPr>
      <w:r>
        <w:rPr>
          <w:rFonts w:cs="Times New Roman"/>
          <w:color w:val="auto"/>
        </w:rPr>
        <w:t>根据《环境影响评价技术导则 地表水环境》（HJ2.3-2018），本项目地表水环境评价等级为三级B，对区域地表水环境影响较小。</w:t>
      </w:r>
    </w:p>
    <w:p w14:paraId="2DB24A23">
      <w:pPr>
        <w:bidi w:val="0"/>
        <w:rPr>
          <w:b/>
          <w:bCs/>
        </w:rPr>
      </w:pPr>
      <w:r>
        <w:rPr>
          <w:rFonts w:hint="eastAsia"/>
          <w:b/>
          <w:bCs/>
          <w:lang w:val="en-US" w:eastAsia="zh-CN"/>
        </w:rPr>
        <w:t xml:space="preserve">6.2.2.2 </w:t>
      </w:r>
      <w:r>
        <w:rPr>
          <w:b/>
          <w:bCs/>
        </w:rPr>
        <w:t>事故废水排放情况</w:t>
      </w:r>
    </w:p>
    <w:p w14:paraId="09A49188">
      <w:pPr>
        <w:ind w:firstLine="480" w:firstLineChars="200"/>
        <w:rPr>
          <w:rFonts w:cs="Times New Roman"/>
          <w:color w:val="auto"/>
        </w:rPr>
      </w:pPr>
      <w:r>
        <w:rPr>
          <w:rFonts w:hint="default" w:cs="Times New Roman"/>
          <w:color w:val="auto"/>
          <w:lang w:val="en-US" w:eastAsia="zh-CN"/>
        </w:rPr>
        <w:t>本次技改项目依托现有环境风险防范措施</w:t>
      </w:r>
      <w:r>
        <w:rPr>
          <w:rFonts w:cs="Times New Roman"/>
          <w:color w:val="auto"/>
        </w:rPr>
        <w:t>，</w:t>
      </w:r>
      <w:r>
        <w:rPr>
          <w:rFonts w:hint="eastAsia" w:cs="Times New Roman"/>
          <w:color w:val="auto"/>
          <w:lang w:val="en-US" w:eastAsia="zh-CN"/>
        </w:rPr>
        <w:t>现有工程雨水管网厂区排口前端建设有效容积624m</w:t>
      </w:r>
      <w:r>
        <w:rPr>
          <w:rFonts w:hint="eastAsia" w:cs="Times New Roman"/>
          <w:color w:val="auto"/>
          <w:vertAlign w:val="superscript"/>
          <w:lang w:val="en-US" w:eastAsia="zh-CN"/>
        </w:rPr>
        <w:t>3</w:t>
      </w:r>
      <w:r>
        <w:rPr>
          <w:rFonts w:hint="eastAsia" w:cs="Times New Roman"/>
          <w:color w:val="auto"/>
          <w:lang w:val="en-US" w:eastAsia="zh-CN"/>
        </w:rPr>
        <w:t>的初期雨水池并设置雨水切断阀和提升泵等装置；污水处理站处建设2座容积分别为3060m</w:t>
      </w:r>
      <w:r>
        <w:rPr>
          <w:rFonts w:hint="eastAsia" w:cs="Times New Roman"/>
          <w:color w:val="auto"/>
          <w:vertAlign w:val="superscript"/>
          <w:lang w:val="en-US" w:eastAsia="zh-CN"/>
        </w:rPr>
        <w:t>3</w:t>
      </w:r>
      <w:r>
        <w:rPr>
          <w:rFonts w:hint="eastAsia" w:cs="Times New Roman"/>
          <w:color w:val="auto"/>
          <w:lang w:val="en-US" w:eastAsia="zh-CN"/>
        </w:rPr>
        <w:t>、1306.62m</w:t>
      </w:r>
      <w:r>
        <w:rPr>
          <w:rFonts w:hint="eastAsia" w:cs="Times New Roman"/>
          <w:color w:val="auto"/>
          <w:vertAlign w:val="superscript"/>
          <w:lang w:val="en-US" w:eastAsia="zh-CN"/>
        </w:rPr>
        <w:t>3</w:t>
      </w:r>
      <w:r>
        <w:rPr>
          <w:rFonts w:hint="eastAsia" w:cs="Times New Roman"/>
          <w:color w:val="auto"/>
          <w:lang w:val="en-US" w:eastAsia="zh-CN"/>
        </w:rPr>
        <w:t>的事故应急池1~2，</w:t>
      </w:r>
      <w:r>
        <w:rPr>
          <w:rFonts w:cs="Times New Roman"/>
          <w:color w:val="auto"/>
        </w:rPr>
        <w:t>可以满足生产过程废水的收集、暂存。一旦污水处理站不能处理废水，则通过事故应急池等存放，事毕再逐渐输入项目区污水处理站进行预处理达标后进入</w:t>
      </w:r>
      <w:r>
        <w:rPr>
          <w:rFonts w:hint="eastAsia" w:cs="Times New Roman"/>
          <w:color w:val="auto"/>
          <w:lang w:val="en-US" w:eastAsia="zh-CN"/>
        </w:rPr>
        <w:t>合肥循环经济示范园第二污水处理厂</w:t>
      </w:r>
      <w:r>
        <w:rPr>
          <w:rFonts w:cs="Times New Roman"/>
          <w:color w:val="auto"/>
        </w:rPr>
        <w:t>进行处理，不会影响污水处理厂的正常运行。因此，本项目产生的事故废水不会直接排入外环境，对区域地表水环境的影响较小。</w:t>
      </w:r>
    </w:p>
    <w:p w14:paraId="1100184E">
      <w:pPr>
        <w:bidi w:val="0"/>
        <w:rPr>
          <w:b/>
          <w:bCs/>
        </w:rPr>
      </w:pPr>
      <w:r>
        <w:rPr>
          <w:b/>
          <w:bCs/>
        </w:rPr>
        <w:t>6.</w:t>
      </w:r>
      <w:r>
        <w:rPr>
          <w:rFonts w:hint="eastAsia"/>
          <w:b/>
          <w:bCs/>
          <w:lang w:val="en-US" w:eastAsia="zh-CN"/>
        </w:rPr>
        <w:t>2.2.3</w:t>
      </w:r>
      <w:r>
        <w:rPr>
          <w:b/>
          <w:bCs/>
        </w:rPr>
        <w:t xml:space="preserve"> 地表水环境影响自查</w:t>
      </w:r>
    </w:p>
    <w:p w14:paraId="77849B16">
      <w:pPr>
        <w:jc w:val="center"/>
        <w:rPr>
          <w:b/>
          <w:bCs/>
          <w:color w:val="auto"/>
        </w:rPr>
      </w:pPr>
      <w:r>
        <w:rPr>
          <w:b/>
          <w:bCs/>
          <w:color w:val="auto"/>
        </w:rPr>
        <w:t>表6.2.2-1 地表水环境影响评价自查</w:t>
      </w:r>
      <w:r>
        <w:rPr>
          <w:rFonts w:hint="eastAsia"/>
          <w:b/>
          <w:bCs/>
          <w:color w:val="auto"/>
        </w:rPr>
        <w:t>一览表</w:t>
      </w:r>
    </w:p>
    <w:tbl>
      <w:tblPr>
        <w:tblStyle w:val="17"/>
        <w:tblW w:w="96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
        <w:gridCol w:w="1738"/>
        <w:gridCol w:w="1271"/>
        <w:gridCol w:w="218"/>
        <w:gridCol w:w="997"/>
        <w:gridCol w:w="393"/>
        <w:gridCol w:w="98"/>
        <w:gridCol w:w="1488"/>
        <w:gridCol w:w="493"/>
        <w:gridCol w:w="15"/>
        <w:gridCol w:w="745"/>
        <w:gridCol w:w="98"/>
        <w:gridCol w:w="102"/>
        <w:gridCol w:w="1517"/>
      </w:tblGrid>
      <w:tr w14:paraId="0FDC9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91" w:type="dxa"/>
            <w:gridSpan w:val="2"/>
            <w:vAlign w:val="center"/>
          </w:tcPr>
          <w:p w14:paraId="004D4726">
            <w:pPr>
              <w:spacing w:line="240" w:lineRule="auto"/>
              <w:jc w:val="center"/>
              <w:rPr>
                <w:rFonts w:cs="Times New Roman"/>
                <w:b/>
                <w:color w:val="auto"/>
                <w:sz w:val="21"/>
                <w:szCs w:val="21"/>
              </w:rPr>
            </w:pPr>
            <w:r>
              <w:rPr>
                <w:rFonts w:cs="Times New Roman"/>
                <w:b/>
                <w:color w:val="auto"/>
                <w:sz w:val="21"/>
                <w:szCs w:val="21"/>
              </w:rPr>
              <w:t>工作内容</w:t>
            </w:r>
          </w:p>
        </w:tc>
        <w:tc>
          <w:tcPr>
            <w:tcW w:w="7435" w:type="dxa"/>
            <w:gridSpan w:val="12"/>
            <w:vAlign w:val="center"/>
          </w:tcPr>
          <w:p w14:paraId="768213BB">
            <w:pPr>
              <w:spacing w:line="240" w:lineRule="auto"/>
              <w:jc w:val="center"/>
              <w:rPr>
                <w:rFonts w:cs="Times New Roman"/>
                <w:b/>
                <w:color w:val="auto"/>
                <w:sz w:val="21"/>
                <w:szCs w:val="21"/>
              </w:rPr>
            </w:pPr>
            <w:r>
              <w:rPr>
                <w:rFonts w:cs="Times New Roman"/>
                <w:b/>
                <w:color w:val="auto"/>
                <w:sz w:val="21"/>
                <w:szCs w:val="21"/>
              </w:rPr>
              <w:t>自查项目</w:t>
            </w:r>
          </w:p>
        </w:tc>
      </w:tr>
      <w:tr w14:paraId="01EF5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2BE8B926">
            <w:pPr>
              <w:spacing w:line="240" w:lineRule="auto"/>
              <w:rPr>
                <w:rFonts w:cs="Times New Roman"/>
                <w:color w:val="auto"/>
                <w:sz w:val="21"/>
                <w:szCs w:val="21"/>
              </w:rPr>
            </w:pPr>
            <w:r>
              <w:rPr>
                <w:rFonts w:cs="Times New Roman"/>
                <w:color w:val="auto"/>
                <w:sz w:val="21"/>
                <w:szCs w:val="21"/>
              </w:rPr>
              <w:t>影响识别</w:t>
            </w:r>
          </w:p>
        </w:tc>
        <w:tc>
          <w:tcPr>
            <w:tcW w:w="1738" w:type="dxa"/>
            <w:vAlign w:val="center"/>
          </w:tcPr>
          <w:p w14:paraId="2BE033CA">
            <w:pPr>
              <w:spacing w:line="240" w:lineRule="auto"/>
              <w:jc w:val="center"/>
              <w:rPr>
                <w:rFonts w:cs="Times New Roman"/>
                <w:color w:val="auto"/>
                <w:sz w:val="21"/>
                <w:szCs w:val="21"/>
              </w:rPr>
            </w:pPr>
            <w:r>
              <w:rPr>
                <w:rFonts w:cs="Times New Roman"/>
                <w:color w:val="auto"/>
                <w:sz w:val="21"/>
                <w:szCs w:val="21"/>
              </w:rPr>
              <w:t>影响类型</w:t>
            </w:r>
          </w:p>
        </w:tc>
        <w:tc>
          <w:tcPr>
            <w:tcW w:w="7435" w:type="dxa"/>
            <w:gridSpan w:val="12"/>
            <w:vAlign w:val="center"/>
          </w:tcPr>
          <w:p w14:paraId="0C66B760">
            <w:pPr>
              <w:spacing w:line="240" w:lineRule="auto"/>
              <w:rPr>
                <w:rFonts w:cs="Times New Roman"/>
                <w:color w:val="auto"/>
                <w:sz w:val="21"/>
                <w:szCs w:val="21"/>
              </w:rPr>
            </w:pPr>
            <w:r>
              <w:rPr>
                <w:rFonts w:cs="Times New Roman"/>
                <w:color w:val="auto"/>
                <w:sz w:val="21"/>
                <w:szCs w:val="21"/>
              </w:rPr>
              <w:t xml:space="preserve">水污染影响型√；水文要素影响型 </w:t>
            </w:r>
            <w:r>
              <w:rPr>
                <w:rFonts w:ascii="Segoe UI Symbol" w:hAnsi="Segoe UI Symbol" w:cs="Segoe UI Symbol"/>
                <w:color w:val="auto"/>
                <w:sz w:val="21"/>
                <w:szCs w:val="21"/>
              </w:rPr>
              <w:t>☐</w:t>
            </w:r>
          </w:p>
        </w:tc>
      </w:tr>
      <w:tr w14:paraId="3419A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50BAACDC">
            <w:pPr>
              <w:spacing w:line="240" w:lineRule="auto"/>
              <w:rPr>
                <w:rFonts w:cs="Times New Roman"/>
                <w:color w:val="auto"/>
                <w:sz w:val="21"/>
                <w:szCs w:val="21"/>
              </w:rPr>
            </w:pPr>
          </w:p>
        </w:tc>
        <w:tc>
          <w:tcPr>
            <w:tcW w:w="1738" w:type="dxa"/>
            <w:vAlign w:val="center"/>
          </w:tcPr>
          <w:p w14:paraId="46F501F9">
            <w:pPr>
              <w:spacing w:line="240" w:lineRule="auto"/>
              <w:jc w:val="center"/>
              <w:rPr>
                <w:rFonts w:cs="Times New Roman"/>
                <w:color w:val="auto"/>
                <w:sz w:val="21"/>
                <w:szCs w:val="21"/>
              </w:rPr>
            </w:pPr>
            <w:r>
              <w:rPr>
                <w:rFonts w:cs="Times New Roman"/>
                <w:color w:val="auto"/>
                <w:sz w:val="21"/>
                <w:szCs w:val="21"/>
              </w:rPr>
              <w:t>水环境保护目标</w:t>
            </w:r>
          </w:p>
        </w:tc>
        <w:tc>
          <w:tcPr>
            <w:tcW w:w="7435" w:type="dxa"/>
            <w:gridSpan w:val="12"/>
            <w:vAlign w:val="center"/>
          </w:tcPr>
          <w:p w14:paraId="36065923">
            <w:pPr>
              <w:spacing w:line="240" w:lineRule="auto"/>
              <w:rPr>
                <w:rFonts w:cs="Times New Roman"/>
                <w:color w:val="auto"/>
                <w:sz w:val="21"/>
                <w:szCs w:val="21"/>
              </w:rPr>
            </w:pPr>
            <w:r>
              <w:rPr>
                <w:rFonts w:cs="Times New Roman"/>
                <w:color w:val="auto"/>
                <w:sz w:val="21"/>
                <w:szCs w:val="21"/>
              </w:rPr>
              <w:t xml:space="preserve">饮用水水源保护区 </w:t>
            </w:r>
            <w:r>
              <w:rPr>
                <w:rFonts w:ascii="Segoe UI Symbol" w:hAnsi="Segoe UI Symbol" w:cs="Segoe UI Symbol"/>
                <w:color w:val="auto"/>
                <w:sz w:val="21"/>
                <w:szCs w:val="21"/>
              </w:rPr>
              <w:t>☐</w:t>
            </w:r>
            <w:r>
              <w:rPr>
                <w:rFonts w:cs="Times New Roman"/>
                <w:color w:val="auto"/>
                <w:sz w:val="21"/>
                <w:szCs w:val="21"/>
              </w:rPr>
              <w:t xml:space="preserve">；饮用水取水口 </w:t>
            </w:r>
            <w:r>
              <w:rPr>
                <w:rFonts w:ascii="Segoe UI Symbol" w:hAnsi="Segoe UI Symbol" w:cs="Segoe UI Symbol"/>
                <w:color w:val="auto"/>
                <w:sz w:val="21"/>
                <w:szCs w:val="21"/>
              </w:rPr>
              <w:t>☐</w:t>
            </w:r>
            <w:r>
              <w:rPr>
                <w:rFonts w:cs="Times New Roman"/>
                <w:color w:val="auto"/>
                <w:sz w:val="21"/>
                <w:szCs w:val="21"/>
              </w:rPr>
              <w:t xml:space="preserve">；涉水的自然保护区 </w:t>
            </w:r>
            <w:r>
              <w:rPr>
                <w:rFonts w:ascii="Segoe UI Symbol" w:hAnsi="Segoe UI Symbol" w:cs="Segoe UI Symbol"/>
                <w:color w:val="auto"/>
                <w:sz w:val="21"/>
                <w:szCs w:val="21"/>
              </w:rPr>
              <w:t>☐</w:t>
            </w:r>
            <w:r>
              <w:rPr>
                <w:rFonts w:cs="Times New Roman"/>
                <w:color w:val="auto"/>
                <w:sz w:val="21"/>
                <w:szCs w:val="21"/>
              </w:rPr>
              <w:t xml:space="preserve">；重要湿地 </w:t>
            </w:r>
            <w:r>
              <w:rPr>
                <w:rFonts w:ascii="Segoe UI Symbol" w:hAnsi="Segoe UI Symbol" w:cs="Segoe UI Symbol"/>
                <w:color w:val="auto"/>
                <w:sz w:val="21"/>
                <w:szCs w:val="21"/>
              </w:rPr>
              <w:t>☐</w:t>
            </w:r>
            <w:r>
              <w:rPr>
                <w:rFonts w:cs="Times New Roman"/>
                <w:color w:val="auto"/>
                <w:sz w:val="21"/>
                <w:szCs w:val="21"/>
              </w:rPr>
              <w:t>；</w:t>
            </w:r>
          </w:p>
          <w:p w14:paraId="69FB1F06">
            <w:pPr>
              <w:spacing w:line="240" w:lineRule="auto"/>
              <w:rPr>
                <w:rFonts w:cs="Times New Roman"/>
                <w:color w:val="auto"/>
                <w:sz w:val="21"/>
                <w:szCs w:val="21"/>
              </w:rPr>
            </w:pPr>
            <w:r>
              <w:rPr>
                <w:rFonts w:cs="Times New Roman"/>
                <w:color w:val="auto"/>
                <w:sz w:val="21"/>
                <w:szCs w:val="21"/>
              </w:rPr>
              <w:t xml:space="preserve">重点保护与珍稀水生生物的栖息地 </w:t>
            </w:r>
            <w:r>
              <w:rPr>
                <w:rFonts w:ascii="Segoe UI Symbol" w:hAnsi="Segoe UI Symbol" w:cs="Segoe UI Symbol"/>
                <w:color w:val="auto"/>
                <w:sz w:val="21"/>
                <w:szCs w:val="21"/>
              </w:rPr>
              <w:t>☐</w:t>
            </w:r>
            <w:r>
              <w:rPr>
                <w:rFonts w:cs="Times New Roman"/>
                <w:color w:val="auto"/>
                <w:sz w:val="21"/>
                <w:szCs w:val="21"/>
              </w:rPr>
              <w:t xml:space="preserve">；重要水生生物的自然产卵场及索饵场、越冬场和洄游通道、天然渔场等渔业水体 □；涉水的风景名胜区 </w:t>
            </w:r>
            <w:r>
              <w:rPr>
                <w:rFonts w:ascii="Segoe UI Symbol" w:hAnsi="Segoe UI Symbol" w:cs="Segoe UI Symbol"/>
                <w:color w:val="auto"/>
                <w:sz w:val="21"/>
                <w:szCs w:val="21"/>
              </w:rPr>
              <w:t>☐</w:t>
            </w:r>
            <w:r>
              <w:rPr>
                <w:rFonts w:cs="Times New Roman"/>
                <w:color w:val="auto"/>
                <w:sz w:val="21"/>
                <w:szCs w:val="21"/>
              </w:rPr>
              <w:t>；其他 √</w:t>
            </w:r>
          </w:p>
        </w:tc>
      </w:tr>
      <w:tr w14:paraId="555C1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31DDEE7E">
            <w:pPr>
              <w:spacing w:line="240" w:lineRule="auto"/>
              <w:rPr>
                <w:rFonts w:cs="Times New Roman"/>
                <w:color w:val="auto"/>
                <w:sz w:val="21"/>
                <w:szCs w:val="21"/>
              </w:rPr>
            </w:pPr>
          </w:p>
        </w:tc>
        <w:tc>
          <w:tcPr>
            <w:tcW w:w="1738" w:type="dxa"/>
            <w:vMerge w:val="restart"/>
            <w:vAlign w:val="center"/>
          </w:tcPr>
          <w:p w14:paraId="608C2A4B">
            <w:pPr>
              <w:spacing w:line="240" w:lineRule="auto"/>
              <w:jc w:val="center"/>
              <w:rPr>
                <w:rFonts w:cs="Times New Roman"/>
                <w:color w:val="auto"/>
                <w:sz w:val="21"/>
                <w:szCs w:val="21"/>
              </w:rPr>
            </w:pPr>
            <w:r>
              <w:rPr>
                <w:rFonts w:cs="Times New Roman"/>
                <w:color w:val="auto"/>
                <w:sz w:val="21"/>
                <w:szCs w:val="21"/>
              </w:rPr>
              <w:t>影响途径</w:t>
            </w:r>
          </w:p>
        </w:tc>
        <w:tc>
          <w:tcPr>
            <w:tcW w:w="4973" w:type="dxa"/>
            <w:gridSpan w:val="8"/>
            <w:vAlign w:val="center"/>
          </w:tcPr>
          <w:p w14:paraId="58171D8F">
            <w:pPr>
              <w:spacing w:line="240" w:lineRule="auto"/>
              <w:jc w:val="center"/>
              <w:rPr>
                <w:rFonts w:cs="Times New Roman"/>
                <w:color w:val="auto"/>
                <w:sz w:val="21"/>
                <w:szCs w:val="21"/>
              </w:rPr>
            </w:pPr>
            <w:r>
              <w:rPr>
                <w:rFonts w:cs="Times New Roman"/>
                <w:color w:val="auto"/>
                <w:sz w:val="21"/>
                <w:szCs w:val="21"/>
              </w:rPr>
              <w:t>水污染影响型</w:t>
            </w:r>
          </w:p>
        </w:tc>
        <w:tc>
          <w:tcPr>
            <w:tcW w:w="2462" w:type="dxa"/>
            <w:gridSpan w:val="4"/>
            <w:vAlign w:val="center"/>
          </w:tcPr>
          <w:p w14:paraId="461F4DEC">
            <w:pPr>
              <w:spacing w:line="240" w:lineRule="auto"/>
              <w:jc w:val="center"/>
              <w:rPr>
                <w:rFonts w:cs="Times New Roman"/>
                <w:color w:val="auto"/>
                <w:sz w:val="21"/>
                <w:szCs w:val="21"/>
              </w:rPr>
            </w:pPr>
            <w:r>
              <w:rPr>
                <w:rFonts w:cs="Times New Roman"/>
                <w:color w:val="auto"/>
                <w:sz w:val="21"/>
                <w:szCs w:val="21"/>
              </w:rPr>
              <w:t>水文要素影响型</w:t>
            </w:r>
          </w:p>
        </w:tc>
      </w:tr>
      <w:tr w14:paraId="7A092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03EF4B97">
            <w:pPr>
              <w:spacing w:line="240" w:lineRule="auto"/>
              <w:rPr>
                <w:rFonts w:cs="Times New Roman"/>
                <w:color w:val="auto"/>
                <w:sz w:val="21"/>
                <w:szCs w:val="21"/>
              </w:rPr>
            </w:pPr>
          </w:p>
        </w:tc>
        <w:tc>
          <w:tcPr>
            <w:tcW w:w="1738" w:type="dxa"/>
            <w:vMerge w:val="continue"/>
            <w:vAlign w:val="center"/>
          </w:tcPr>
          <w:p w14:paraId="79566DDF">
            <w:pPr>
              <w:spacing w:line="240" w:lineRule="auto"/>
              <w:jc w:val="center"/>
              <w:rPr>
                <w:rFonts w:cs="Times New Roman"/>
                <w:color w:val="auto"/>
                <w:sz w:val="21"/>
                <w:szCs w:val="21"/>
              </w:rPr>
            </w:pPr>
          </w:p>
        </w:tc>
        <w:tc>
          <w:tcPr>
            <w:tcW w:w="4973" w:type="dxa"/>
            <w:gridSpan w:val="8"/>
            <w:vAlign w:val="center"/>
          </w:tcPr>
          <w:p w14:paraId="09CE65D7">
            <w:pPr>
              <w:spacing w:line="240" w:lineRule="auto"/>
              <w:rPr>
                <w:rFonts w:cs="Times New Roman"/>
                <w:color w:val="auto"/>
                <w:sz w:val="21"/>
                <w:szCs w:val="21"/>
              </w:rPr>
            </w:pPr>
            <w:r>
              <w:rPr>
                <w:rFonts w:cs="Times New Roman"/>
                <w:color w:val="auto"/>
                <w:sz w:val="21"/>
                <w:szCs w:val="21"/>
              </w:rPr>
              <w:t xml:space="preserve">直接排放 </w:t>
            </w:r>
            <w:r>
              <w:rPr>
                <w:rFonts w:ascii="Segoe UI Symbol" w:hAnsi="Segoe UI Symbol" w:cs="Segoe UI Symbol"/>
                <w:color w:val="auto"/>
                <w:sz w:val="21"/>
                <w:szCs w:val="21"/>
              </w:rPr>
              <w:t>☐</w:t>
            </w:r>
            <w:r>
              <w:rPr>
                <w:rFonts w:cs="Times New Roman"/>
                <w:color w:val="auto"/>
                <w:sz w:val="21"/>
                <w:szCs w:val="21"/>
              </w:rPr>
              <w:t xml:space="preserve">；间接排放√；其他 </w:t>
            </w:r>
            <w:r>
              <w:rPr>
                <w:rFonts w:ascii="Segoe UI Symbol" w:hAnsi="Segoe UI Symbol" w:cs="Segoe UI Symbol"/>
                <w:color w:val="auto"/>
                <w:sz w:val="21"/>
                <w:szCs w:val="21"/>
              </w:rPr>
              <w:t>☐</w:t>
            </w:r>
          </w:p>
        </w:tc>
        <w:tc>
          <w:tcPr>
            <w:tcW w:w="2462" w:type="dxa"/>
            <w:gridSpan w:val="4"/>
            <w:vAlign w:val="center"/>
          </w:tcPr>
          <w:p w14:paraId="199F0D86">
            <w:pPr>
              <w:spacing w:line="240" w:lineRule="auto"/>
              <w:rPr>
                <w:rFonts w:cs="Times New Roman"/>
                <w:color w:val="auto"/>
                <w:sz w:val="21"/>
                <w:szCs w:val="21"/>
              </w:rPr>
            </w:pPr>
            <w:r>
              <w:rPr>
                <w:rFonts w:cs="Times New Roman"/>
                <w:color w:val="auto"/>
                <w:sz w:val="21"/>
                <w:szCs w:val="21"/>
              </w:rPr>
              <w:t xml:space="preserve">水温 </w:t>
            </w:r>
            <w:r>
              <w:rPr>
                <w:rFonts w:ascii="Segoe UI Symbol" w:hAnsi="Segoe UI Symbol" w:cs="Segoe UI Symbol"/>
                <w:color w:val="auto"/>
                <w:sz w:val="21"/>
                <w:szCs w:val="21"/>
              </w:rPr>
              <w:t>☐</w:t>
            </w:r>
            <w:r>
              <w:rPr>
                <w:rFonts w:cs="Times New Roman"/>
                <w:color w:val="auto"/>
                <w:sz w:val="21"/>
                <w:szCs w:val="21"/>
              </w:rPr>
              <w:t xml:space="preserve">；径流 </w:t>
            </w:r>
            <w:r>
              <w:rPr>
                <w:rFonts w:ascii="Segoe UI Symbol" w:hAnsi="Segoe UI Symbol" w:cs="Segoe UI Symbol"/>
                <w:color w:val="auto"/>
                <w:sz w:val="21"/>
                <w:szCs w:val="21"/>
              </w:rPr>
              <w:t>☐</w:t>
            </w:r>
            <w:r>
              <w:rPr>
                <w:rFonts w:cs="Times New Roman"/>
                <w:color w:val="auto"/>
                <w:sz w:val="21"/>
                <w:szCs w:val="21"/>
              </w:rPr>
              <w:t xml:space="preserve">；水域面积 </w:t>
            </w:r>
            <w:r>
              <w:rPr>
                <w:rFonts w:ascii="Segoe UI Symbol" w:hAnsi="Segoe UI Symbol" w:cs="Segoe UI Symbol"/>
                <w:color w:val="auto"/>
                <w:sz w:val="21"/>
                <w:szCs w:val="21"/>
              </w:rPr>
              <w:t>☐</w:t>
            </w:r>
          </w:p>
        </w:tc>
      </w:tr>
      <w:tr w14:paraId="336EA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13FC56B4">
            <w:pPr>
              <w:spacing w:line="240" w:lineRule="auto"/>
              <w:rPr>
                <w:rFonts w:cs="Times New Roman"/>
                <w:color w:val="auto"/>
                <w:sz w:val="21"/>
                <w:szCs w:val="21"/>
              </w:rPr>
            </w:pPr>
          </w:p>
        </w:tc>
        <w:tc>
          <w:tcPr>
            <w:tcW w:w="1738" w:type="dxa"/>
            <w:vAlign w:val="center"/>
          </w:tcPr>
          <w:p w14:paraId="381B604C">
            <w:pPr>
              <w:spacing w:line="240" w:lineRule="auto"/>
              <w:jc w:val="center"/>
              <w:rPr>
                <w:rFonts w:cs="Times New Roman"/>
                <w:color w:val="auto"/>
                <w:sz w:val="21"/>
                <w:szCs w:val="21"/>
              </w:rPr>
            </w:pPr>
            <w:r>
              <w:rPr>
                <w:rFonts w:cs="Times New Roman"/>
                <w:color w:val="auto"/>
                <w:sz w:val="21"/>
                <w:szCs w:val="21"/>
              </w:rPr>
              <w:t>影响因子</w:t>
            </w:r>
          </w:p>
        </w:tc>
        <w:tc>
          <w:tcPr>
            <w:tcW w:w="4973" w:type="dxa"/>
            <w:gridSpan w:val="8"/>
            <w:vAlign w:val="center"/>
          </w:tcPr>
          <w:p w14:paraId="56C84B28">
            <w:pPr>
              <w:spacing w:line="240" w:lineRule="auto"/>
              <w:rPr>
                <w:rFonts w:cs="Times New Roman"/>
                <w:color w:val="auto"/>
                <w:sz w:val="21"/>
                <w:szCs w:val="21"/>
              </w:rPr>
            </w:pPr>
            <w:r>
              <w:rPr>
                <w:rFonts w:cs="Times New Roman"/>
                <w:color w:val="auto"/>
                <w:sz w:val="21"/>
                <w:szCs w:val="21"/>
              </w:rPr>
              <w:t xml:space="preserve">持久性污染物 </w:t>
            </w:r>
            <w:r>
              <w:rPr>
                <w:rFonts w:ascii="Segoe UI Symbol" w:hAnsi="Segoe UI Symbol" w:cs="Segoe UI Symbol"/>
                <w:color w:val="auto"/>
                <w:sz w:val="21"/>
                <w:szCs w:val="21"/>
              </w:rPr>
              <w:t>☐</w:t>
            </w:r>
            <w:r>
              <w:rPr>
                <w:rFonts w:cs="Times New Roman"/>
                <w:color w:val="auto"/>
                <w:sz w:val="21"/>
                <w:szCs w:val="21"/>
              </w:rPr>
              <w:t xml:space="preserve">；有毒有害污染物 </w:t>
            </w:r>
            <w:r>
              <w:rPr>
                <w:rFonts w:ascii="Segoe UI Symbol" w:hAnsi="Segoe UI Symbol" w:cs="Segoe UI Symbol"/>
                <w:color w:val="auto"/>
                <w:sz w:val="21"/>
                <w:szCs w:val="21"/>
              </w:rPr>
              <w:t>☐</w:t>
            </w:r>
            <w:r>
              <w:rPr>
                <w:rFonts w:cs="Times New Roman"/>
                <w:color w:val="auto"/>
                <w:sz w:val="21"/>
                <w:szCs w:val="21"/>
              </w:rPr>
              <w:t>；非持久性污染物√；</w:t>
            </w:r>
          </w:p>
          <w:p w14:paraId="622E00E7">
            <w:pPr>
              <w:spacing w:line="240" w:lineRule="auto"/>
              <w:rPr>
                <w:rFonts w:cs="Times New Roman"/>
                <w:color w:val="auto"/>
                <w:sz w:val="21"/>
                <w:szCs w:val="21"/>
              </w:rPr>
            </w:pPr>
            <w:r>
              <w:rPr>
                <w:rFonts w:cs="Times New Roman"/>
                <w:color w:val="auto"/>
                <w:sz w:val="21"/>
                <w:szCs w:val="21"/>
              </w:rPr>
              <w:t xml:space="preserve">pH值√；热污染 </w:t>
            </w:r>
            <w:r>
              <w:rPr>
                <w:rFonts w:ascii="Segoe UI Symbol" w:hAnsi="Segoe UI Symbol" w:cs="Segoe UI Symbol"/>
                <w:color w:val="auto"/>
                <w:sz w:val="21"/>
                <w:szCs w:val="21"/>
              </w:rPr>
              <w:t>☐</w:t>
            </w:r>
            <w:r>
              <w:rPr>
                <w:rFonts w:cs="Times New Roman"/>
                <w:color w:val="auto"/>
                <w:sz w:val="21"/>
                <w:szCs w:val="21"/>
              </w:rPr>
              <w:t xml:space="preserve">；富营养化 </w:t>
            </w:r>
            <w:r>
              <w:rPr>
                <w:rFonts w:ascii="Segoe UI Symbol" w:hAnsi="Segoe UI Symbol" w:cs="Segoe UI Symbol"/>
                <w:color w:val="auto"/>
                <w:sz w:val="21"/>
                <w:szCs w:val="21"/>
              </w:rPr>
              <w:t>☐</w:t>
            </w:r>
            <w:r>
              <w:rPr>
                <w:rFonts w:cs="Times New Roman"/>
                <w:color w:val="auto"/>
                <w:sz w:val="21"/>
                <w:szCs w:val="21"/>
              </w:rPr>
              <w:t>；其他 √</w:t>
            </w:r>
          </w:p>
        </w:tc>
        <w:tc>
          <w:tcPr>
            <w:tcW w:w="2462" w:type="dxa"/>
            <w:gridSpan w:val="4"/>
            <w:vAlign w:val="center"/>
          </w:tcPr>
          <w:p w14:paraId="713D4EB4">
            <w:pPr>
              <w:spacing w:line="240" w:lineRule="auto"/>
              <w:rPr>
                <w:rFonts w:cs="Times New Roman"/>
                <w:color w:val="auto"/>
                <w:sz w:val="21"/>
                <w:szCs w:val="21"/>
              </w:rPr>
            </w:pPr>
            <w:r>
              <w:rPr>
                <w:rFonts w:cs="Times New Roman"/>
                <w:color w:val="auto"/>
                <w:sz w:val="21"/>
                <w:szCs w:val="21"/>
              </w:rPr>
              <w:t xml:space="preserve">水温 </w:t>
            </w:r>
            <w:r>
              <w:rPr>
                <w:rFonts w:ascii="Segoe UI Symbol" w:hAnsi="Segoe UI Symbol" w:cs="Segoe UI Symbol"/>
                <w:color w:val="auto"/>
                <w:sz w:val="21"/>
                <w:szCs w:val="21"/>
              </w:rPr>
              <w:t>☐</w:t>
            </w:r>
            <w:r>
              <w:rPr>
                <w:rFonts w:cs="Times New Roman"/>
                <w:color w:val="auto"/>
                <w:sz w:val="21"/>
                <w:szCs w:val="21"/>
              </w:rPr>
              <w:t xml:space="preserve">；水位（水深） </w:t>
            </w:r>
            <w:r>
              <w:rPr>
                <w:rFonts w:ascii="Segoe UI Symbol" w:hAnsi="Segoe UI Symbol" w:cs="Segoe UI Symbol"/>
                <w:color w:val="auto"/>
                <w:sz w:val="21"/>
                <w:szCs w:val="21"/>
              </w:rPr>
              <w:t>☐</w:t>
            </w:r>
            <w:r>
              <w:rPr>
                <w:rFonts w:cs="Times New Roman"/>
                <w:color w:val="auto"/>
                <w:sz w:val="21"/>
                <w:szCs w:val="21"/>
              </w:rPr>
              <w:t xml:space="preserve">；流速 </w:t>
            </w:r>
            <w:r>
              <w:rPr>
                <w:rFonts w:ascii="Segoe UI Symbol" w:hAnsi="Segoe UI Symbol" w:cs="Segoe UI Symbol"/>
                <w:color w:val="auto"/>
                <w:sz w:val="21"/>
                <w:szCs w:val="21"/>
              </w:rPr>
              <w:t>☐</w:t>
            </w:r>
            <w:r>
              <w:rPr>
                <w:rFonts w:cs="Times New Roman"/>
                <w:color w:val="auto"/>
                <w:sz w:val="21"/>
                <w:szCs w:val="21"/>
              </w:rPr>
              <w:t xml:space="preserve">；流量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p>
        </w:tc>
      </w:tr>
      <w:tr w14:paraId="74F36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91" w:type="dxa"/>
            <w:gridSpan w:val="2"/>
            <w:vMerge w:val="restart"/>
            <w:vAlign w:val="center"/>
          </w:tcPr>
          <w:p w14:paraId="65ACE03A">
            <w:pPr>
              <w:spacing w:line="240" w:lineRule="auto"/>
              <w:jc w:val="center"/>
              <w:rPr>
                <w:rFonts w:cs="Times New Roman"/>
                <w:color w:val="auto"/>
                <w:sz w:val="21"/>
                <w:szCs w:val="21"/>
              </w:rPr>
            </w:pPr>
            <w:r>
              <w:rPr>
                <w:rFonts w:cs="Times New Roman"/>
                <w:color w:val="auto"/>
                <w:sz w:val="21"/>
                <w:szCs w:val="21"/>
              </w:rPr>
              <w:t>评价等级</w:t>
            </w:r>
          </w:p>
        </w:tc>
        <w:tc>
          <w:tcPr>
            <w:tcW w:w="4973" w:type="dxa"/>
            <w:gridSpan w:val="8"/>
            <w:vAlign w:val="center"/>
          </w:tcPr>
          <w:p w14:paraId="1533513B">
            <w:pPr>
              <w:spacing w:line="240" w:lineRule="auto"/>
              <w:jc w:val="center"/>
              <w:rPr>
                <w:rFonts w:cs="Times New Roman"/>
                <w:color w:val="auto"/>
                <w:sz w:val="21"/>
                <w:szCs w:val="21"/>
              </w:rPr>
            </w:pPr>
            <w:r>
              <w:rPr>
                <w:rFonts w:cs="Times New Roman"/>
                <w:color w:val="auto"/>
                <w:sz w:val="21"/>
                <w:szCs w:val="21"/>
              </w:rPr>
              <w:t>水污染影响型</w:t>
            </w:r>
          </w:p>
        </w:tc>
        <w:tc>
          <w:tcPr>
            <w:tcW w:w="2462" w:type="dxa"/>
            <w:gridSpan w:val="4"/>
            <w:vAlign w:val="center"/>
          </w:tcPr>
          <w:p w14:paraId="115C569D">
            <w:pPr>
              <w:spacing w:line="240" w:lineRule="auto"/>
              <w:jc w:val="center"/>
              <w:rPr>
                <w:rFonts w:cs="Times New Roman"/>
                <w:color w:val="auto"/>
                <w:sz w:val="21"/>
                <w:szCs w:val="21"/>
              </w:rPr>
            </w:pPr>
            <w:r>
              <w:rPr>
                <w:rFonts w:cs="Times New Roman"/>
                <w:color w:val="auto"/>
                <w:sz w:val="21"/>
                <w:szCs w:val="21"/>
              </w:rPr>
              <w:t>水文要素影响型</w:t>
            </w:r>
          </w:p>
        </w:tc>
      </w:tr>
      <w:tr w14:paraId="4B8446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91" w:type="dxa"/>
            <w:gridSpan w:val="2"/>
            <w:vMerge w:val="continue"/>
            <w:vAlign w:val="center"/>
          </w:tcPr>
          <w:p w14:paraId="26DF591D">
            <w:pPr>
              <w:spacing w:line="240" w:lineRule="auto"/>
              <w:rPr>
                <w:rFonts w:cs="Times New Roman"/>
                <w:color w:val="auto"/>
                <w:sz w:val="21"/>
                <w:szCs w:val="21"/>
              </w:rPr>
            </w:pPr>
          </w:p>
        </w:tc>
        <w:tc>
          <w:tcPr>
            <w:tcW w:w="4973" w:type="dxa"/>
            <w:gridSpan w:val="8"/>
            <w:vAlign w:val="center"/>
          </w:tcPr>
          <w:p w14:paraId="7C4DC067">
            <w:pPr>
              <w:spacing w:line="240" w:lineRule="auto"/>
              <w:rPr>
                <w:rFonts w:cs="Times New Roman"/>
                <w:color w:val="auto"/>
                <w:sz w:val="21"/>
                <w:szCs w:val="21"/>
              </w:rPr>
            </w:pPr>
            <w:r>
              <w:rPr>
                <w:rFonts w:cs="Times New Roman"/>
                <w:color w:val="auto"/>
                <w:sz w:val="21"/>
                <w:szCs w:val="21"/>
              </w:rPr>
              <w:t xml:space="preserve">一级 </w:t>
            </w:r>
            <w:r>
              <w:rPr>
                <w:rFonts w:ascii="Segoe UI Symbol" w:hAnsi="Segoe UI Symbol" w:cs="Segoe UI Symbol"/>
                <w:color w:val="auto"/>
                <w:sz w:val="21"/>
                <w:szCs w:val="21"/>
              </w:rPr>
              <w:t>☐</w:t>
            </w:r>
            <w:r>
              <w:rPr>
                <w:rFonts w:cs="Times New Roman"/>
                <w:color w:val="auto"/>
                <w:sz w:val="21"/>
                <w:szCs w:val="21"/>
              </w:rPr>
              <w:t xml:space="preserve">；二级 </w:t>
            </w:r>
            <w:r>
              <w:rPr>
                <w:rFonts w:ascii="Segoe UI Symbol" w:hAnsi="Segoe UI Symbol" w:cs="Segoe UI Symbol"/>
                <w:color w:val="auto"/>
                <w:sz w:val="21"/>
                <w:szCs w:val="21"/>
              </w:rPr>
              <w:t>☐</w:t>
            </w:r>
            <w:r>
              <w:rPr>
                <w:rFonts w:cs="Times New Roman"/>
                <w:color w:val="auto"/>
                <w:sz w:val="21"/>
                <w:szCs w:val="21"/>
              </w:rPr>
              <w:t xml:space="preserve">；三级A </w:t>
            </w:r>
            <w:r>
              <w:rPr>
                <w:rFonts w:ascii="Segoe UI Symbol" w:hAnsi="Segoe UI Symbol" w:cs="Segoe UI Symbol"/>
                <w:color w:val="auto"/>
                <w:sz w:val="21"/>
                <w:szCs w:val="21"/>
              </w:rPr>
              <w:t>☐</w:t>
            </w:r>
            <w:r>
              <w:rPr>
                <w:rFonts w:cs="Times New Roman"/>
                <w:color w:val="auto"/>
                <w:sz w:val="21"/>
                <w:szCs w:val="21"/>
              </w:rPr>
              <w:t>；三级B√；</w:t>
            </w:r>
          </w:p>
        </w:tc>
        <w:tc>
          <w:tcPr>
            <w:tcW w:w="2462" w:type="dxa"/>
            <w:gridSpan w:val="4"/>
            <w:vAlign w:val="center"/>
          </w:tcPr>
          <w:p w14:paraId="33A8683B">
            <w:pPr>
              <w:spacing w:line="240" w:lineRule="auto"/>
              <w:rPr>
                <w:rFonts w:cs="Times New Roman"/>
                <w:color w:val="auto"/>
                <w:sz w:val="21"/>
                <w:szCs w:val="21"/>
              </w:rPr>
            </w:pPr>
            <w:r>
              <w:rPr>
                <w:rFonts w:cs="Times New Roman"/>
                <w:color w:val="auto"/>
                <w:sz w:val="21"/>
                <w:szCs w:val="21"/>
              </w:rPr>
              <w:t xml:space="preserve">一级 </w:t>
            </w:r>
            <w:r>
              <w:rPr>
                <w:rFonts w:ascii="Segoe UI Symbol" w:hAnsi="Segoe UI Symbol" w:cs="Segoe UI Symbol"/>
                <w:color w:val="auto"/>
                <w:sz w:val="21"/>
                <w:szCs w:val="21"/>
              </w:rPr>
              <w:t>☐</w:t>
            </w:r>
            <w:r>
              <w:rPr>
                <w:rFonts w:cs="Times New Roman"/>
                <w:color w:val="auto"/>
                <w:sz w:val="21"/>
                <w:szCs w:val="21"/>
              </w:rPr>
              <w:t xml:space="preserve">；二级 </w:t>
            </w:r>
            <w:r>
              <w:rPr>
                <w:rFonts w:ascii="Segoe UI Symbol" w:hAnsi="Segoe UI Symbol" w:cs="Segoe UI Symbol"/>
                <w:color w:val="auto"/>
                <w:sz w:val="21"/>
                <w:szCs w:val="21"/>
              </w:rPr>
              <w:t>☐</w:t>
            </w:r>
            <w:r>
              <w:rPr>
                <w:rFonts w:cs="Times New Roman"/>
                <w:color w:val="auto"/>
                <w:sz w:val="21"/>
                <w:szCs w:val="21"/>
              </w:rPr>
              <w:t xml:space="preserve">；三级 </w:t>
            </w:r>
            <w:r>
              <w:rPr>
                <w:rFonts w:ascii="Segoe UI Symbol" w:hAnsi="Segoe UI Symbol" w:cs="Segoe UI Symbol"/>
                <w:color w:val="auto"/>
                <w:sz w:val="21"/>
                <w:szCs w:val="21"/>
              </w:rPr>
              <w:t>☐</w:t>
            </w:r>
            <w:r>
              <w:rPr>
                <w:rFonts w:cs="Times New Roman"/>
                <w:color w:val="auto"/>
                <w:sz w:val="21"/>
                <w:szCs w:val="21"/>
              </w:rPr>
              <w:t>；</w:t>
            </w:r>
          </w:p>
        </w:tc>
      </w:tr>
      <w:tr w14:paraId="2DFE8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260A433B">
            <w:pPr>
              <w:spacing w:line="240" w:lineRule="auto"/>
              <w:rPr>
                <w:rFonts w:cs="Times New Roman"/>
                <w:color w:val="auto"/>
                <w:sz w:val="21"/>
                <w:szCs w:val="21"/>
              </w:rPr>
            </w:pPr>
            <w:r>
              <w:rPr>
                <w:rFonts w:cs="Times New Roman"/>
                <w:color w:val="auto"/>
                <w:sz w:val="21"/>
                <w:szCs w:val="21"/>
              </w:rPr>
              <w:t>现状调查</w:t>
            </w:r>
          </w:p>
        </w:tc>
        <w:tc>
          <w:tcPr>
            <w:tcW w:w="1738" w:type="dxa"/>
            <w:vMerge w:val="restart"/>
            <w:vAlign w:val="center"/>
          </w:tcPr>
          <w:p w14:paraId="7EB261A0">
            <w:pPr>
              <w:spacing w:line="240" w:lineRule="auto"/>
              <w:jc w:val="center"/>
              <w:rPr>
                <w:rFonts w:cs="Times New Roman"/>
                <w:color w:val="auto"/>
                <w:sz w:val="21"/>
                <w:szCs w:val="21"/>
              </w:rPr>
            </w:pPr>
            <w:r>
              <w:rPr>
                <w:rFonts w:cs="Times New Roman"/>
                <w:color w:val="auto"/>
                <w:sz w:val="21"/>
                <w:szCs w:val="21"/>
              </w:rPr>
              <w:t>区域污染源</w:t>
            </w:r>
          </w:p>
        </w:tc>
        <w:tc>
          <w:tcPr>
            <w:tcW w:w="4973" w:type="dxa"/>
            <w:gridSpan w:val="8"/>
            <w:vAlign w:val="center"/>
          </w:tcPr>
          <w:p w14:paraId="2BFDF840">
            <w:pPr>
              <w:spacing w:line="240" w:lineRule="auto"/>
              <w:jc w:val="center"/>
              <w:rPr>
                <w:rFonts w:cs="Times New Roman"/>
                <w:color w:val="auto"/>
                <w:sz w:val="21"/>
                <w:szCs w:val="21"/>
              </w:rPr>
            </w:pPr>
            <w:r>
              <w:rPr>
                <w:rFonts w:cs="Times New Roman"/>
                <w:color w:val="auto"/>
                <w:sz w:val="21"/>
                <w:szCs w:val="21"/>
              </w:rPr>
              <w:t>调查项目</w:t>
            </w:r>
          </w:p>
        </w:tc>
        <w:tc>
          <w:tcPr>
            <w:tcW w:w="2462" w:type="dxa"/>
            <w:gridSpan w:val="4"/>
            <w:vAlign w:val="center"/>
          </w:tcPr>
          <w:p w14:paraId="3012A76C">
            <w:pPr>
              <w:spacing w:line="240" w:lineRule="auto"/>
              <w:jc w:val="center"/>
              <w:rPr>
                <w:rFonts w:cs="Times New Roman"/>
                <w:color w:val="auto"/>
                <w:sz w:val="21"/>
                <w:szCs w:val="21"/>
              </w:rPr>
            </w:pPr>
            <w:r>
              <w:rPr>
                <w:rFonts w:cs="Times New Roman"/>
                <w:color w:val="auto"/>
                <w:sz w:val="21"/>
                <w:szCs w:val="21"/>
              </w:rPr>
              <w:t>数据来源</w:t>
            </w:r>
          </w:p>
        </w:tc>
      </w:tr>
      <w:tr w14:paraId="2BF90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78FDA6C7">
            <w:pPr>
              <w:spacing w:line="240" w:lineRule="auto"/>
              <w:rPr>
                <w:rFonts w:cs="Times New Roman"/>
                <w:color w:val="auto"/>
                <w:sz w:val="21"/>
                <w:szCs w:val="21"/>
              </w:rPr>
            </w:pPr>
          </w:p>
        </w:tc>
        <w:tc>
          <w:tcPr>
            <w:tcW w:w="1738" w:type="dxa"/>
            <w:vMerge w:val="continue"/>
            <w:vAlign w:val="center"/>
          </w:tcPr>
          <w:p w14:paraId="3F4FB267">
            <w:pPr>
              <w:spacing w:line="240" w:lineRule="auto"/>
              <w:jc w:val="center"/>
              <w:rPr>
                <w:rFonts w:cs="Times New Roman"/>
                <w:color w:val="auto"/>
                <w:sz w:val="21"/>
                <w:szCs w:val="21"/>
              </w:rPr>
            </w:pPr>
          </w:p>
        </w:tc>
        <w:tc>
          <w:tcPr>
            <w:tcW w:w="1271" w:type="dxa"/>
            <w:vAlign w:val="center"/>
          </w:tcPr>
          <w:p w14:paraId="712D7216">
            <w:pPr>
              <w:spacing w:line="240" w:lineRule="auto"/>
              <w:rPr>
                <w:rFonts w:cs="Times New Roman"/>
                <w:color w:val="auto"/>
                <w:sz w:val="21"/>
                <w:szCs w:val="21"/>
              </w:rPr>
            </w:pPr>
            <w:r>
              <w:rPr>
                <w:rFonts w:cs="Times New Roman"/>
                <w:color w:val="auto"/>
                <w:sz w:val="21"/>
                <w:szCs w:val="21"/>
              </w:rPr>
              <w:t xml:space="preserve">已建 </w:t>
            </w:r>
            <w:r>
              <w:rPr>
                <w:rFonts w:ascii="Segoe UI Symbol" w:hAnsi="Segoe UI Symbol" w:cs="Segoe UI Symbol"/>
                <w:color w:val="auto"/>
                <w:sz w:val="21"/>
                <w:szCs w:val="21"/>
              </w:rPr>
              <w:t>☐</w:t>
            </w:r>
            <w:r>
              <w:rPr>
                <w:rFonts w:cs="Times New Roman"/>
                <w:color w:val="auto"/>
                <w:sz w:val="21"/>
                <w:szCs w:val="21"/>
              </w:rPr>
              <w:t xml:space="preserve">；在建 </w:t>
            </w:r>
            <w:r>
              <w:rPr>
                <w:rFonts w:ascii="Segoe UI Symbol" w:hAnsi="Segoe UI Symbol" w:cs="Segoe UI Symbol"/>
                <w:color w:val="auto"/>
                <w:sz w:val="21"/>
                <w:szCs w:val="21"/>
              </w:rPr>
              <w:t>☐</w:t>
            </w:r>
            <w:r>
              <w:rPr>
                <w:rFonts w:cs="Times New Roman"/>
                <w:color w:val="auto"/>
                <w:sz w:val="21"/>
                <w:szCs w:val="21"/>
              </w:rPr>
              <w:t xml:space="preserve">；拟建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w:t>
            </w:r>
          </w:p>
        </w:tc>
        <w:tc>
          <w:tcPr>
            <w:tcW w:w="3702" w:type="dxa"/>
            <w:gridSpan w:val="7"/>
            <w:vAlign w:val="center"/>
          </w:tcPr>
          <w:p w14:paraId="451D6DBC">
            <w:pPr>
              <w:spacing w:line="240" w:lineRule="auto"/>
              <w:rPr>
                <w:rFonts w:cs="Times New Roman"/>
                <w:color w:val="auto"/>
                <w:sz w:val="21"/>
                <w:szCs w:val="21"/>
              </w:rPr>
            </w:pPr>
            <w:r>
              <w:rPr>
                <w:rFonts w:cs="Times New Roman"/>
                <w:color w:val="auto"/>
                <w:sz w:val="21"/>
                <w:szCs w:val="21"/>
              </w:rPr>
              <w:t xml:space="preserve">拟替代的污染源 </w:t>
            </w:r>
            <w:r>
              <w:rPr>
                <w:rFonts w:ascii="Segoe UI Symbol" w:hAnsi="Segoe UI Symbol" w:cs="Segoe UI Symbol"/>
                <w:color w:val="auto"/>
                <w:sz w:val="21"/>
                <w:szCs w:val="21"/>
              </w:rPr>
              <w:t>☐</w:t>
            </w:r>
            <w:r>
              <w:rPr>
                <w:rFonts w:cs="Times New Roman"/>
                <w:color w:val="auto"/>
                <w:sz w:val="21"/>
                <w:szCs w:val="21"/>
              </w:rPr>
              <w:t>；</w:t>
            </w:r>
          </w:p>
        </w:tc>
        <w:tc>
          <w:tcPr>
            <w:tcW w:w="2462" w:type="dxa"/>
            <w:gridSpan w:val="4"/>
            <w:vAlign w:val="center"/>
          </w:tcPr>
          <w:p w14:paraId="103F715B">
            <w:pPr>
              <w:spacing w:line="240" w:lineRule="auto"/>
              <w:rPr>
                <w:rFonts w:cs="Times New Roman"/>
                <w:color w:val="auto"/>
                <w:sz w:val="21"/>
                <w:szCs w:val="21"/>
              </w:rPr>
            </w:pPr>
            <w:r>
              <w:rPr>
                <w:rFonts w:cs="Times New Roman"/>
                <w:color w:val="auto"/>
                <w:sz w:val="21"/>
                <w:szCs w:val="21"/>
              </w:rPr>
              <w:t xml:space="preserve">排污许可证 </w:t>
            </w:r>
            <w:r>
              <w:rPr>
                <w:rFonts w:ascii="Segoe UI Symbol" w:hAnsi="Segoe UI Symbol" w:cs="Segoe UI Symbol"/>
                <w:color w:val="auto"/>
                <w:sz w:val="21"/>
                <w:szCs w:val="21"/>
              </w:rPr>
              <w:t>☐</w:t>
            </w:r>
            <w:r>
              <w:rPr>
                <w:rFonts w:cs="Times New Roman"/>
                <w:color w:val="auto"/>
                <w:sz w:val="21"/>
                <w:szCs w:val="21"/>
              </w:rPr>
              <w:t xml:space="preserve">；环评 </w:t>
            </w:r>
            <w:r>
              <w:rPr>
                <w:rFonts w:ascii="Segoe UI Symbol" w:hAnsi="Segoe UI Symbol" w:cs="Segoe UI Symbol"/>
                <w:color w:val="auto"/>
                <w:sz w:val="21"/>
                <w:szCs w:val="21"/>
              </w:rPr>
              <w:t>☐</w:t>
            </w:r>
            <w:r>
              <w:rPr>
                <w:rFonts w:cs="Times New Roman"/>
                <w:color w:val="auto"/>
                <w:sz w:val="21"/>
                <w:szCs w:val="21"/>
              </w:rPr>
              <w:t xml:space="preserve">；环保验收 </w:t>
            </w:r>
            <w:r>
              <w:rPr>
                <w:rFonts w:ascii="Segoe UI Symbol" w:hAnsi="Segoe UI Symbol" w:cs="Segoe UI Symbol"/>
                <w:color w:val="auto"/>
                <w:sz w:val="21"/>
                <w:szCs w:val="21"/>
              </w:rPr>
              <w:t>☐</w:t>
            </w:r>
            <w:r>
              <w:rPr>
                <w:rFonts w:cs="Times New Roman"/>
                <w:color w:val="auto"/>
                <w:sz w:val="21"/>
                <w:szCs w:val="21"/>
              </w:rPr>
              <w:t xml:space="preserve">；既有实测 </w:t>
            </w:r>
            <w:r>
              <w:rPr>
                <w:rFonts w:ascii="Segoe UI Symbol" w:hAnsi="Segoe UI Symbol" w:cs="Segoe UI Symbol"/>
                <w:color w:val="auto"/>
                <w:sz w:val="21"/>
                <w:szCs w:val="21"/>
              </w:rPr>
              <w:t>☐</w:t>
            </w:r>
            <w:r>
              <w:rPr>
                <w:rFonts w:cs="Times New Roman"/>
                <w:color w:val="auto"/>
                <w:sz w:val="21"/>
                <w:szCs w:val="21"/>
              </w:rPr>
              <w:t xml:space="preserve">；现场监测 </w:t>
            </w:r>
            <w:r>
              <w:rPr>
                <w:rFonts w:ascii="Segoe UI Symbol" w:hAnsi="Segoe UI Symbol" w:cs="Segoe UI Symbol"/>
                <w:color w:val="auto"/>
                <w:sz w:val="21"/>
                <w:szCs w:val="21"/>
              </w:rPr>
              <w:t>☐</w:t>
            </w:r>
            <w:r>
              <w:rPr>
                <w:rFonts w:cs="Times New Roman"/>
                <w:color w:val="auto"/>
                <w:sz w:val="21"/>
                <w:szCs w:val="21"/>
              </w:rPr>
              <w:t xml:space="preserve">；入河排放数据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p>
        </w:tc>
      </w:tr>
      <w:tr w14:paraId="14B88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6C15F76B">
            <w:pPr>
              <w:spacing w:line="240" w:lineRule="auto"/>
              <w:rPr>
                <w:rFonts w:cs="Times New Roman"/>
                <w:color w:val="auto"/>
                <w:sz w:val="21"/>
                <w:szCs w:val="21"/>
              </w:rPr>
            </w:pPr>
          </w:p>
        </w:tc>
        <w:tc>
          <w:tcPr>
            <w:tcW w:w="1738" w:type="dxa"/>
            <w:vMerge w:val="restart"/>
            <w:vAlign w:val="center"/>
          </w:tcPr>
          <w:p w14:paraId="5BEC4CA3">
            <w:pPr>
              <w:spacing w:line="240" w:lineRule="auto"/>
              <w:jc w:val="center"/>
              <w:rPr>
                <w:rFonts w:cs="Times New Roman"/>
                <w:color w:val="auto"/>
                <w:sz w:val="21"/>
                <w:szCs w:val="21"/>
              </w:rPr>
            </w:pPr>
            <w:r>
              <w:rPr>
                <w:rFonts w:cs="Times New Roman"/>
                <w:color w:val="auto"/>
                <w:sz w:val="21"/>
                <w:szCs w:val="21"/>
              </w:rPr>
              <w:t>受影响水体水环境质量</w:t>
            </w:r>
          </w:p>
        </w:tc>
        <w:tc>
          <w:tcPr>
            <w:tcW w:w="4973" w:type="dxa"/>
            <w:gridSpan w:val="8"/>
            <w:vAlign w:val="center"/>
          </w:tcPr>
          <w:p w14:paraId="6D884A27">
            <w:pPr>
              <w:spacing w:line="240" w:lineRule="auto"/>
              <w:jc w:val="center"/>
              <w:rPr>
                <w:rFonts w:cs="Times New Roman"/>
                <w:color w:val="auto"/>
                <w:sz w:val="21"/>
                <w:szCs w:val="21"/>
              </w:rPr>
            </w:pPr>
            <w:r>
              <w:rPr>
                <w:rFonts w:cs="Times New Roman"/>
                <w:color w:val="auto"/>
                <w:sz w:val="21"/>
                <w:szCs w:val="21"/>
              </w:rPr>
              <w:t>调查项目</w:t>
            </w:r>
          </w:p>
        </w:tc>
        <w:tc>
          <w:tcPr>
            <w:tcW w:w="2462" w:type="dxa"/>
            <w:gridSpan w:val="4"/>
            <w:vAlign w:val="center"/>
          </w:tcPr>
          <w:p w14:paraId="23195C5B">
            <w:pPr>
              <w:spacing w:line="240" w:lineRule="auto"/>
              <w:jc w:val="center"/>
              <w:rPr>
                <w:rFonts w:cs="Times New Roman"/>
                <w:color w:val="auto"/>
                <w:sz w:val="21"/>
                <w:szCs w:val="21"/>
              </w:rPr>
            </w:pPr>
            <w:r>
              <w:rPr>
                <w:rFonts w:cs="Times New Roman"/>
                <w:color w:val="auto"/>
                <w:sz w:val="21"/>
                <w:szCs w:val="21"/>
              </w:rPr>
              <w:t>数据来源</w:t>
            </w:r>
          </w:p>
        </w:tc>
      </w:tr>
      <w:tr w14:paraId="64334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6027D559">
            <w:pPr>
              <w:spacing w:line="240" w:lineRule="auto"/>
              <w:rPr>
                <w:rFonts w:cs="Times New Roman"/>
                <w:color w:val="auto"/>
                <w:sz w:val="21"/>
                <w:szCs w:val="21"/>
              </w:rPr>
            </w:pPr>
          </w:p>
        </w:tc>
        <w:tc>
          <w:tcPr>
            <w:tcW w:w="1738" w:type="dxa"/>
            <w:vMerge w:val="continue"/>
            <w:vAlign w:val="center"/>
          </w:tcPr>
          <w:p w14:paraId="56EB1D9A">
            <w:pPr>
              <w:spacing w:line="240" w:lineRule="auto"/>
              <w:jc w:val="center"/>
              <w:rPr>
                <w:rFonts w:cs="Times New Roman"/>
                <w:color w:val="auto"/>
                <w:sz w:val="21"/>
                <w:szCs w:val="21"/>
              </w:rPr>
            </w:pPr>
          </w:p>
        </w:tc>
        <w:tc>
          <w:tcPr>
            <w:tcW w:w="4973" w:type="dxa"/>
            <w:gridSpan w:val="8"/>
            <w:vAlign w:val="center"/>
          </w:tcPr>
          <w:p w14:paraId="607431CB">
            <w:pPr>
              <w:spacing w:line="240" w:lineRule="auto"/>
              <w:rPr>
                <w:rFonts w:cs="Times New Roman"/>
                <w:color w:val="auto"/>
                <w:sz w:val="21"/>
                <w:szCs w:val="21"/>
              </w:rPr>
            </w:pPr>
            <w:r>
              <w:rPr>
                <w:rFonts w:cs="Times New Roman"/>
                <w:color w:val="auto"/>
                <w:sz w:val="21"/>
                <w:szCs w:val="21"/>
              </w:rPr>
              <w:t xml:space="preserve">丰水期 </w:t>
            </w:r>
            <w:r>
              <w:rPr>
                <w:rFonts w:ascii="Segoe UI Symbol" w:hAnsi="Segoe UI Symbol" w:cs="Segoe UI Symbol"/>
                <w:color w:val="auto"/>
                <w:sz w:val="21"/>
                <w:szCs w:val="21"/>
              </w:rPr>
              <w:t>☐</w:t>
            </w:r>
            <w:r>
              <w:rPr>
                <w:rFonts w:cs="Times New Roman"/>
                <w:color w:val="auto"/>
                <w:sz w:val="21"/>
                <w:szCs w:val="21"/>
              </w:rPr>
              <w:t xml:space="preserve">；平水期 </w:t>
            </w:r>
            <w:r>
              <w:rPr>
                <w:rFonts w:ascii="Segoe UI Symbol" w:hAnsi="Segoe UI Symbol" w:cs="Segoe UI Symbol"/>
                <w:color w:val="auto"/>
                <w:sz w:val="21"/>
                <w:szCs w:val="21"/>
              </w:rPr>
              <w:t>☐</w:t>
            </w:r>
            <w:r>
              <w:rPr>
                <w:rFonts w:cs="Times New Roman"/>
                <w:color w:val="auto"/>
                <w:sz w:val="21"/>
                <w:szCs w:val="21"/>
              </w:rPr>
              <w:t xml:space="preserve">；枯水期√；冰封期 </w:t>
            </w:r>
            <w:r>
              <w:rPr>
                <w:rFonts w:ascii="Segoe UI Symbol" w:hAnsi="Segoe UI Symbol" w:cs="Segoe UI Symbol"/>
                <w:color w:val="auto"/>
                <w:sz w:val="21"/>
                <w:szCs w:val="21"/>
              </w:rPr>
              <w:t>☐</w:t>
            </w:r>
            <w:r>
              <w:rPr>
                <w:rFonts w:cs="Times New Roman"/>
                <w:color w:val="auto"/>
                <w:sz w:val="21"/>
                <w:szCs w:val="21"/>
              </w:rPr>
              <w:t>；</w:t>
            </w:r>
          </w:p>
          <w:p w14:paraId="06E08B93">
            <w:pPr>
              <w:spacing w:line="240" w:lineRule="auto"/>
              <w:rPr>
                <w:rFonts w:cs="Times New Roman"/>
                <w:color w:val="auto"/>
                <w:sz w:val="21"/>
                <w:szCs w:val="21"/>
              </w:rPr>
            </w:pPr>
            <w:r>
              <w:rPr>
                <w:rFonts w:cs="Times New Roman"/>
                <w:color w:val="auto"/>
                <w:sz w:val="21"/>
                <w:szCs w:val="21"/>
              </w:rPr>
              <w:t xml:space="preserve">春季 </w:t>
            </w:r>
            <w:r>
              <w:rPr>
                <w:rFonts w:ascii="Segoe UI Symbol" w:hAnsi="Segoe UI Symbol" w:cs="Segoe UI Symbol"/>
                <w:color w:val="auto"/>
                <w:sz w:val="21"/>
                <w:szCs w:val="21"/>
              </w:rPr>
              <w:t>☐</w:t>
            </w:r>
            <w:r>
              <w:rPr>
                <w:rFonts w:cs="Times New Roman"/>
                <w:color w:val="auto"/>
                <w:sz w:val="21"/>
                <w:szCs w:val="21"/>
              </w:rPr>
              <w:t xml:space="preserve">；夏季 </w:t>
            </w:r>
            <w:r>
              <w:rPr>
                <w:rFonts w:ascii="Segoe UI Symbol" w:hAnsi="Segoe UI Symbol" w:cs="Segoe UI Symbol"/>
                <w:color w:val="auto"/>
                <w:sz w:val="21"/>
                <w:szCs w:val="21"/>
              </w:rPr>
              <w:t>☐</w:t>
            </w:r>
            <w:r>
              <w:rPr>
                <w:rFonts w:cs="Times New Roman"/>
                <w:color w:val="auto"/>
                <w:sz w:val="21"/>
                <w:szCs w:val="21"/>
              </w:rPr>
              <w:t xml:space="preserve">；秋季 </w:t>
            </w:r>
            <w:r>
              <w:rPr>
                <w:rFonts w:ascii="Segoe UI Symbol" w:hAnsi="Segoe UI Symbol" w:cs="Segoe UI Symbol"/>
                <w:color w:val="auto"/>
                <w:sz w:val="21"/>
                <w:szCs w:val="21"/>
              </w:rPr>
              <w:t>☐</w:t>
            </w:r>
            <w:r>
              <w:rPr>
                <w:rFonts w:cs="Times New Roman"/>
                <w:color w:val="auto"/>
                <w:sz w:val="21"/>
                <w:szCs w:val="21"/>
              </w:rPr>
              <w:t>； 冬季</w:t>
            </w:r>
            <w:r>
              <w:rPr>
                <w:rFonts w:ascii="Segoe UI Symbol" w:hAnsi="Segoe UI Symbol" w:cs="Segoe UI Symbol"/>
                <w:color w:val="auto"/>
                <w:sz w:val="21"/>
                <w:szCs w:val="21"/>
              </w:rPr>
              <w:t>☐</w:t>
            </w:r>
            <w:r>
              <w:rPr>
                <w:rFonts w:cs="Times New Roman"/>
                <w:color w:val="auto"/>
                <w:sz w:val="21"/>
                <w:szCs w:val="21"/>
              </w:rPr>
              <w:t>；</w:t>
            </w:r>
          </w:p>
        </w:tc>
        <w:tc>
          <w:tcPr>
            <w:tcW w:w="2462" w:type="dxa"/>
            <w:gridSpan w:val="4"/>
            <w:vAlign w:val="center"/>
          </w:tcPr>
          <w:p w14:paraId="60B81C0F">
            <w:pPr>
              <w:spacing w:line="240" w:lineRule="auto"/>
              <w:rPr>
                <w:rFonts w:cs="Times New Roman"/>
                <w:color w:val="auto"/>
                <w:sz w:val="21"/>
                <w:szCs w:val="21"/>
              </w:rPr>
            </w:pPr>
            <w:r>
              <w:rPr>
                <w:rFonts w:cs="Times New Roman"/>
                <w:color w:val="auto"/>
                <w:sz w:val="21"/>
                <w:szCs w:val="21"/>
              </w:rPr>
              <w:t xml:space="preserve">生态环境保护主管部门√；补充监测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w:t>
            </w:r>
          </w:p>
        </w:tc>
      </w:tr>
      <w:tr w14:paraId="610B7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1217E678">
            <w:pPr>
              <w:spacing w:line="240" w:lineRule="auto"/>
              <w:rPr>
                <w:rFonts w:cs="Times New Roman"/>
                <w:color w:val="auto"/>
                <w:sz w:val="21"/>
                <w:szCs w:val="21"/>
              </w:rPr>
            </w:pPr>
          </w:p>
        </w:tc>
        <w:tc>
          <w:tcPr>
            <w:tcW w:w="1738" w:type="dxa"/>
            <w:vAlign w:val="center"/>
          </w:tcPr>
          <w:p w14:paraId="5473D90B">
            <w:pPr>
              <w:spacing w:line="240" w:lineRule="auto"/>
              <w:jc w:val="center"/>
              <w:rPr>
                <w:rFonts w:cs="Times New Roman"/>
                <w:color w:val="auto"/>
                <w:sz w:val="21"/>
                <w:szCs w:val="21"/>
              </w:rPr>
            </w:pPr>
            <w:r>
              <w:rPr>
                <w:rFonts w:cs="Times New Roman"/>
                <w:color w:val="auto"/>
                <w:sz w:val="21"/>
                <w:szCs w:val="21"/>
              </w:rPr>
              <w:t>区域水资源开发利用状况</w:t>
            </w:r>
          </w:p>
        </w:tc>
        <w:tc>
          <w:tcPr>
            <w:tcW w:w="7435" w:type="dxa"/>
            <w:gridSpan w:val="12"/>
            <w:vAlign w:val="center"/>
          </w:tcPr>
          <w:p w14:paraId="1C0545F0">
            <w:pPr>
              <w:spacing w:line="240" w:lineRule="auto"/>
              <w:rPr>
                <w:rFonts w:cs="Times New Roman"/>
                <w:color w:val="auto"/>
                <w:sz w:val="21"/>
                <w:szCs w:val="21"/>
              </w:rPr>
            </w:pPr>
            <w:r>
              <w:rPr>
                <w:rFonts w:cs="Times New Roman"/>
                <w:color w:val="auto"/>
                <w:sz w:val="21"/>
                <w:szCs w:val="21"/>
              </w:rPr>
              <w:t xml:space="preserve">未开发 </w:t>
            </w:r>
            <w:r>
              <w:rPr>
                <w:rFonts w:ascii="Segoe UI Symbol" w:hAnsi="Segoe UI Symbol" w:cs="Segoe UI Symbol"/>
                <w:color w:val="auto"/>
                <w:sz w:val="21"/>
                <w:szCs w:val="21"/>
              </w:rPr>
              <w:t>☐</w:t>
            </w:r>
            <w:r>
              <w:rPr>
                <w:rFonts w:cs="Times New Roman"/>
                <w:color w:val="auto"/>
                <w:sz w:val="21"/>
                <w:szCs w:val="21"/>
              </w:rPr>
              <w:t xml:space="preserve">；开发量40%以下 </w:t>
            </w:r>
            <w:r>
              <w:rPr>
                <w:rFonts w:ascii="Segoe UI Symbol" w:hAnsi="Segoe UI Symbol" w:cs="Segoe UI Symbol"/>
                <w:color w:val="auto"/>
                <w:sz w:val="21"/>
                <w:szCs w:val="21"/>
              </w:rPr>
              <w:t>☐</w:t>
            </w:r>
            <w:r>
              <w:rPr>
                <w:rFonts w:cs="Times New Roman"/>
                <w:color w:val="auto"/>
                <w:sz w:val="21"/>
                <w:szCs w:val="21"/>
              </w:rPr>
              <w:t xml:space="preserve">；开发量40%以上 </w:t>
            </w:r>
            <w:r>
              <w:rPr>
                <w:rFonts w:ascii="Segoe UI Symbol" w:hAnsi="Segoe UI Symbol" w:cs="Segoe UI Symbol"/>
                <w:color w:val="auto"/>
                <w:sz w:val="21"/>
                <w:szCs w:val="21"/>
              </w:rPr>
              <w:t>☐</w:t>
            </w:r>
            <w:r>
              <w:rPr>
                <w:rFonts w:cs="Times New Roman"/>
                <w:color w:val="auto"/>
                <w:sz w:val="21"/>
                <w:szCs w:val="21"/>
              </w:rPr>
              <w:t>；</w:t>
            </w:r>
          </w:p>
        </w:tc>
      </w:tr>
      <w:tr w14:paraId="52938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3F2D5609">
            <w:pPr>
              <w:spacing w:line="240" w:lineRule="auto"/>
              <w:rPr>
                <w:rFonts w:cs="Times New Roman"/>
                <w:color w:val="auto"/>
                <w:sz w:val="21"/>
                <w:szCs w:val="21"/>
              </w:rPr>
            </w:pPr>
          </w:p>
        </w:tc>
        <w:tc>
          <w:tcPr>
            <w:tcW w:w="1738" w:type="dxa"/>
            <w:vMerge w:val="restart"/>
            <w:vAlign w:val="center"/>
          </w:tcPr>
          <w:p w14:paraId="1E178861">
            <w:pPr>
              <w:spacing w:line="240" w:lineRule="auto"/>
              <w:jc w:val="center"/>
              <w:rPr>
                <w:rFonts w:cs="Times New Roman"/>
                <w:color w:val="auto"/>
                <w:sz w:val="21"/>
                <w:szCs w:val="21"/>
              </w:rPr>
            </w:pPr>
            <w:r>
              <w:rPr>
                <w:rFonts w:cs="Times New Roman"/>
                <w:color w:val="auto"/>
                <w:sz w:val="21"/>
                <w:szCs w:val="21"/>
              </w:rPr>
              <w:t>水文情势调查</w:t>
            </w:r>
          </w:p>
        </w:tc>
        <w:tc>
          <w:tcPr>
            <w:tcW w:w="4973" w:type="dxa"/>
            <w:gridSpan w:val="8"/>
            <w:vAlign w:val="center"/>
          </w:tcPr>
          <w:p w14:paraId="735D4D28">
            <w:pPr>
              <w:spacing w:line="240" w:lineRule="auto"/>
              <w:jc w:val="center"/>
              <w:rPr>
                <w:rFonts w:cs="Times New Roman"/>
                <w:color w:val="auto"/>
                <w:sz w:val="21"/>
                <w:szCs w:val="21"/>
              </w:rPr>
            </w:pPr>
            <w:r>
              <w:rPr>
                <w:rFonts w:cs="Times New Roman"/>
                <w:color w:val="auto"/>
                <w:sz w:val="21"/>
                <w:szCs w:val="21"/>
              </w:rPr>
              <w:t>调查时期</w:t>
            </w:r>
          </w:p>
        </w:tc>
        <w:tc>
          <w:tcPr>
            <w:tcW w:w="2462" w:type="dxa"/>
            <w:gridSpan w:val="4"/>
            <w:vAlign w:val="center"/>
          </w:tcPr>
          <w:p w14:paraId="702E5AAC">
            <w:pPr>
              <w:spacing w:line="240" w:lineRule="auto"/>
              <w:jc w:val="center"/>
              <w:rPr>
                <w:rFonts w:cs="Times New Roman"/>
                <w:color w:val="auto"/>
                <w:sz w:val="21"/>
                <w:szCs w:val="21"/>
              </w:rPr>
            </w:pPr>
            <w:r>
              <w:rPr>
                <w:rFonts w:cs="Times New Roman"/>
                <w:color w:val="auto"/>
                <w:sz w:val="21"/>
                <w:szCs w:val="21"/>
              </w:rPr>
              <w:t>数据来源</w:t>
            </w:r>
          </w:p>
        </w:tc>
      </w:tr>
      <w:tr w14:paraId="502C4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3BA280D5">
            <w:pPr>
              <w:spacing w:line="240" w:lineRule="auto"/>
              <w:rPr>
                <w:rFonts w:cs="Times New Roman"/>
                <w:color w:val="auto"/>
                <w:sz w:val="21"/>
                <w:szCs w:val="21"/>
              </w:rPr>
            </w:pPr>
          </w:p>
        </w:tc>
        <w:tc>
          <w:tcPr>
            <w:tcW w:w="1738" w:type="dxa"/>
            <w:vMerge w:val="continue"/>
            <w:vAlign w:val="center"/>
          </w:tcPr>
          <w:p w14:paraId="0B0675CE">
            <w:pPr>
              <w:spacing w:line="240" w:lineRule="auto"/>
              <w:jc w:val="center"/>
              <w:rPr>
                <w:rFonts w:cs="Times New Roman"/>
                <w:color w:val="auto"/>
                <w:sz w:val="21"/>
                <w:szCs w:val="21"/>
              </w:rPr>
            </w:pPr>
          </w:p>
        </w:tc>
        <w:tc>
          <w:tcPr>
            <w:tcW w:w="4973" w:type="dxa"/>
            <w:gridSpan w:val="8"/>
            <w:vAlign w:val="center"/>
          </w:tcPr>
          <w:p w14:paraId="0FCB82C0">
            <w:pPr>
              <w:spacing w:line="240" w:lineRule="auto"/>
              <w:rPr>
                <w:rFonts w:cs="Times New Roman"/>
                <w:color w:val="auto"/>
                <w:sz w:val="21"/>
                <w:szCs w:val="21"/>
              </w:rPr>
            </w:pPr>
            <w:r>
              <w:rPr>
                <w:rFonts w:cs="Times New Roman"/>
                <w:color w:val="auto"/>
                <w:sz w:val="21"/>
                <w:szCs w:val="21"/>
              </w:rPr>
              <w:t xml:space="preserve">丰水期 </w:t>
            </w:r>
            <w:r>
              <w:rPr>
                <w:rFonts w:ascii="Segoe UI Symbol" w:hAnsi="Segoe UI Symbol" w:cs="Segoe UI Symbol"/>
                <w:color w:val="auto"/>
                <w:sz w:val="21"/>
                <w:szCs w:val="21"/>
              </w:rPr>
              <w:t>☐</w:t>
            </w:r>
            <w:r>
              <w:rPr>
                <w:rFonts w:cs="Times New Roman"/>
                <w:color w:val="auto"/>
                <w:sz w:val="21"/>
                <w:szCs w:val="21"/>
              </w:rPr>
              <w:t xml:space="preserve">；平水期 </w:t>
            </w:r>
            <w:r>
              <w:rPr>
                <w:rFonts w:ascii="Segoe UI Symbol" w:hAnsi="Segoe UI Symbol" w:cs="Segoe UI Symbol"/>
                <w:color w:val="auto"/>
                <w:sz w:val="21"/>
                <w:szCs w:val="21"/>
              </w:rPr>
              <w:t>☐</w:t>
            </w:r>
            <w:r>
              <w:rPr>
                <w:rFonts w:cs="Times New Roman"/>
                <w:color w:val="auto"/>
                <w:sz w:val="21"/>
                <w:szCs w:val="21"/>
              </w:rPr>
              <w:t xml:space="preserve">；枯水期 </w:t>
            </w:r>
            <w:r>
              <w:rPr>
                <w:rFonts w:ascii="Segoe UI Symbol" w:hAnsi="Segoe UI Symbol" w:cs="Segoe UI Symbol"/>
                <w:color w:val="auto"/>
                <w:sz w:val="21"/>
                <w:szCs w:val="21"/>
              </w:rPr>
              <w:t>☐</w:t>
            </w:r>
            <w:r>
              <w:rPr>
                <w:rFonts w:cs="Times New Roman"/>
                <w:color w:val="auto"/>
                <w:sz w:val="21"/>
                <w:szCs w:val="21"/>
              </w:rPr>
              <w:t xml:space="preserve">；冰封期 </w:t>
            </w:r>
            <w:r>
              <w:rPr>
                <w:rFonts w:ascii="Segoe UI Symbol" w:hAnsi="Segoe UI Symbol" w:cs="Segoe UI Symbol"/>
                <w:color w:val="auto"/>
                <w:sz w:val="21"/>
                <w:szCs w:val="21"/>
              </w:rPr>
              <w:t>☐</w:t>
            </w:r>
            <w:r>
              <w:rPr>
                <w:rFonts w:cs="Times New Roman"/>
                <w:color w:val="auto"/>
                <w:sz w:val="21"/>
                <w:szCs w:val="21"/>
              </w:rPr>
              <w:t>；</w:t>
            </w:r>
          </w:p>
          <w:p w14:paraId="68062E2E">
            <w:pPr>
              <w:spacing w:line="240" w:lineRule="auto"/>
              <w:rPr>
                <w:rFonts w:cs="Times New Roman"/>
                <w:color w:val="auto"/>
                <w:sz w:val="21"/>
                <w:szCs w:val="21"/>
              </w:rPr>
            </w:pPr>
            <w:r>
              <w:rPr>
                <w:rFonts w:cs="Times New Roman"/>
                <w:color w:val="auto"/>
                <w:sz w:val="21"/>
                <w:szCs w:val="21"/>
              </w:rPr>
              <w:t xml:space="preserve">春季 </w:t>
            </w:r>
            <w:r>
              <w:rPr>
                <w:rFonts w:ascii="Segoe UI Symbol" w:hAnsi="Segoe UI Symbol" w:cs="Segoe UI Symbol"/>
                <w:color w:val="auto"/>
                <w:sz w:val="21"/>
                <w:szCs w:val="21"/>
              </w:rPr>
              <w:t>☐</w:t>
            </w:r>
            <w:r>
              <w:rPr>
                <w:rFonts w:cs="Times New Roman"/>
                <w:color w:val="auto"/>
                <w:sz w:val="21"/>
                <w:szCs w:val="21"/>
              </w:rPr>
              <w:t xml:space="preserve">；夏季 </w:t>
            </w:r>
            <w:r>
              <w:rPr>
                <w:rFonts w:ascii="Segoe UI Symbol" w:hAnsi="Segoe UI Symbol" w:cs="Segoe UI Symbol"/>
                <w:color w:val="auto"/>
                <w:sz w:val="21"/>
                <w:szCs w:val="21"/>
              </w:rPr>
              <w:t>☐</w:t>
            </w:r>
            <w:r>
              <w:rPr>
                <w:rFonts w:cs="Times New Roman"/>
                <w:color w:val="auto"/>
                <w:sz w:val="21"/>
                <w:szCs w:val="21"/>
              </w:rPr>
              <w:t xml:space="preserve">；秋季 </w:t>
            </w:r>
            <w:r>
              <w:rPr>
                <w:rFonts w:ascii="Segoe UI Symbol" w:hAnsi="Segoe UI Symbol" w:cs="Segoe UI Symbol"/>
                <w:color w:val="auto"/>
                <w:sz w:val="21"/>
                <w:szCs w:val="21"/>
              </w:rPr>
              <w:t>☐</w:t>
            </w:r>
            <w:r>
              <w:rPr>
                <w:rFonts w:cs="Times New Roman"/>
                <w:color w:val="auto"/>
                <w:sz w:val="21"/>
                <w:szCs w:val="21"/>
              </w:rPr>
              <w:t xml:space="preserve">； 冬季 </w:t>
            </w:r>
            <w:r>
              <w:rPr>
                <w:rFonts w:ascii="Segoe UI Symbol" w:hAnsi="Segoe UI Symbol" w:cs="Segoe UI Symbol"/>
                <w:color w:val="auto"/>
                <w:sz w:val="21"/>
                <w:szCs w:val="21"/>
              </w:rPr>
              <w:t>☐</w:t>
            </w:r>
            <w:r>
              <w:rPr>
                <w:rFonts w:cs="Times New Roman"/>
                <w:color w:val="auto"/>
                <w:sz w:val="21"/>
                <w:szCs w:val="21"/>
              </w:rPr>
              <w:t>；</w:t>
            </w:r>
          </w:p>
        </w:tc>
        <w:tc>
          <w:tcPr>
            <w:tcW w:w="2462" w:type="dxa"/>
            <w:gridSpan w:val="4"/>
            <w:vAlign w:val="center"/>
          </w:tcPr>
          <w:p w14:paraId="7AAD3ED3">
            <w:pPr>
              <w:spacing w:line="240" w:lineRule="auto"/>
              <w:rPr>
                <w:rFonts w:cs="Times New Roman"/>
                <w:color w:val="auto"/>
                <w:sz w:val="21"/>
                <w:szCs w:val="21"/>
              </w:rPr>
            </w:pPr>
            <w:r>
              <w:rPr>
                <w:rFonts w:cs="Times New Roman"/>
                <w:color w:val="auto"/>
                <w:sz w:val="21"/>
                <w:szCs w:val="21"/>
              </w:rPr>
              <w:t xml:space="preserve">水行政主管部门 </w:t>
            </w:r>
            <w:r>
              <w:rPr>
                <w:rFonts w:ascii="Segoe UI Symbol" w:hAnsi="Segoe UI Symbol" w:cs="Segoe UI Symbol"/>
                <w:color w:val="auto"/>
                <w:sz w:val="21"/>
                <w:szCs w:val="21"/>
              </w:rPr>
              <w:t>☐</w:t>
            </w:r>
            <w:r>
              <w:rPr>
                <w:rFonts w:cs="Times New Roman"/>
                <w:color w:val="auto"/>
                <w:sz w:val="21"/>
                <w:szCs w:val="21"/>
              </w:rPr>
              <w:t xml:space="preserve">；补充监测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w:t>
            </w:r>
          </w:p>
        </w:tc>
      </w:tr>
      <w:tr w14:paraId="42FAB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0937C6F1">
            <w:pPr>
              <w:spacing w:line="240" w:lineRule="auto"/>
              <w:rPr>
                <w:rFonts w:cs="Times New Roman"/>
                <w:color w:val="auto"/>
                <w:sz w:val="21"/>
                <w:szCs w:val="21"/>
              </w:rPr>
            </w:pPr>
          </w:p>
        </w:tc>
        <w:tc>
          <w:tcPr>
            <w:tcW w:w="1738" w:type="dxa"/>
            <w:vMerge w:val="restart"/>
            <w:vAlign w:val="center"/>
          </w:tcPr>
          <w:p w14:paraId="257957F6">
            <w:pPr>
              <w:spacing w:line="240" w:lineRule="auto"/>
              <w:jc w:val="center"/>
              <w:rPr>
                <w:rFonts w:cs="Times New Roman"/>
                <w:color w:val="auto"/>
                <w:sz w:val="21"/>
                <w:szCs w:val="21"/>
              </w:rPr>
            </w:pPr>
            <w:r>
              <w:rPr>
                <w:rFonts w:cs="Times New Roman"/>
                <w:color w:val="auto"/>
                <w:sz w:val="21"/>
                <w:szCs w:val="21"/>
              </w:rPr>
              <w:t>补充监测</w:t>
            </w:r>
          </w:p>
        </w:tc>
        <w:tc>
          <w:tcPr>
            <w:tcW w:w="2879" w:type="dxa"/>
            <w:gridSpan w:val="4"/>
            <w:vAlign w:val="center"/>
          </w:tcPr>
          <w:p w14:paraId="173D3EFB">
            <w:pPr>
              <w:spacing w:line="240" w:lineRule="auto"/>
              <w:jc w:val="center"/>
              <w:rPr>
                <w:rFonts w:cs="Times New Roman"/>
                <w:color w:val="auto"/>
                <w:sz w:val="21"/>
                <w:szCs w:val="21"/>
              </w:rPr>
            </w:pPr>
            <w:r>
              <w:rPr>
                <w:rFonts w:cs="Times New Roman"/>
                <w:color w:val="auto"/>
                <w:sz w:val="21"/>
                <w:szCs w:val="21"/>
              </w:rPr>
              <w:t>监测时期</w:t>
            </w:r>
          </w:p>
        </w:tc>
        <w:tc>
          <w:tcPr>
            <w:tcW w:w="2839" w:type="dxa"/>
            <w:gridSpan w:val="5"/>
            <w:vAlign w:val="center"/>
          </w:tcPr>
          <w:p w14:paraId="25EF1E78">
            <w:pPr>
              <w:spacing w:line="240" w:lineRule="auto"/>
              <w:jc w:val="center"/>
              <w:rPr>
                <w:rFonts w:cs="Times New Roman"/>
                <w:color w:val="auto"/>
                <w:sz w:val="21"/>
                <w:szCs w:val="21"/>
              </w:rPr>
            </w:pPr>
            <w:r>
              <w:rPr>
                <w:rFonts w:cs="Times New Roman"/>
                <w:color w:val="auto"/>
                <w:sz w:val="21"/>
                <w:szCs w:val="21"/>
              </w:rPr>
              <w:t>监测因子</w:t>
            </w:r>
          </w:p>
        </w:tc>
        <w:tc>
          <w:tcPr>
            <w:tcW w:w="1717" w:type="dxa"/>
            <w:gridSpan w:val="3"/>
            <w:vAlign w:val="center"/>
          </w:tcPr>
          <w:p w14:paraId="776EB989">
            <w:pPr>
              <w:spacing w:line="240" w:lineRule="auto"/>
              <w:jc w:val="center"/>
              <w:rPr>
                <w:rFonts w:cs="Times New Roman"/>
                <w:color w:val="auto"/>
                <w:sz w:val="21"/>
                <w:szCs w:val="21"/>
              </w:rPr>
            </w:pPr>
            <w:r>
              <w:rPr>
                <w:rFonts w:cs="Times New Roman"/>
                <w:color w:val="auto"/>
                <w:sz w:val="21"/>
                <w:szCs w:val="21"/>
              </w:rPr>
              <w:t>监测断面或点位</w:t>
            </w:r>
          </w:p>
        </w:tc>
      </w:tr>
      <w:tr w14:paraId="2B359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4B592B1F">
            <w:pPr>
              <w:spacing w:line="240" w:lineRule="auto"/>
              <w:rPr>
                <w:rFonts w:cs="Times New Roman"/>
                <w:color w:val="auto"/>
                <w:sz w:val="21"/>
                <w:szCs w:val="21"/>
              </w:rPr>
            </w:pPr>
          </w:p>
        </w:tc>
        <w:tc>
          <w:tcPr>
            <w:tcW w:w="1738" w:type="dxa"/>
            <w:vMerge w:val="continue"/>
            <w:vAlign w:val="center"/>
          </w:tcPr>
          <w:p w14:paraId="667358E9">
            <w:pPr>
              <w:spacing w:line="240" w:lineRule="auto"/>
              <w:jc w:val="center"/>
              <w:rPr>
                <w:rFonts w:cs="Times New Roman"/>
                <w:color w:val="auto"/>
                <w:sz w:val="21"/>
                <w:szCs w:val="21"/>
              </w:rPr>
            </w:pPr>
          </w:p>
        </w:tc>
        <w:tc>
          <w:tcPr>
            <w:tcW w:w="2879" w:type="dxa"/>
            <w:gridSpan w:val="4"/>
            <w:vAlign w:val="center"/>
          </w:tcPr>
          <w:p w14:paraId="676F3E64">
            <w:pPr>
              <w:spacing w:line="240" w:lineRule="auto"/>
              <w:rPr>
                <w:rFonts w:cs="Times New Roman"/>
                <w:color w:val="auto"/>
                <w:sz w:val="21"/>
                <w:szCs w:val="21"/>
              </w:rPr>
            </w:pPr>
            <w:r>
              <w:rPr>
                <w:rFonts w:cs="Times New Roman"/>
                <w:color w:val="auto"/>
                <w:sz w:val="21"/>
                <w:szCs w:val="21"/>
              </w:rPr>
              <w:t xml:space="preserve">丰水期 </w:t>
            </w:r>
            <w:r>
              <w:rPr>
                <w:rFonts w:ascii="Segoe UI Symbol" w:hAnsi="Segoe UI Symbol" w:cs="Segoe UI Symbol"/>
                <w:color w:val="auto"/>
                <w:sz w:val="21"/>
                <w:szCs w:val="21"/>
              </w:rPr>
              <w:t>☐</w:t>
            </w:r>
            <w:r>
              <w:rPr>
                <w:rFonts w:cs="Times New Roman"/>
                <w:color w:val="auto"/>
                <w:sz w:val="21"/>
                <w:szCs w:val="21"/>
              </w:rPr>
              <w:t xml:space="preserve">；平水期 </w:t>
            </w:r>
            <w:r>
              <w:rPr>
                <w:rFonts w:ascii="Segoe UI Symbol" w:hAnsi="Segoe UI Symbol" w:cs="Segoe UI Symbol"/>
                <w:color w:val="auto"/>
                <w:sz w:val="21"/>
                <w:szCs w:val="21"/>
              </w:rPr>
              <w:t>☐</w:t>
            </w:r>
            <w:r>
              <w:rPr>
                <w:rFonts w:cs="Times New Roman"/>
                <w:color w:val="auto"/>
                <w:sz w:val="21"/>
                <w:szCs w:val="21"/>
              </w:rPr>
              <w:t>；枯水期</w:t>
            </w:r>
            <w:r>
              <w:rPr>
                <w:rFonts w:ascii="Segoe UI Symbol" w:hAnsi="Segoe UI Symbol" w:cs="Segoe UI Symbol"/>
                <w:color w:val="auto"/>
                <w:sz w:val="21"/>
                <w:szCs w:val="21"/>
              </w:rPr>
              <w:t>☐</w:t>
            </w:r>
            <w:r>
              <w:rPr>
                <w:rFonts w:cs="Times New Roman"/>
                <w:color w:val="auto"/>
                <w:sz w:val="21"/>
                <w:szCs w:val="21"/>
              </w:rPr>
              <w:t xml:space="preserve">；冰封期 </w:t>
            </w:r>
            <w:r>
              <w:rPr>
                <w:rFonts w:ascii="Segoe UI Symbol" w:hAnsi="Segoe UI Symbol" w:cs="Segoe UI Symbol"/>
                <w:color w:val="auto"/>
                <w:sz w:val="21"/>
                <w:szCs w:val="21"/>
              </w:rPr>
              <w:t>☐</w:t>
            </w:r>
            <w:r>
              <w:rPr>
                <w:rFonts w:cs="Times New Roman"/>
                <w:color w:val="auto"/>
                <w:sz w:val="21"/>
                <w:szCs w:val="21"/>
              </w:rPr>
              <w:t>；</w:t>
            </w:r>
          </w:p>
          <w:p w14:paraId="610E7E49">
            <w:pPr>
              <w:spacing w:line="240" w:lineRule="auto"/>
              <w:rPr>
                <w:rFonts w:cs="Times New Roman"/>
                <w:color w:val="auto"/>
                <w:sz w:val="21"/>
                <w:szCs w:val="21"/>
              </w:rPr>
            </w:pPr>
            <w:r>
              <w:rPr>
                <w:rFonts w:cs="Times New Roman"/>
                <w:color w:val="auto"/>
                <w:sz w:val="21"/>
                <w:szCs w:val="21"/>
              </w:rPr>
              <w:t>春季</w:t>
            </w:r>
            <w:r>
              <w:rPr>
                <w:rFonts w:ascii="Segoe UI Symbol" w:hAnsi="Segoe UI Symbol" w:cs="Segoe UI Symbol"/>
                <w:color w:val="auto"/>
                <w:sz w:val="21"/>
                <w:szCs w:val="21"/>
              </w:rPr>
              <w:t>☐</w:t>
            </w:r>
            <w:r>
              <w:rPr>
                <w:rFonts w:cs="Times New Roman"/>
                <w:color w:val="auto"/>
                <w:sz w:val="21"/>
                <w:szCs w:val="21"/>
              </w:rPr>
              <w:t>；夏季</w:t>
            </w:r>
            <w:r>
              <w:rPr>
                <w:rFonts w:ascii="Segoe UI Symbol" w:hAnsi="Segoe UI Symbol" w:cs="Segoe UI Symbol"/>
                <w:color w:val="auto"/>
                <w:sz w:val="21"/>
                <w:szCs w:val="21"/>
              </w:rPr>
              <w:t>☐</w:t>
            </w:r>
            <w:r>
              <w:rPr>
                <w:rFonts w:cs="Times New Roman"/>
                <w:color w:val="auto"/>
                <w:sz w:val="21"/>
                <w:szCs w:val="21"/>
              </w:rPr>
              <w:t>；秋季</w:t>
            </w:r>
            <w:r>
              <w:rPr>
                <w:rFonts w:ascii="Segoe UI Symbol" w:hAnsi="Segoe UI Symbol" w:cs="Segoe UI Symbol"/>
                <w:color w:val="auto"/>
                <w:sz w:val="21"/>
                <w:szCs w:val="21"/>
              </w:rPr>
              <w:t>☐</w:t>
            </w:r>
            <w:r>
              <w:rPr>
                <w:rFonts w:cs="Times New Roman"/>
                <w:color w:val="auto"/>
                <w:sz w:val="21"/>
                <w:szCs w:val="21"/>
              </w:rPr>
              <w:t>；冬季</w:t>
            </w:r>
            <w:r>
              <w:rPr>
                <w:rFonts w:ascii="Segoe UI Symbol" w:hAnsi="Segoe UI Symbol" w:cs="Segoe UI Symbol"/>
                <w:color w:val="auto"/>
                <w:sz w:val="21"/>
                <w:szCs w:val="21"/>
              </w:rPr>
              <w:t>☐</w:t>
            </w:r>
            <w:r>
              <w:rPr>
                <w:rFonts w:cs="Times New Roman"/>
                <w:color w:val="auto"/>
                <w:sz w:val="21"/>
                <w:szCs w:val="21"/>
              </w:rPr>
              <w:t>；</w:t>
            </w:r>
          </w:p>
        </w:tc>
        <w:tc>
          <w:tcPr>
            <w:tcW w:w="2839" w:type="dxa"/>
            <w:gridSpan w:val="5"/>
            <w:vAlign w:val="center"/>
          </w:tcPr>
          <w:p w14:paraId="25833113">
            <w:pPr>
              <w:spacing w:line="240" w:lineRule="auto"/>
              <w:jc w:val="center"/>
              <w:rPr>
                <w:rFonts w:cs="Times New Roman"/>
                <w:color w:val="auto"/>
                <w:sz w:val="21"/>
                <w:szCs w:val="21"/>
              </w:rPr>
            </w:pPr>
            <w:r>
              <w:rPr>
                <w:rFonts w:cs="Times New Roman"/>
                <w:color w:val="auto"/>
                <w:sz w:val="21"/>
                <w:szCs w:val="21"/>
              </w:rPr>
              <w:t>（）</w:t>
            </w:r>
          </w:p>
        </w:tc>
        <w:tc>
          <w:tcPr>
            <w:tcW w:w="1717" w:type="dxa"/>
            <w:gridSpan w:val="3"/>
            <w:vAlign w:val="center"/>
          </w:tcPr>
          <w:p w14:paraId="6FEF040E">
            <w:pPr>
              <w:spacing w:line="240" w:lineRule="auto"/>
              <w:rPr>
                <w:rFonts w:cs="Times New Roman"/>
                <w:color w:val="auto"/>
                <w:sz w:val="21"/>
                <w:szCs w:val="21"/>
              </w:rPr>
            </w:pPr>
            <w:r>
              <w:rPr>
                <w:rFonts w:cs="Times New Roman"/>
                <w:color w:val="auto"/>
                <w:sz w:val="21"/>
                <w:szCs w:val="21"/>
              </w:rPr>
              <w:t>监测断面或点位个数（）</w:t>
            </w:r>
          </w:p>
        </w:tc>
      </w:tr>
      <w:tr w14:paraId="65DB4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05B6832A">
            <w:pPr>
              <w:spacing w:line="240" w:lineRule="auto"/>
              <w:rPr>
                <w:rFonts w:cs="Times New Roman"/>
                <w:color w:val="auto"/>
                <w:sz w:val="21"/>
                <w:szCs w:val="21"/>
              </w:rPr>
            </w:pPr>
            <w:r>
              <w:rPr>
                <w:rFonts w:cs="Times New Roman"/>
                <w:color w:val="auto"/>
                <w:sz w:val="21"/>
                <w:szCs w:val="21"/>
              </w:rPr>
              <w:t>现状评价</w:t>
            </w:r>
          </w:p>
        </w:tc>
        <w:tc>
          <w:tcPr>
            <w:tcW w:w="1738" w:type="dxa"/>
            <w:vAlign w:val="center"/>
          </w:tcPr>
          <w:p w14:paraId="27F65397">
            <w:pPr>
              <w:spacing w:line="240" w:lineRule="auto"/>
              <w:jc w:val="center"/>
              <w:rPr>
                <w:rFonts w:cs="Times New Roman"/>
                <w:color w:val="auto"/>
                <w:sz w:val="21"/>
                <w:szCs w:val="21"/>
              </w:rPr>
            </w:pPr>
            <w:r>
              <w:rPr>
                <w:rFonts w:cs="Times New Roman"/>
                <w:color w:val="auto"/>
                <w:sz w:val="21"/>
                <w:szCs w:val="21"/>
              </w:rPr>
              <w:t>评价范围</w:t>
            </w:r>
          </w:p>
        </w:tc>
        <w:tc>
          <w:tcPr>
            <w:tcW w:w="7435" w:type="dxa"/>
            <w:gridSpan w:val="12"/>
            <w:vAlign w:val="center"/>
          </w:tcPr>
          <w:p w14:paraId="4A27DB41">
            <w:pPr>
              <w:spacing w:line="240" w:lineRule="auto"/>
              <w:rPr>
                <w:rFonts w:cs="Times New Roman"/>
                <w:color w:val="auto"/>
                <w:sz w:val="21"/>
                <w:szCs w:val="21"/>
              </w:rPr>
            </w:pPr>
            <w:r>
              <w:rPr>
                <w:rFonts w:cs="Times New Roman"/>
                <w:color w:val="auto"/>
                <w:sz w:val="21"/>
                <w:szCs w:val="21"/>
              </w:rPr>
              <w:t>河流：长度（）km；湖库、河口及近岸海域：面积（ ）km</w:t>
            </w:r>
            <w:r>
              <w:rPr>
                <w:rFonts w:cs="Times New Roman"/>
                <w:color w:val="auto"/>
                <w:sz w:val="21"/>
                <w:szCs w:val="21"/>
                <w:vertAlign w:val="superscript"/>
              </w:rPr>
              <w:t>2</w:t>
            </w:r>
          </w:p>
        </w:tc>
      </w:tr>
      <w:tr w14:paraId="19EAC2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479C24A5">
            <w:pPr>
              <w:spacing w:line="240" w:lineRule="auto"/>
              <w:rPr>
                <w:rFonts w:cs="Times New Roman"/>
                <w:color w:val="auto"/>
                <w:sz w:val="21"/>
                <w:szCs w:val="21"/>
              </w:rPr>
            </w:pPr>
          </w:p>
        </w:tc>
        <w:tc>
          <w:tcPr>
            <w:tcW w:w="1738" w:type="dxa"/>
            <w:vAlign w:val="center"/>
          </w:tcPr>
          <w:p w14:paraId="510DDD9B">
            <w:pPr>
              <w:spacing w:line="240" w:lineRule="auto"/>
              <w:jc w:val="center"/>
              <w:rPr>
                <w:rFonts w:cs="Times New Roman"/>
                <w:color w:val="auto"/>
                <w:sz w:val="21"/>
                <w:szCs w:val="21"/>
              </w:rPr>
            </w:pPr>
            <w:r>
              <w:rPr>
                <w:rFonts w:cs="Times New Roman"/>
                <w:color w:val="auto"/>
                <w:sz w:val="21"/>
                <w:szCs w:val="21"/>
              </w:rPr>
              <w:t>评价因子</w:t>
            </w:r>
          </w:p>
        </w:tc>
        <w:tc>
          <w:tcPr>
            <w:tcW w:w="7435" w:type="dxa"/>
            <w:gridSpan w:val="12"/>
            <w:vAlign w:val="center"/>
          </w:tcPr>
          <w:p w14:paraId="4D9DCA11">
            <w:pPr>
              <w:spacing w:line="240" w:lineRule="auto"/>
              <w:rPr>
                <w:rFonts w:cs="Times New Roman"/>
                <w:color w:val="auto"/>
                <w:sz w:val="21"/>
                <w:szCs w:val="21"/>
              </w:rPr>
            </w:pPr>
            <w:r>
              <w:rPr>
                <w:rFonts w:cs="Times New Roman"/>
                <w:color w:val="auto"/>
                <w:sz w:val="21"/>
                <w:szCs w:val="21"/>
              </w:rPr>
              <w:t>（pH、COD、BOD</w:t>
            </w:r>
            <w:r>
              <w:rPr>
                <w:rFonts w:cs="Times New Roman"/>
                <w:color w:val="auto"/>
                <w:sz w:val="21"/>
                <w:szCs w:val="21"/>
                <w:vertAlign w:val="subscript"/>
              </w:rPr>
              <w:t>5</w:t>
            </w:r>
            <w:r>
              <w:rPr>
                <w:rFonts w:cs="Times New Roman"/>
                <w:color w:val="auto"/>
                <w:sz w:val="21"/>
                <w:szCs w:val="21"/>
              </w:rPr>
              <w:t>、NH</w:t>
            </w:r>
            <w:r>
              <w:rPr>
                <w:rFonts w:cs="Times New Roman"/>
                <w:color w:val="auto"/>
                <w:sz w:val="21"/>
                <w:szCs w:val="21"/>
                <w:vertAlign w:val="subscript"/>
              </w:rPr>
              <w:t>3</w:t>
            </w:r>
            <w:r>
              <w:rPr>
                <w:rFonts w:cs="Times New Roman"/>
                <w:color w:val="auto"/>
                <w:sz w:val="21"/>
                <w:szCs w:val="21"/>
              </w:rPr>
              <w:t>-N、氨氮、总磷、悬浮物</w:t>
            </w:r>
            <w:r>
              <w:rPr>
                <w:rFonts w:hint="eastAsia" w:cs="Times New Roman"/>
                <w:color w:val="auto"/>
                <w:sz w:val="21"/>
                <w:szCs w:val="21"/>
                <w:lang w:eastAsia="zh-CN"/>
              </w:rPr>
              <w:t>、</w:t>
            </w:r>
            <w:r>
              <w:rPr>
                <w:rFonts w:hint="eastAsia" w:cs="Times New Roman"/>
                <w:color w:val="auto"/>
                <w:sz w:val="21"/>
                <w:szCs w:val="21"/>
                <w:lang w:val="en-US" w:eastAsia="zh-CN"/>
              </w:rPr>
              <w:t>氟化物</w:t>
            </w:r>
            <w:r>
              <w:rPr>
                <w:rFonts w:cs="Times New Roman"/>
                <w:color w:val="auto"/>
                <w:sz w:val="21"/>
                <w:szCs w:val="21"/>
              </w:rPr>
              <w:t>）</w:t>
            </w:r>
          </w:p>
        </w:tc>
      </w:tr>
      <w:tr w14:paraId="4EAE4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0EA74991">
            <w:pPr>
              <w:spacing w:line="240" w:lineRule="auto"/>
              <w:rPr>
                <w:rFonts w:cs="Times New Roman"/>
                <w:color w:val="auto"/>
                <w:sz w:val="21"/>
                <w:szCs w:val="21"/>
              </w:rPr>
            </w:pPr>
          </w:p>
        </w:tc>
        <w:tc>
          <w:tcPr>
            <w:tcW w:w="1738" w:type="dxa"/>
            <w:vAlign w:val="center"/>
          </w:tcPr>
          <w:p w14:paraId="438CB912">
            <w:pPr>
              <w:spacing w:line="240" w:lineRule="auto"/>
              <w:jc w:val="center"/>
              <w:rPr>
                <w:rFonts w:cs="Times New Roman"/>
                <w:color w:val="auto"/>
                <w:sz w:val="21"/>
                <w:szCs w:val="21"/>
              </w:rPr>
            </w:pPr>
            <w:r>
              <w:rPr>
                <w:rFonts w:cs="Times New Roman"/>
                <w:color w:val="auto"/>
                <w:sz w:val="21"/>
                <w:szCs w:val="21"/>
              </w:rPr>
              <w:t>评价标准</w:t>
            </w:r>
          </w:p>
        </w:tc>
        <w:tc>
          <w:tcPr>
            <w:tcW w:w="7435" w:type="dxa"/>
            <w:gridSpan w:val="12"/>
            <w:vAlign w:val="center"/>
          </w:tcPr>
          <w:p w14:paraId="50843161">
            <w:pPr>
              <w:spacing w:line="240" w:lineRule="auto"/>
              <w:rPr>
                <w:rFonts w:cs="Times New Roman"/>
                <w:color w:val="auto"/>
                <w:sz w:val="21"/>
                <w:szCs w:val="21"/>
              </w:rPr>
            </w:pPr>
            <w:r>
              <w:rPr>
                <w:rFonts w:cs="Times New Roman"/>
                <w:color w:val="auto"/>
                <w:sz w:val="21"/>
                <w:szCs w:val="21"/>
              </w:rPr>
              <w:t>河流、湖库、河口：I类</w:t>
            </w:r>
            <w:r>
              <w:rPr>
                <w:rFonts w:ascii="Segoe UI Symbol" w:hAnsi="Segoe UI Symbol" w:cs="Segoe UI Symbol"/>
                <w:color w:val="auto"/>
                <w:sz w:val="21"/>
                <w:szCs w:val="21"/>
              </w:rPr>
              <w:t>☐</w:t>
            </w:r>
            <w:r>
              <w:rPr>
                <w:rFonts w:cs="Times New Roman"/>
                <w:color w:val="auto"/>
                <w:sz w:val="21"/>
                <w:szCs w:val="21"/>
              </w:rPr>
              <w:t>； II类</w:t>
            </w:r>
            <w:r>
              <w:rPr>
                <w:rFonts w:ascii="Segoe UI Symbol" w:hAnsi="Segoe UI Symbol" w:cs="Segoe UI Symbol"/>
                <w:color w:val="auto"/>
                <w:sz w:val="21"/>
                <w:szCs w:val="21"/>
              </w:rPr>
              <w:t>☐</w:t>
            </w:r>
            <w:r>
              <w:rPr>
                <w:rFonts w:cs="Times New Roman"/>
                <w:color w:val="auto"/>
                <w:sz w:val="21"/>
                <w:szCs w:val="21"/>
              </w:rPr>
              <w:t>；</w:t>
            </w:r>
            <w:r>
              <w:rPr>
                <w:rFonts w:hint="eastAsia"/>
                <w:color w:val="auto"/>
                <w:sz w:val="21"/>
                <w:szCs w:val="21"/>
              </w:rPr>
              <w:t>Ⅲ</w:t>
            </w:r>
            <w:r>
              <w:rPr>
                <w:rFonts w:cs="Times New Roman"/>
                <w:color w:val="auto"/>
                <w:sz w:val="21"/>
                <w:szCs w:val="21"/>
              </w:rPr>
              <w:t>类</w:t>
            </w:r>
            <w:r>
              <w:rPr>
                <w:rFonts w:ascii="Segoe UI Symbol" w:hAnsi="Segoe UI Symbol" w:cs="Segoe UI Symbol"/>
                <w:color w:val="auto"/>
                <w:sz w:val="21"/>
                <w:szCs w:val="21"/>
              </w:rPr>
              <w:t>☐</w:t>
            </w:r>
            <w:r>
              <w:rPr>
                <w:rFonts w:cs="Times New Roman"/>
                <w:color w:val="auto"/>
                <w:sz w:val="21"/>
                <w:szCs w:val="21"/>
              </w:rPr>
              <w:t>；</w:t>
            </w:r>
            <w:r>
              <w:rPr>
                <w:rFonts w:hint="eastAsia"/>
                <w:color w:val="auto"/>
                <w:sz w:val="21"/>
                <w:szCs w:val="21"/>
              </w:rPr>
              <w:t>Ⅳ</w:t>
            </w:r>
            <w:r>
              <w:rPr>
                <w:rFonts w:cs="Times New Roman"/>
                <w:color w:val="auto"/>
                <w:sz w:val="21"/>
                <w:szCs w:val="21"/>
              </w:rPr>
              <w:t>类√；</w:t>
            </w:r>
            <w:r>
              <w:rPr>
                <w:rFonts w:hint="eastAsia"/>
                <w:color w:val="auto"/>
                <w:sz w:val="21"/>
                <w:szCs w:val="21"/>
              </w:rPr>
              <w:t>Ⅴ</w:t>
            </w:r>
            <w:r>
              <w:rPr>
                <w:rFonts w:cs="Times New Roman"/>
                <w:color w:val="auto"/>
                <w:sz w:val="21"/>
                <w:szCs w:val="21"/>
              </w:rPr>
              <w:t xml:space="preserve">类 </w:t>
            </w:r>
            <w:r>
              <w:rPr>
                <w:rFonts w:ascii="Segoe UI Symbol" w:hAnsi="Segoe UI Symbol" w:cs="Segoe UI Symbol"/>
                <w:color w:val="auto"/>
                <w:sz w:val="21"/>
                <w:szCs w:val="21"/>
              </w:rPr>
              <w:t>☐</w:t>
            </w:r>
            <w:r>
              <w:rPr>
                <w:rFonts w:cs="Times New Roman"/>
                <w:color w:val="auto"/>
                <w:sz w:val="21"/>
                <w:szCs w:val="21"/>
              </w:rPr>
              <w:t>；</w:t>
            </w:r>
          </w:p>
          <w:p w14:paraId="104AD3DC">
            <w:pPr>
              <w:spacing w:line="240" w:lineRule="auto"/>
              <w:rPr>
                <w:rFonts w:cs="Times New Roman"/>
                <w:color w:val="auto"/>
                <w:sz w:val="21"/>
                <w:szCs w:val="21"/>
              </w:rPr>
            </w:pPr>
            <w:r>
              <w:rPr>
                <w:rFonts w:cs="Times New Roman"/>
                <w:color w:val="auto"/>
                <w:sz w:val="21"/>
                <w:szCs w:val="21"/>
              </w:rPr>
              <w:t xml:space="preserve">近岸海域：第一类 </w:t>
            </w:r>
            <w:r>
              <w:rPr>
                <w:rFonts w:ascii="Segoe UI Symbol" w:hAnsi="Segoe UI Symbol" w:cs="Segoe UI Symbol"/>
                <w:color w:val="auto"/>
                <w:sz w:val="21"/>
                <w:szCs w:val="21"/>
              </w:rPr>
              <w:t>☐</w:t>
            </w:r>
            <w:r>
              <w:rPr>
                <w:rFonts w:cs="Times New Roman"/>
                <w:color w:val="auto"/>
                <w:sz w:val="21"/>
                <w:szCs w:val="21"/>
              </w:rPr>
              <w:t xml:space="preserve">；第二类 </w:t>
            </w:r>
            <w:r>
              <w:rPr>
                <w:rFonts w:ascii="Segoe UI Symbol" w:hAnsi="Segoe UI Symbol" w:cs="Segoe UI Symbol"/>
                <w:color w:val="auto"/>
                <w:sz w:val="21"/>
                <w:szCs w:val="21"/>
              </w:rPr>
              <w:t>☐</w:t>
            </w:r>
            <w:r>
              <w:rPr>
                <w:rFonts w:cs="Times New Roman"/>
                <w:color w:val="auto"/>
                <w:sz w:val="21"/>
                <w:szCs w:val="21"/>
              </w:rPr>
              <w:t xml:space="preserve">； 第三类 </w:t>
            </w:r>
            <w:r>
              <w:rPr>
                <w:rFonts w:ascii="Segoe UI Symbol" w:hAnsi="Segoe UI Symbol" w:cs="Segoe UI Symbol"/>
                <w:color w:val="auto"/>
                <w:sz w:val="21"/>
                <w:szCs w:val="21"/>
              </w:rPr>
              <w:t>☐</w:t>
            </w:r>
            <w:r>
              <w:rPr>
                <w:rFonts w:cs="Times New Roman"/>
                <w:color w:val="auto"/>
                <w:sz w:val="21"/>
                <w:szCs w:val="21"/>
              </w:rPr>
              <w:t xml:space="preserve">； 第四类 </w:t>
            </w:r>
            <w:r>
              <w:rPr>
                <w:rFonts w:ascii="Segoe UI Symbol" w:hAnsi="Segoe UI Symbol" w:cs="Segoe UI Symbol"/>
                <w:color w:val="auto"/>
                <w:sz w:val="21"/>
                <w:szCs w:val="21"/>
              </w:rPr>
              <w:t>☐</w:t>
            </w:r>
            <w:r>
              <w:rPr>
                <w:rFonts w:cs="Times New Roman"/>
                <w:color w:val="auto"/>
                <w:sz w:val="21"/>
                <w:szCs w:val="21"/>
              </w:rPr>
              <w:t>；</w:t>
            </w:r>
          </w:p>
          <w:p w14:paraId="5F59C64E">
            <w:pPr>
              <w:spacing w:line="240" w:lineRule="auto"/>
              <w:rPr>
                <w:rFonts w:cs="Times New Roman"/>
                <w:color w:val="auto"/>
                <w:sz w:val="21"/>
                <w:szCs w:val="21"/>
              </w:rPr>
            </w:pPr>
            <w:r>
              <w:rPr>
                <w:rFonts w:cs="Times New Roman"/>
                <w:color w:val="auto"/>
                <w:sz w:val="21"/>
                <w:szCs w:val="21"/>
              </w:rPr>
              <w:t>规划年评价标准（   ）</w:t>
            </w:r>
          </w:p>
        </w:tc>
      </w:tr>
      <w:tr w14:paraId="3FEA7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26D05EA9">
            <w:pPr>
              <w:spacing w:line="240" w:lineRule="auto"/>
              <w:rPr>
                <w:rFonts w:cs="Times New Roman"/>
                <w:color w:val="auto"/>
                <w:sz w:val="21"/>
                <w:szCs w:val="21"/>
              </w:rPr>
            </w:pPr>
          </w:p>
        </w:tc>
        <w:tc>
          <w:tcPr>
            <w:tcW w:w="1738" w:type="dxa"/>
            <w:vAlign w:val="center"/>
          </w:tcPr>
          <w:p w14:paraId="092300AE">
            <w:pPr>
              <w:spacing w:line="240" w:lineRule="auto"/>
              <w:jc w:val="center"/>
              <w:rPr>
                <w:rFonts w:cs="Times New Roman"/>
                <w:color w:val="auto"/>
                <w:sz w:val="21"/>
                <w:szCs w:val="21"/>
              </w:rPr>
            </w:pPr>
            <w:r>
              <w:rPr>
                <w:rFonts w:cs="Times New Roman"/>
                <w:color w:val="auto"/>
                <w:sz w:val="21"/>
                <w:szCs w:val="21"/>
              </w:rPr>
              <w:t>评价时期</w:t>
            </w:r>
          </w:p>
        </w:tc>
        <w:tc>
          <w:tcPr>
            <w:tcW w:w="7435" w:type="dxa"/>
            <w:gridSpan w:val="12"/>
            <w:vAlign w:val="center"/>
          </w:tcPr>
          <w:p w14:paraId="50F7D525">
            <w:pPr>
              <w:spacing w:line="240" w:lineRule="auto"/>
              <w:rPr>
                <w:rFonts w:cs="Times New Roman"/>
                <w:color w:val="auto"/>
                <w:sz w:val="21"/>
                <w:szCs w:val="21"/>
              </w:rPr>
            </w:pPr>
            <w:r>
              <w:rPr>
                <w:rFonts w:cs="Times New Roman"/>
                <w:color w:val="auto"/>
                <w:sz w:val="21"/>
                <w:szCs w:val="21"/>
              </w:rPr>
              <w:t xml:space="preserve">丰水期 </w:t>
            </w:r>
            <w:r>
              <w:rPr>
                <w:rFonts w:ascii="Segoe UI Symbol" w:hAnsi="Segoe UI Symbol" w:cs="Segoe UI Symbol"/>
                <w:color w:val="auto"/>
                <w:sz w:val="21"/>
                <w:szCs w:val="21"/>
              </w:rPr>
              <w:t>☐</w:t>
            </w:r>
            <w:r>
              <w:rPr>
                <w:rFonts w:cs="Times New Roman"/>
                <w:color w:val="auto"/>
                <w:sz w:val="21"/>
                <w:szCs w:val="21"/>
              </w:rPr>
              <w:t xml:space="preserve">；平水期 </w:t>
            </w:r>
            <w:r>
              <w:rPr>
                <w:rFonts w:ascii="Segoe UI Symbol" w:hAnsi="Segoe UI Symbol" w:cs="Segoe UI Symbol"/>
                <w:color w:val="auto"/>
                <w:sz w:val="21"/>
                <w:szCs w:val="21"/>
              </w:rPr>
              <w:t>☐</w:t>
            </w:r>
            <w:r>
              <w:rPr>
                <w:rFonts w:cs="Times New Roman"/>
                <w:color w:val="auto"/>
                <w:sz w:val="21"/>
                <w:szCs w:val="21"/>
              </w:rPr>
              <w:t xml:space="preserve">；枯水期√；冰封期 </w:t>
            </w:r>
            <w:r>
              <w:rPr>
                <w:rFonts w:ascii="Segoe UI Symbol" w:hAnsi="Segoe UI Symbol" w:cs="Segoe UI Symbol"/>
                <w:color w:val="auto"/>
                <w:sz w:val="21"/>
                <w:szCs w:val="21"/>
              </w:rPr>
              <w:t>☐</w:t>
            </w:r>
            <w:r>
              <w:rPr>
                <w:rFonts w:cs="Times New Roman"/>
                <w:color w:val="auto"/>
                <w:sz w:val="21"/>
                <w:szCs w:val="21"/>
              </w:rPr>
              <w:t>；</w:t>
            </w:r>
          </w:p>
          <w:p w14:paraId="3EDD566C">
            <w:pPr>
              <w:spacing w:line="240" w:lineRule="auto"/>
              <w:rPr>
                <w:rFonts w:cs="Times New Roman"/>
                <w:color w:val="auto"/>
                <w:sz w:val="21"/>
                <w:szCs w:val="21"/>
              </w:rPr>
            </w:pPr>
            <w:r>
              <w:rPr>
                <w:rFonts w:cs="Times New Roman"/>
                <w:color w:val="auto"/>
                <w:sz w:val="21"/>
                <w:szCs w:val="21"/>
              </w:rPr>
              <w:t xml:space="preserve">春季 </w:t>
            </w:r>
            <w:r>
              <w:rPr>
                <w:rFonts w:ascii="Segoe UI Symbol" w:hAnsi="Segoe UI Symbol" w:cs="Segoe UI Symbol"/>
                <w:color w:val="auto"/>
                <w:sz w:val="21"/>
                <w:szCs w:val="21"/>
              </w:rPr>
              <w:t>☐</w:t>
            </w:r>
            <w:r>
              <w:rPr>
                <w:rFonts w:cs="Times New Roman"/>
                <w:color w:val="auto"/>
                <w:sz w:val="21"/>
                <w:szCs w:val="21"/>
              </w:rPr>
              <w:t xml:space="preserve">；夏季 </w:t>
            </w:r>
            <w:r>
              <w:rPr>
                <w:rFonts w:ascii="Segoe UI Symbol" w:hAnsi="Segoe UI Symbol" w:cs="Segoe UI Symbol"/>
                <w:color w:val="auto"/>
                <w:sz w:val="21"/>
                <w:szCs w:val="21"/>
              </w:rPr>
              <w:t>☐</w:t>
            </w:r>
            <w:r>
              <w:rPr>
                <w:rFonts w:cs="Times New Roman"/>
                <w:color w:val="auto"/>
                <w:sz w:val="21"/>
                <w:szCs w:val="21"/>
              </w:rPr>
              <w:t xml:space="preserve">；秋季 </w:t>
            </w:r>
            <w:r>
              <w:rPr>
                <w:rFonts w:ascii="Segoe UI Symbol" w:hAnsi="Segoe UI Symbol" w:cs="Segoe UI Symbol"/>
                <w:color w:val="auto"/>
                <w:sz w:val="21"/>
                <w:szCs w:val="21"/>
              </w:rPr>
              <w:t>☐</w:t>
            </w:r>
            <w:r>
              <w:rPr>
                <w:rFonts w:cs="Times New Roman"/>
                <w:color w:val="auto"/>
                <w:sz w:val="21"/>
                <w:szCs w:val="21"/>
              </w:rPr>
              <w:t>； 冬季√；</w:t>
            </w:r>
          </w:p>
        </w:tc>
      </w:tr>
      <w:tr w14:paraId="5BF3A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09353CF6">
            <w:pPr>
              <w:spacing w:line="240" w:lineRule="auto"/>
              <w:rPr>
                <w:rFonts w:cs="Times New Roman"/>
                <w:color w:val="auto"/>
                <w:sz w:val="21"/>
                <w:szCs w:val="21"/>
              </w:rPr>
            </w:pPr>
          </w:p>
        </w:tc>
        <w:tc>
          <w:tcPr>
            <w:tcW w:w="1738" w:type="dxa"/>
            <w:vAlign w:val="center"/>
          </w:tcPr>
          <w:p w14:paraId="581E0618">
            <w:pPr>
              <w:spacing w:line="240" w:lineRule="auto"/>
              <w:jc w:val="center"/>
              <w:rPr>
                <w:rFonts w:cs="Times New Roman"/>
                <w:color w:val="auto"/>
                <w:sz w:val="21"/>
                <w:szCs w:val="21"/>
              </w:rPr>
            </w:pPr>
            <w:r>
              <w:rPr>
                <w:rFonts w:cs="Times New Roman"/>
                <w:color w:val="auto"/>
                <w:sz w:val="21"/>
                <w:szCs w:val="21"/>
              </w:rPr>
              <w:t>评价结论</w:t>
            </w:r>
          </w:p>
        </w:tc>
        <w:tc>
          <w:tcPr>
            <w:tcW w:w="5816" w:type="dxa"/>
            <w:gridSpan w:val="10"/>
            <w:vAlign w:val="center"/>
          </w:tcPr>
          <w:p w14:paraId="46360215">
            <w:pPr>
              <w:spacing w:line="240" w:lineRule="auto"/>
              <w:rPr>
                <w:rFonts w:cs="Times New Roman"/>
                <w:color w:val="auto"/>
                <w:sz w:val="21"/>
                <w:szCs w:val="21"/>
              </w:rPr>
            </w:pPr>
            <w:r>
              <w:rPr>
                <w:rFonts w:cs="Times New Roman"/>
                <w:color w:val="auto"/>
                <w:sz w:val="21"/>
                <w:szCs w:val="21"/>
              </w:rPr>
              <w:t xml:space="preserve">水环境功能区或水功能区、近岸海域环境功能区水质达标状况 ；达标 </w:t>
            </w:r>
            <w:r>
              <w:rPr>
                <w:rFonts w:ascii="Segoe UI Symbol" w:hAnsi="Segoe UI Symbol" w:cs="Segoe UI Symbol"/>
                <w:color w:val="auto"/>
                <w:sz w:val="21"/>
                <w:szCs w:val="21"/>
              </w:rPr>
              <w:t>☐</w:t>
            </w:r>
            <w:r>
              <w:rPr>
                <w:rFonts w:cs="Times New Roman"/>
                <w:color w:val="auto"/>
                <w:sz w:val="21"/>
                <w:szCs w:val="21"/>
              </w:rPr>
              <w:t>；不达标√；</w:t>
            </w:r>
          </w:p>
          <w:p w14:paraId="1DF4B997">
            <w:pPr>
              <w:spacing w:line="240" w:lineRule="auto"/>
              <w:rPr>
                <w:rFonts w:cs="Times New Roman"/>
                <w:color w:val="auto"/>
                <w:sz w:val="21"/>
                <w:szCs w:val="21"/>
              </w:rPr>
            </w:pPr>
            <w:r>
              <w:rPr>
                <w:rFonts w:cs="Times New Roman"/>
                <w:color w:val="auto"/>
                <w:sz w:val="21"/>
                <w:szCs w:val="21"/>
              </w:rPr>
              <w:t xml:space="preserve">水环境控制单元或断面水质达标状况 </w:t>
            </w:r>
            <w:r>
              <w:rPr>
                <w:rFonts w:ascii="Segoe UI Symbol" w:hAnsi="Segoe UI Symbol" w:cs="Segoe UI Symbol"/>
                <w:color w:val="auto"/>
                <w:sz w:val="21"/>
                <w:szCs w:val="21"/>
              </w:rPr>
              <w:t>☐</w:t>
            </w:r>
            <w:r>
              <w:rPr>
                <w:rFonts w:cs="Times New Roman"/>
                <w:color w:val="auto"/>
                <w:sz w:val="21"/>
                <w:szCs w:val="21"/>
              </w:rPr>
              <w:t xml:space="preserve">；达标 </w:t>
            </w:r>
            <w:r>
              <w:rPr>
                <w:rFonts w:ascii="Segoe UI Symbol" w:hAnsi="Segoe UI Symbol" w:cs="Segoe UI Symbol"/>
                <w:color w:val="auto"/>
                <w:sz w:val="21"/>
                <w:szCs w:val="21"/>
              </w:rPr>
              <w:t>☐</w:t>
            </w:r>
            <w:r>
              <w:rPr>
                <w:rFonts w:cs="Times New Roman"/>
                <w:color w:val="auto"/>
                <w:sz w:val="21"/>
                <w:szCs w:val="21"/>
              </w:rPr>
              <w:t xml:space="preserve">；不达标 </w:t>
            </w:r>
            <w:r>
              <w:rPr>
                <w:rFonts w:ascii="Segoe UI Symbol" w:hAnsi="Segoe UI Symbol" w:cs="Segoe UI Symbol"/>
                <w:color w:val="auto"/>
                <w:sz w:val="21"/>
                <w:szCs w:val="21"/>
              </w:rPr>
              <w:t>☐</w:t>
            </w:r>
            <w:r>
              <w:rPr>
                <w:rFonts w:cs="Times New Roman"/>
                <w:color w:val="auto"/>
                <w:sz w:val="21"/>
                <w:szCs w:val="21"/>
              </w:rPr>
              <w:t>；</w:t>
            </w:r>
          </w:p>
          <w:p w14:paraId="19254D04">
            <w:pPr>
              <w:spacing w:line="240" w:lineRule="auto"/>
              <w:rPr>
                <w:rFonts w:cs="Times New Roman"/>
                <w:color w:val="auto"/>
                <w:sz w:val="21"/>
                <w:szCs w:val="21"/>
              </w:rPr>
            </w:pPr>
            <w:r>
              <w:rPr>
                <w:rFonts w:cs="Times New Roman"/>
                <w:color w:val="auto"/>
                <w:sz w:val="21"/>
                <w:szCs w:val="21"/>
              </w:rPr>
              <w:t xml:space="preserve">水环境保护目标质量状况 </w:t>
            </w:r>
            <w:r>
              <w:rPr>
                <w:rFonts w:ascii="Segoe UI Symbol" w:hAnsi="Segoe UI Symbol" w:cs="Segoe UI Symbol"/>
                <w:color w:val="auto"/>
                <w:sz w:val="21"/>
                <w:szCs w:val="21"/>
              </w:rPr>
              <w:t>☐</w:t>
            </w:r>
            <w:r>
              <w:rPr>
                <w:rFonts w:cs="Times New Roman"/>
                <w:color w:val="auto"/>
                <w:sz w:val="21"/>
                <w:szCs w:val="21"/>
              </w:rPr>
              <w:t xml:space="preserve">；达标 </w:t>
            </w:r>
            <w:r>
              <w:rPr>
                <w:rFonts w:ascii="Segoe UI Symbol" w:hAnsi="Segoe UI Symbol" w:cs="Segoe UI Symbol"/>
                <w:color w:val="auto"/>
                <w:sz w:val="21"/>
                <w:szCs w:val="21"/>
              </w:rPr>
              <w:t>☐</w:t>
            </w:r>
            <w:r>
              <w:rPr>
                <w:rFonts w:cs="Times New Roman"/>
                <w:color w:val="auto"/>
                <w:sz w:val="21"/>
                <w:szCs w:val="21"/>
              </w:rPr>
              <w:t xml:space="preserve">；不达标 </w:t>
            </w:r>
            <w:r>
              <w:rPr>
                <w:rFonts w:ascii="Segoe UI Symbol" w:hAnsi="Segoe UI Symbol" w:cs="Segoe UI Symbol"/>
                <w:color w:val="auto"/>
                <w:sz w:val="21"/>
                <w:szCs w:val="21"/>
              </w:rPr>
              <w:t>☐</w:t>
            </w:r>
            <w:r>
              <w:rPr>
                <w:rFonts w:cs="Times New Roman"/>
                <w:color w:val="auto"/>
                <w:sz w:val="21"/>
                <w:szCs w:val="21"/>
              </w:rPr>
              <w:t>；</w:t>
            </w:r>
          </w:p>
          <w:p w14:paraId="37C2E17C">
            <w:pPr>
              <w:spacing w:line="240" w:lineRule="auto"/>
              <w:rPr>
                <w:rFonts w:cs="Times New Roman"/>
                <w:color w:val="auto"/>
                <w:sz w:val="21"/>
                <w:szCs w:val="21"/>
              </w:rPr>
            </w:pPr>
            <w:r>
              <w:rPr>
                <w:rFonts w:cs="Times New Roman"/>
                <w:color w:val="auto"/>
                <w:sz w:val="21"/>
                <w:szCs w:val="21"/>
              </w:rPr>
              <w:t xml:space="preserve">对照断面、控制断面等代表性断面的水质状况 </w:t>
            </w:r>
            <w:r>
              <w:rPr>
                <w:rFonts w:ascii="Segoe UI Symbol" w:hAnsi="Segoe UI Symbol" w:cs="Segoe UI Symbol"/>
                <w:color w:val="auto"/>
                <w:sz w:val="21"/>
                <w:szCs w:val="21"/>
              </w:rPr>
              <w:t>☐</w:t>
            </w:r>
            <w:r>
              <w:rPr>
                <w:rFonts w:cs="Times New Roman"/>
                <w:color w:val="auto"/>
                <w:sz w:val="21"/>
                <w:szCs w:val="21"/>
              </w:rPr>
              <w:t xml:space="preserve">；达标 </w:t>
            </w:r>
            <w:r>
              <w:rPr>
                <w:rFonts w:ascii="Segoe UI Symbol" w:hAnsi="Segoe UI Symbol" w:cs="Segoe UI Symbol"/>
                <w:color w:val="auto"/>
                <w:sz w:val="21"/>
                <w:szCs w:val="21"/>
              </w:rPr>
              <w:t>☐</w:t>
            </w:r>
            <w:r>
              <w:rPr>
                <w:rFonts w:cs="Times New Roman"/>
                <w:color w:val="auto"/>
                <w:sz w:val="21"/>
                <w:szCs w:val="21"/>
              </w:rPr>
              <w:t xml:space="preserve">；不达标 </w:t>
            </w:r>
            <w:r>
              <w:rPr>
                <w:rFonts w:ascii="Segoe UI Symbol" w:hAnsi="Segoe UI Symbol" w:cs="Segoe UI Symbol"/>
                <w:color w:val="auto"/>
                <w:sz w:val="21"/>
                <w:szCs w:val="21"/>
              </w:rPr>
              <w:t>☐</w:t>
            </w:r>
            <w:r>
              <w:rPr>
                <w:rFonts w:cs="Times New Roman"/>
                <w:color w:val="auto"/>
                <w:sz w:val="21"/>
                <w:szCs w:val="21"/>
              </w:rPr>
              <w:t>；</w:t>
            </w:r>
          </w:p>
          <w:p w14:paraId="75342CF5">
            <w:pPr>
              <w:spacing w:line="240" w:lineRule="auto"/>
              <w:rPr>
                <w:rFonts w:cs="Times New Roman"/>
                <w:color w:val="auto"/>
                <w:sz w:val="21"/>
                <w:szCs w:val="21"/>
              </w:rPr>
            </w:pPr>
            <w:r>
              <w:rPr>
                <w:rFonts w:cs="Times New Roman"/>
                <w:color w:val="auto"/>
                <w:sz w:val="21"/>
                <w:szCs w:val="21"/>
              </w:rPr>
              <w:t xml:space="preserve">底泥污染评价 </w:t>
            </w:r>
            <w:r>
              <w:rPr>
                <w:rFonts w:ascii="Segoe UI Symbol" w:hAnsi="Segoe UI Symbol" w:cs="Segoe UI Symbol"/>
                <w:color w:val="auto"/>
                <w:sz w:val="21"/>
                <w:szCs w:val="21"/>
              </w:rPr>
              <w:t>☐</w:t>
            </w:r>
            <w:r>
              <w:rPr>
                <w:rFonts w:cs="Times New Roman"/>
                <w:color w:val="auto"/>
                <w:sz w:val="21"/>
                <w:szCs w:val="21"/>
              </w:rPr>
              <w:t>；</w:t>
            </w:r>
          </w:p>
          <w:p w14:paraId="2B1B42E0">
            <w:pPr>
              <w:spacing w:line="240" w:lineRule="auto"/>
              <w:rPr>
                <w:rFonts w:cs="Times New Roman"/>
                <w:color w:val="auto"/>
                <w:sz w:val="21"/>
                <w:szCs w:val="21"/>
              </w:rPr>
            </w:pPr>
            <w:r>
              <w:rPr>
                <w:rFonts w:cs="Times New Roman"/>
                <w:color w:val="auto"/>
                <w:sz w:val="21"/>
                <w:szCs w:val="21"/>
              </w:rPr>
              <w:t xml:space="preserve">水资源与开发利用程度及其水文情势评价 </w:t>
            </w:r>
            <w:r>
              <w:rPr>
                <w:rFonts w:ascii="Segoe UI Symbol" w:hAnsi="Segoe UI Symbol" w:cs="Segoe UI Symbol"/>
                <w:color w:val="auto"/>
                <w:sz w:val="21"/>
                <w:szCs w:val="21"/>
              </w:rPr>
              <w:t>☐</w:t>
            </w:r>
            <w:r>
              <w:rPr>
                <w:rFonts w:cs="Times New Roman"/>
                <w:color w:val="auto"/>
                <w:sz w:val="21"/>
                <w:szCs w:val="21"/>
              </w:rPr>
              <w:t>；</w:t>
            </w:r>
          </w:p>
          <w:p w14:paraId="198C99BF">
            <w:pPr>
              <w:spacing w:line="240" w:lineRule="auto"/>
              <w:rPr>
                <w:rFonts w:cs="Times New Roman"/>
                <w:color w:val="auto"/>
                <w:sz w:val="21"/>
                <w:szCs w:val="21"/>
              </w:rPr>
            </w:pPr>
            <w:r>
              <w:rPr>
                <w:rFonts w:cs="Times New Roman"/>
                <w:color w:val="auto"/>
                <w:sz w:val="21"/>
                <w:szCs w:val="21"/>
              </w:rPr>
              <w:t xml:space="preserve">水环境质量回顾评价 </w:t>
            </w:r>
            <w:r>
              <w:rPr>
                <w:rFonts w:ascii="Segoe UI Symbol" w:hAnsi="Segoe UI Symbol" w:cs="Segoe UI Symbol"/>
                <w:color w:val="auto"/>
                <w:sz w:val="21"/>
                <w:szCs w:val="21"/>
              </w:rPr>
              <w:t>☐</w:t>
            </w:r>
            <w:r>
              <w:rPr>
                <w:rFonts w:cs="Times New Roman"/>
                <w:color w:val="auto"/>
                <w:sz w:val="21"/>
                <w:szCs w:val="21"/>
              </w:rPr>
              <w:t>；</w:t>
            </w:r>
          </w:p>
          <w:p w14:paraId="4EF3B37C">
            <w:pPr>
              <w:spacing w:line="240" w:lineRule="auto"/>
              <w:rPr>
                <w:rFonts w:cs="Times New Roman"/>
                <w:color w:val="auto"/>
                <w:sz w:val="21"/>
                <w:szCs w:val="21"/>
              </w:rPr>
            </w:pPr>
            <w:r>
              <w:rPr>
                <w:rFonts w:cs="Times New Roman"/>
                <w:color w:val="auto"/>
                <w:sz w:val="21"/>
                <w:szCs w:val="21"/>
              </w:rPr>
              <w:t xml:space="preserve">流域（区域）水资源（包括水能资源）与开发利用总体状况、生态流量管理要求与现状满足程度、建设项目占用水域空间的水流状况与河湖演变状况 </w:t>
            </w:r>
            <w:r>
              <w:rPr>
                <w:rFonts w:ascii="Segoe UI Symbol" w:hAnsi="Segoe UI Symbol" w:cs="Segoe UI Symbol"/>
                <w:color w:val="auto"/>
                <w:sz w:val="21"/>
                <w:szCs w:val="21"/>
              </w:rPr>
              <w:t>☐</w:t>
            </w:r>
            <w:r>
              <w:rPr>
                <w:rFonts w:cs="Times New Roman"/>
                <w:color w:val="auto"/>
                <w:sz w:val="21"/>
                <w:szCs w:val="21"/>
              </w:rPr>
              <w:t>；</w:t>
            </w:r>
          </w:p>
        </w:tc>
        <w:tc>
          <w:tcPr>
            <w:tcW w:w="1619" w:type="dxa"/>
            <w:gridSpan w:val="2"/>
            <w:vAlign w:val="center"/>
          </w:tcPr>
          <w:p w14:paraId="1CA45457">
            <w:pPr>
              <w:spacing w:line="240" w:lineRule="auto"/>
              <w:rPr>
                <w:rFonts w:cs="Times New Roman"/>
                <w:color w:val="auto"/>
                <w:sz w:val="21"/>
                <w:szCs w:val="21"/>
              </w:rPr>
            </w:pPr>
            <w:r>
              <w:rPr>
                <w:rFonts w:cs="Times New Roman"/>
                <w:color w:val="auto"/>
                <w:sz w:val="21"/>
                <w:szCs w:val="21"/>
              </w:rPr>
              <w:t>达标区 √；</w:t>
            </w:r>
          </w:p>
          <w:p w14:paraId="728BDE76">
            <w:pPr>
              <w:spacing w:line="240" w:lineRule="auto"/>
              <w:rPr>
                <w:rFonts w:cs="Times New Roman"/>
                <w:color w:val="auto"/>
                <w:sz w:val="21"/>
                <w:szCs w:val="21"/>
              </w:rPr>
            </w:pPr>
            <w:r>
              <w:rPr>
                <w:rFonts w:cs="Times New Roman"/>
                <w:color w:val="auto"/>
                <w:sz w:val="21"/>
                <w:szCs w:val="21"/>
              </w:rPr>
              <w:t xml:space="preserve">不达标区 </w:t>
            </w:r>
            <w:r>
              <w:rPr>
                <w:rFonts w:ascii="Segoe UI Symbol" w:hAnsi="Segoe UI Symbol" w:cs="Segoe UI Symbol"/>
                <w:color w:val="auto"/>
                <w:sz w:val="21"/>
                <w:szCs w:val="21"/>
              </w:rPr>
              <w:t>☐</w:t>
            </w:r>
            <w:r>
              <w:rPr>
                <w:rFonts w:cs="Times New Roman"/>
                <w:color w:val="auto"/>
                <w:sz w:val="21"/>
                <w:szCs w:val="21"/>
              </w:rPr>
              <w:t>；</w:t>
            </w:r>
          </w:p>
        </w:tc>
      </w:tr>
      <w:tr w14:paraId="7BFDB3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43C2B5E8">
            <w:pPr>
              <w:spacing w:line="240" w:lineRule="auto"/>
              <w:rPr>
                <w:rFonts w:cs="Times New Roman"/>
                <w:color w:val="auto"/>
                <w:sz w:val="21"/>
                <w:szCs w:val="21"/>
              </w:rPr>
            </w:pPr>
            <w:r>
              <w:rPr>
                <w:rFonts w:cs="Times New Roman"/>
                <w:color w:val="auto"/>
                <w:sz w:val="21"/>
                <w:szCs w:val="21"/>
              </w:rPr>
              <w:t>影响预测</w:t>
            </w:r>
          </w:p>
        </w:tc>
        <w:tc>
          <w:tcPr>
            <w:tcW w:w="1738" w:type="dxa"/>
            <w:vAlign w:val="center"/>
          </w:tcPr>
          <w:p w14:paraId="4FDB45E0">
            <w:pPr>
              <w:spacing w:line="240" w:lineRule="auto"/>
              <w:jc w:val="center"/>
              <w:rPr>
                <w:rFonts w:cs="Times New Roman"/>
                <w:color w:val="auto"/>
                <w:sz w:val="21"/>
                <w:szCs w:val="21"/>
              </w:rPr>
            </w:pPr>
            <w:r>
              <w:rPr>
                <w:rFonts w:cs="Times New Roman"/>
                <w:color w:val="auto"/>
                <w:sz w:val="21"/>
                <w:szCs w:val="21"/>
              </w:rPr>
              <w:t>预测范围</w:t>
            </w:r>
          </w:p>
        </w:tc>
        <w:tc>
          <w:tcPr>
            <w:tcW w:w="7435" w:type="dxa"/>
            <w:gridSpan w:val="12"/>
            <w:vAlign w:val="center"/>
          </w:tcPr>
          <w:p w14:paraId="31F51E57">
            <w:pPr>
              <w:spacing w:line="240" w:lineRule="auto"/>
              <w:rPr>
                <w:rFonts w:cs="Times New Roman"/>
                <w:color w:val="auto"/>
                <w:sz w:val="21"/>
                <w:szCs w:val="21"/>
              </w:rPr>
            </w:pPr>
            <w:r>
              <w:rPr>
                <w:rFonts w:cs="Times New Roman"/>
                <w:color w:val="auto"/>
                <w:sz w:val="21"/>
                <w:szCs w:val="21"/>
              </w:rPr>
              <w:t>河流：长度（  ）km；湖库、河口及近岸海域：面积（ ）km</w:t>
            </w:r>
            <w:r>
              <w:rPr>
                <w:rFonts w:cs="Times New Roman"/>
                <w:color w:val="auto"/>
                <w:sz w:val="21"/>
                <w:szCs w:val="21"/>
                <w:vertAlign w:val="superscript"/>
              </w:rPr>
              <w:t>2</w:t>
            </w:r>
          </w:p>
        </w:tc>
      </w:tr>
      <w:tr w14:paraId="0F174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27C60942">
            <w:pPr>
              <w:spacing w:line="240" w:lineRule="auto"/>
              <w:rPr>
                <w:rFonts w:cs="Times New Roman"/>
                <w:color w:val="auto"/>
                <w:sz w:val="21"/>
                <w:szCs w:val="21"/>
              </w:rPr>
            </w:pPr>
          </w:p>
        </w:tc>
        <w:tc>
          <w:tcPr>
            <w:tcW w:w="1738" w:type="dxa"/>
            <w:vAlign w:val="center"/>
          </w:tcPr>
          <w:p w14:paraId="4347A832">
            <w:pPr>
              <w:spacing w:line="240" w:lineRule="auto"/>
              <w:jc w:val="center"/>
              <w:rPr>
                <w:rFonts w:cs="Times New Roman"/>
                <w:color w:val="auto"/>
                <w:sz w:val="21"/>
                <w:szCs w:val="21"/>
              </w:rPr>
            </w:pPr>
            <w:r>
              <w:rPr>
                <w:rFonts w:cs="Times New Roman"/>
                <w:color w:val="auto"/>
                <w:sz w:val="21"/>
                <w:szCs w:val="21"/>
              </w:rPr>
              <w:t>预测因子</w:t>
            </w:r>
          </w:p>
        </w:tc>
        <w:tc>
          <w:tcPr>
            <w:tcW w:w="7435" w:type="dxa"/>
            <w:gridSpan w:val="12"/>
            <w:vAlign w:val="center"/>
          </w:tcPr>
          <w:p w14:paraId="0B44F302">
            <w:pPr>
              <w:spacing w:line="240" w:lineRule="auto"/>
              <w:rPr>
                <w:rFonts w:cs="Times New Roman"/>
                <w:color w:val="auto"/>
                <w:sz w:val="21"/>
                <w:szCs w:val="21"/>
              </w:rPr>
            </w:pPr>
            <w:r>
              <w:rPr>
                <w:rFonts w:cs="Times New Roman"/>
                <w:color w:val="auto"/>
                <w:sz w:val="21"/>
                <w:szCs w:val="21"/>
              </w:rPr>
              <w:t>（   ）</w:t>
            </w:r>
          </w:p>
        </w:tc>
      </w:tr>
      <w:tr w14:paraId="059DE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51F728E8">
            <w:pPr>
              <w:spacing w:line="240" w:lineRule="auto"/>
              <w:rPr>
                <w:rFonts w:cs="Times New Roman"/>
                <w:color w:val="auto"/>
                <w:sz w:val="21"/>
                <w:szCs w:val="21"/>
              </w:rPr>
            </w:pPr>
          </w:p>
        </w:tc>
        <w:tc>
          <w:tcPr>
            <w:tcW w:w="1738" w:type="dxa"/>
            <w:vAlign w:val="center"/>
          </w:tcPr>
          <w:p w14:paraId="183CF62C">
            <w:pPr>
              <w:spacing w:line="240" w:lineRule="auto"/>
              <w:jc w:val="center"/>
              <w:rPr>
                <w:rFonts w:cs="Times New Roman"/>
                <w:color w:val="auto"/>
                <w:sz w:val="21"/>
                <w:szCs w:val="21"/>
              </w:rPr>
            </w:pPr>
            <w:r>
              <w:rPr>
                <w:rFonts w:cs="Times New Roman"/>
                <w:color w:val="auto"/>
                <w:sz w:val="21"/>
                <w:szCs w:val="21"/>
              </w:rPr>
              <w:t>预测时期</w:t>
            </w:r>
          </w:p>
        </w:tc>
        <w:tc>
          <w:tcPr>
            <w:tcW w:w="7435" w:type="dxa"/>
            <w:gridSpan w:val="12"/>
            <w:vAlign w:val="center"/>
          </w:tcPr>
          <w:p w14:paraId="646A64AF">
            <w:pPr>
              <w:spacing w:line="240" w:lineRule="auto"/>
              <w:rPr>
                <w:rFonts w:cs="Times New Roman"/>
                <w:color w:val="auto"/>
                <w:sz w:val="21"/>
                <w:szCs w:val="21"/>
              </w:rPr>
            </w:pPr>
            <w:r>
              <w:rPr>
                <w:rFonts w:cs="Times New Roman"/>
                <w:color w:val="auto"/>
                <w:sz w:val="21"/>
                <w:szCs w:val="21"/>
              </w:rPr>
              <w:t xml:space="preserve">丰水期 </w:t>
            </w:r>
            <w:r>
              <w:rPr>
                <w:rFonts w:ascii="Segoe UI Symbol" w:hAnsi="Segoe UI Symbol" w:cs="Segoe UI Symbol"/>
                <w:color w:val="auto"/>
                <w:sz w:val="21"/>
                <w:szCs w:val="21"/>
              </w:rPr>
              <w:t>☐</w:t>
            </w:r>
            <w:r>
              <w:rPr>
                <w:rFonts w:cs="Times New Roman"/>
                <w:color w:val="auto"/>
                <w:sz w:val="21"/>
                <w:szCs w:val="21"/>
              </w:rPr>
              <w:t xml:space="preserve">；平水期 </w:t>
            </w:r>
            <w:r>
              <w:rPr>
                <w:rFonts w:ascii="Segoe UI Symbol" w:hAnsi="Segoe UI Symbol" w:cs="Segoe UI Symbol"/>
                <w:color w:val="auto"/>
                <w:sz w:val="21"/>
                <w:szCs w:val="21"/>
              </w:rPr>
              <w:t>☐</w:t>
            </w:r>
            <w:r>
              <w:rPr>
                <w:rFonts w:cs="Times New Roman"/>
                <w:color w:val="auto"/>
                <w:sz w:val="21"/>
                <w:szCs w:val="21"/>
              </w:rPr>
              <w:t xml:space="preserve">；枯水期 </w:t>
            </w:r>
            <w:r>
              <w:rPr>
                <w:rFonts w:ascii="Segoe UI Symbol" w:hAnsi="Segoe UI Symbol" w:cs="Segoe UI Symbol"/>
                <w:color w:val="auto"/>
                <w:sz w:val="21"/>
                <w:szCs w:val="21"/>
              </w:rPr>
              <w:t>☐</w:t>
            </w:r>
            <w:r>
              <w:rPr>
                <w:rFonts w:cs="Times New Roman"/>
                <w:color w:val="auto"/>
                <w:sz w:val="21"/>
                <w:szCs w:val="21"/>
              </w:rPr>
              <w:t xml:space="preserve">；冰封期 </w:t>
            </w:r>
            <w:r>
              <w:rPr>
                <w:rFonts w:ascii="Segoe UI Symbol" w:hAnsi="Segoe UI Symbol" w:cs="Segoe UI Symbol"/>
                <w:color w:val="auto"/>
                <w:sz w:val="21"/>
                <w:szCs w:val="21"/>
              </w:rPr>
              <w:t>☐</w:t>
            </w:r>
            <w:r>
              <w:rPr>
                <w:rFonts w:cs="Times New Roman"/>
                <w:color w:val="auto"/>
                <w:sz w:val="21"/>
                <w:szCs w:val="21"/>
              </w:rPr>
              <w:t>；</w:t>
            </w:r>
          </w:p>
          <w:p w14:paraId="5A9D15B1">
            <w:pPr>
              <w:spacing w:line="240" w:lineRule="auto"/>
              <w:rPr>
                <w:rFonts w:cs="Times New Roman"/>
                <w:color w:val="auto"/>
                <w:sz w:val="21"/>
                <w:szCs w:val="21"/>
              </w:rPr>
            </w:pPr>
            <w:r>
              <w:rPr>
                <w:rFonts w:cs="Times New Roman"/>
                <w:color w:val="auto"/>
                <w:sz w:val="21"/>
                <w:szCs w:val="21"/>
              </w:rPr>
              <w:t xml:space="preserve">春季 </w:t>
            </w:r>
            <w:r>
              <w:rPr>
                <w:rFonts w:ascii="Segoe UI Symbol" w:hAnsi="Segoe UI Symbol" w:cs="Segoe UI Symbol"/>
                <w:color w:val="auto"/>
                <w:sz w:val="21"/>
                <w:szCs w:val="21"/>
              </w:rPr>
              <w:t>☐</w:t>
            </w:r>
            <w:r>
              <w:rPr>
                <w:rFonts w:cs="Times New Roman"/>
                <w:color w:val="auto"/>
                <w:sz w:val="21"/>
                <w:szCs w:val="21"/>
              </w:rPr>
              <w:t xml:space="preserve">；夏季 </w:t>
            </w:r>
            <w:r>
              <w:rPr>
                <w:rFonts w:ascii="Segoe UI Symbol" w:hAnsi="Segoe UI Symbol" w:cs="Segoe UI Symbol"/>
                <w:color w:val="auto"/>
                <w:sz w:val="21"/>
                <w:szCs w:val="21"/>
              </w:rPr>
              <w:t>☐</w:t>
            </w:r>
            <w:r>
              <w:rPr>
                <w:rFonts w:cs="Times New Roman"/>
                <w:color w:val="auto"/>
                <w:sz w:val="21"/>
                <w:szCs w:val="21"/>
              </w:rPr>
              <w:t xml:space="preserve">；秋季 </w:t>
            </w:r>
            <w:r>
              <w:rPr>
                <w:rFonts w:ascii="Segoe UI Symbol" w:hAnsi="Segoe UI Symbol" w:cs="Segoe UI Symbol"/>
                <w:color w:val="auto"/>
                <w:sz w:val="21"/>
                <w:szCs w:val="21"/>
              </w:rPr>
              <w:t>☐</w:t>
            </w:r>
            <w:r>
              <w:rPr>
                <w:rFonts w:cs="Times New Roman"/>
                <w:color w:val="auto"/>
                <w:sz w:val="21"/>
                <w:szCs w:val="21"/>
              </w:rPr>
              <w:t xml:space="preserve">； 冬季 </w:t>
            </w:r>
            <w:r>
              <w:rPr>
                <w:rFonts w:ascii="Segoe UI Symbol" w:hAnsi="Segoe UI Symbol" w:cs="Segoe UI Symbol"/>
                <w:color w:val="auto"/>
                <w:sz w:val="21"/>
                <w:szCs w:val="21"/>
              </w:rPr>
              <w:t>☐</w:t>
            </w:r>
            <w:r>
              <w:rPr>
                <w:rFonts w:cs="Times New Roman"/>
                <w:color w:val="auto"/>
                <w:sz w:val="21"/>
                <w:szCs w:val="21"/>
              </w:rPr>
              <w:t>；</w:t>
            </w:r>
          </w:p>
          <w:p w14:paraId="1E0A4F9D">
            <w:pPr>
              <w:spacing w:line="240" w:lineRule="auto"/>
              <w:rPr>
                <w:rFonts w:cs="Times New Roman"/>
                <w:color w:val="auto"/>
                <w:sz w:val="21"/>
                <w:szCs w:val="21"/>
              </w:rPr>
            </w:pPr>
            <w:r>
              <w:rPr>
                <w:rFonts w:cs="Times New Roman"/>
                <w:color w:val="auto"/>
                <w:sz w:val="21"/>
                <w:szCs w:val="21"/>
              </w:rPr>
              <w:t xml:space="preserve">设计水文条件 </w:t>
            </w:r>
            <w:r>
              <w:rPr>
                <w:rFonts w:ascii="Segoe UI Symbol" w:hAnsi="Segoe UI Symbol" w:cs="Segoe UI Symbol"/>
                <w:color w:val="auto"/>
                <w:sz w:val="21"/>
                <w:szCs w:val="21"/>
              </w:rPr>
              <w:t>☐</w:t>
            </w:r>
            <w:r>
              <w:rPr>
                <w:rFonts w:cs="Times New Roman"/>
                <w:color w:val="auto"/>
                <w:sz w:val="21"/>
                <w:szCs w:val="21"/>
              </w:rPr>
              <w:t>；</w:t>
            </w:r>
          </w:p>
        </w:tc>
      </w:tr>
      <w:tr w14:paraId="00878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7B52795E">
            <w:pPr>
              <w:spacing w:line="240" w:lineRule="auto"/>
              <w:rPr>
                <w:rFonts w:cs="Times New Roman"/>
                <w:color w:val="auto"/>
                <w:sz w:val="21"/>
                <w:szCs w:val="21"/>
              </w:rPr>
            </w:pPr>
          </w:p>
        </w:tc>
        <w:tc>
          <w:tcPr>
            <w:tcW w:w="1738" w:type="dxa"/>
            <w:vAlign w:val="center"/>
          </w:tcPr>
          <w:p w14:paraId="76D32E1A">
            <w:pPr>
              <w:spacing w:line="240" w:lineRule="auto"/>
              <w:jc w:val="center"/>
              <w:rPr>
                <w:rFonts w:cs="Times New Roman"/>
                <w:color w:val="auto"/>
                <w:sz w:val="21"/>
                <w:szCs w:val="21"/>
              </w:rPr>
            </w:pPr>
            <w:r>
              <w:rPr>
                <w:rFonts w:cs="Times New Roman"/>
                <w:color w:val="auto"/>
                <w:sz w:val="21"/>
                <w:szCs w:val="21"/>
              </w:rPr>
              <w:t>预测情景</w:t>
            </w:r>
          </w:p>
        </w:tc>
        <w:tc>
          <w:tcPr>
            <w:tcW w:w="7435" w:type="dxa"/>
            <w:gridSpan w:val="12"/>
            <w:vAlign w:val="center"/>
          </w:tcPr>
          <w:p w14:paraId="711DFD8A">
            <w:pPr>
              <w:spacing w:line="240" w:lineRule="auto"/>
              <w:rPr>
                <w:rFonts w:cs="Times New Roman"/>
                <w:color w:val="auto"/>
                <w:sz w:val="21"/>
                <w:szCs w:val="21"/>
              </w:rPr>
            </w:pPr>
            <w:r>
              <w:rPr>
                <w:rFonts w:cs="Times New Roman"/>
                <w:color w:val="auto"/>
                <w:sz w:val="21"/>
                <w:szCs w:val="21"/>
              </w:rPr>
              <w:t xml:space="preserve">建设期 </w:t>
            </w:r>
            <w:r>
              <w:rPr>
                <w:rFonts w:ascii="Segoe UI Symbol" w:hAnsi="Segoe UI Symbol" w:cs="Segoe UI Symbol"/>
                <w:color w:val="auto"/>
                <w:sz w:val="21"/>
                <w:szCs w:val="21"/>
              </w:rPr>
              <w:t>☐</w:t>
            </w:r>
            <w:r>
              <w:rPr>
                <w:rFonts w:cs="Times New Roman"/>
                <w:color w:val="auto"/>
                <w:sz w:val="21"/>
                <w:szCs w:val="21"/>
              </w:rPr>
              <w:t xml:space="preserve">；生产运行期 </w:t>
            </w:r>
            <w:r>
              <w:rPr>
                <w:rFonts w:ascii="Segoe UI Symbol" w:hAnsi="Segoe UI Symbol" w:cs="Segoe UI Symbol"/>
                <w:color w:val="auto"/>
                <w:sz w:val="21"/>
                <w:szCs w:val="21"/>
              </w:rPr>
              <w:t>☐</w:t>
            </w:r>
            <w:r>
              <w:rPr>
                <w:rFonts w:cs="Times New Roman"/>
                <w:color w:val="auto"/>
                <w:sz w:val="21"/>
                <w:szCs w:val="21"/>
              </w:rPr>
              <w:t xml:space="preserve">；服务期满后 </w:t>
            </w:r>
            <w:r>
              <w:rPr>
                <w:rFonts w:ascii="Segoe UI Symbol" w:hAnsi="Segoe UI Symbol" w:cs="Segoe UI Symbol"/>
                <w:color w:val="auto"/>
                <w:sz w:val="21"/>
                <w:szCs w:val="21"/>
              </w:rPr>
              <w:t>☐</w:t>
            </w:r>
            <w:r>
              <w:rPr>
                <w:rFonts w:cs="Times New Roman"/>
                <w:color w:val="auto"/>
                <w:sz w:val="21"/>
                <w:szCs w:val="21"/>
              </w:rPr>
              <w:t>；</w:t>
            </w:r>
          </w:p>
          <w:p w14:paraId="798ED694">
            <w:pPr>
              <w:spacing w:line="240" w:lineRule="auto"/>
              <w:rPr>
                <w:rFonts w:cs="Times New Roman"/>
                <w:color w:val="auto"/>
                <w:sz w:val="21"/>
                <w:szCs w:val="21"/>
              </w:rPr>
            </w:pPr>
            <w:r>
              <w:rPr>
                <w:rFonts w:cs="Times New Roman"/>
                <w:color w:val="auto"/>
                <w:sz w:val="21"/>
                <w:szCs w:val="21"/>
              </w:rPr>
              <w:t xml:space="preserve">正常工况 </w:t>
            </w:r>
            <w:r>
              <w:rPr>
                <w:rFonts w:ascii="Segoe UI Symbol" w:hAnsi="Segoe UI Symbol" w:cs="Segoe UI Symbol"/>
                <w:color w:val="auto"/>
                <w:sz w:val="21"/>
                <w:szCs w:val="21"/>
              </w:rPr>
              <w:t>☐</w:t>
            </w:r>
            <w:r>
              <w:rPr>
                <w:rFonts w:cs="Times New Roman"/>
                <w:color w:val="auto"/>
                <w:sz w:val="21"/>
                <w:szCs w:val="21"/>
              </w:rPr>
              <w:t xml:space="preserve">；非正常工况 </w:t>
            </w:r>
            <w:r>
              <w:rPr>
                <w:rFonts w:ascii="Segoe UI Symbol" w:hAnsi="Segoe UI Symbol" w:cs="Segoe UI Symbol"/>
                <w:color w:val="auto"/>
                <w:sz w:val="21"/>
                <w:szCs w:val="21"/>
              </w:rPr>
              <w:t>☐</w:t>
            </w:r>
            <w:r>
              <w:rPr>
                <w:rFonts w:cs="Times New Roman"/>
                <w:color w:val="auto"/>
                <w:sz w:val="21"/>
                <w:szCs w:val="21"/>
              </w:rPr>
              <w:t>；</w:t>
            </w:r>
          </w:p>
          <w:p w14:paraId="111AC863">
            <w:pPr>
              <w:spacing w:line="240" w:lineRule="auto"/>
              <w:rPr>
                <w:rFonts w:cs="Times New Roman"/>
                <w:color w:val="auto"/>
                <w:sz w:val="21"/>
                <w:szCs w:val="21"/>
              </w:rPr>
            </w:pPr>
            <w:r>
              <w:rPr>
                <w:rFonts w:cs="Times New Roman"/>
                <w:color w:val="auto"/>
                <w:sz w:val="21"/>
                <w:szCs w:val="21"/>
              </w:rPr>
              <w:t xml:space="preserve">污染控制和减缓措施方案 </w:t>
            </w:r>
            <w:r>
              <w:rPr>
                <w:rFonts w:ascii="Segoe UI Symbol" w:hAnsi="Segoe UI Symbol" w:cs="Segoe UI Symbol"/>
                <w:color w:val="auto"/>
                <w:sz w:val="21"/>
                <w:szCs w:val="21"/>
              </w:rPr>
              <w:t>☐</w:t>
            </w:r>
            <w:r>
              <w:rPr>
                <w:rFonts w:cs="Times New Roman"/>
                <w:color w:val="auto"/>
                <w:sz w:val="21"/>
                <w:szCs w:val="21"/>
              </w:rPr>
              <w:t>；</w:t>
            </w:r>
          </w:p>
          <w:p w14:paraId="22D28BE2">
            <w:pPr>
              <w:spacing w:line="240" w:lineRule="auto"/>
              <w:rPr>
                <w:rFonts w:cs="Times New Roman"/>
                <w:color w:val="auto"/>
                <w:sz w:val="21"/>
                <w:szCs w:val="21"/>
              </w:rPr>
            </w:pPr>
            <w:r>
              <w:rPr>
                <w:rFonts w:cs="Times New Roman"/>
                <w:color w:val="auto"/>
                <w:sz w:val="21"/>
                <w:szCs w:val="21"/>
              </w:rPr>
              <w:t xml:space="preserve">区（流）域环境质量改善目标要求情景 </w:t>
            </w:r>
            <w:r>
              <w:rPr>
                <w:rFonts w:ascii="Segoe UI Symbol" w:hAnsi="Segoe UI Symbol" w:cs="Segoe UI Symbol"/>
                <w:color w:val="auto"/>
                <w:sz w:val="21"/>
                <w:szCs w:val="21"/>
              </w:rPr>
              <w:t>☐</w:t>
            </w:r>
            <w:r>
              <w:rPr>
                <w:rFonts w:cs="Times New Roman"/>
                <w:color w:val="auto"/>
                <w:sz w:val="21"/>
                <w:szCs w:val="21"/>
              </w:rPr>
              <w:t>；</w:t>
            </w:r>
          </w:p>
        </w:tc>
      </w:tr>
      <w:tr w14:paraId="11760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7B8B4432">
            <w:pPr>
              <w:spacing w:line="240" w:lineRule="auto"/>
              <w:rPr>
                <w:rFonts w:cs="Times New Roman"/>
                <w:color w:val="auto"/>
                <w:sz w:val="21"/>
                <w:szCs w:val="21"/>
              </w:rPr>
            </w:pPr>
          </w:p>
        </w:tc>
        <w:tc>
          <w:tcPr>
            <w:tcW w:w="1738" w:type="dxa"/>
            <w:vAlign w:val="center"/>
          </w:tcPr>
          <w:p w14:paraId="70CADE62">
            <w:pPr>
              <w:spacing w:line="240" w:lineRule="auto"/>
              <w:jc w:val="center"/>
              <w:rPr>
                <w:rFonts w:cs="Times New Roman"/>
                <w:color w:val="auto"/>
                <w:sz w:val="21"/>
                <w:szCs w:val="21"/>
              </w:rPr>
            </w:pPr>
            <w:r>
              <w:rPr>
                <w:rFonts w:cs="Times New Roman"/>
                <w:color w:val="auto"/>
                <w:sz w:val="21"/>
                <w:szCs w:val="21"/>
              </w:rPr>
              <w:t>预测方法</w:t>
            </w:r>
          </w:p>
        </w:tc>
        <w:tc>
          <w:tcPr>
            <w:tcW w:w="7435" w:type="dxa"/>
            <w:gridSpan w:val="12"/>
            <w:vAlign w:val="center"/>
          </w:tcPr>
          <w:p w14:paraId="294EE5CB">
            <w:pPr>
              <w:spacing w:line="240" w:lineRule="auto"/>
              <w:rPr>
                <w:rFonts w:cs="Times New Roman"/>
                <w:color w:val="auto"/>
                <w:sz w:val="21"/>
                <w:szCs w:val="21"/>
              </w:rPr>
            </w:pPr>
            <w:r>
              <w:rPr>
                <w:rFonts w:cs="Times New Roman"/>
                <w:color w:val="auto"/>
                <w:sz w:val="21"/>
                <w:szCs w:val="21"/>
              </w:rPr>
              <w:t xml:space="preserve">数值解 </w:t>
            </w:r>
            <w:r>
              <w:rPr>
                <w:rFonts w:ascii="Segoe UI Symbol" w:hAnsi="Segoe UI Symbol" w:cs="Segoe UI Symbol"/>
                <w:color w:val="auto"/>
                <w:sz w:val="21"/>
                <w:szCs w:val="21"/>
              </w:rPr>
              <w:t>☐</w:t>
            </w:r>
            <w:r>
              <w:rPr>
                <w:rFonts w:cs="Times New Roman"/>
                <w:color w:val="auto"/>
                <w:sz w:val="21"/>
                <w:szCs w:val="21"/>
              </w:rPr>
              <w:t xml:space="preserve">；解析解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 xml:space="preserve">；导则推荐模式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w:t>
            </w:r>
          </w:p>
        </w:tc>
      </w:tr>
      <w:tr w14:paraId="4D056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092C6F21">
            <w:pPr>
              <w:spacing w:line="240" w:lineRule="auto"/>
              <w:rPr>
                <w:rFonts w:cs="Times New Roman"/>
                <w:color w:val="auto"/>
                <w:sz w:val="21"/>
                <w:szCs w:val="21"/>
              </w:rPr>
            </w:pPr>
            <w:r>
              <w:rPr>
                <w:rFonts w:cs="Times New Roman"/>
                <w:color w:val="auto"/>
                <w:sz w:val="21"/>
                <w:szCs w:val="21"/>
              </w:rPr>
              <w:t>影响评价</w:t>
            </w:r>
          </w:p>
        </w:tc>
        <w:tc>
          <w:tcPr>
            <w:tcW w:w="1738" w:type="dxa"/>
            <w:vAlign w:val="center"/>
          </w:tcPr>
          <w:p w14:paraId="69B08675">
            <w:pPr>
              <w:spacing w:line="240" w:lineRule="auto"/>
              <w:jc w:val="center"/>
              <w:rPr>
                <w:rFonts w:cs="Times New Roman"/>
                <w:color w:val="auto"/>
                <w:sz w:val="21"/>
                <w:szCs w:val="21"/>
              </w:rPr>
            </w:pPr>
            <w:r>
              <w:rPr>
                <w:rFonts w:cs="Times New Roman"/>
                <w:color w:val="auto"/>
                <w:sz w:val="21"/>
                <w:szCs w:val="21"/>
              </w:rPr>
              <w:t>水污染控制和水源井影响减缓措施有效性评价</w:t>
            </w:r>
          </w:p>
        </w:tc>
        <w:tc>
          <w:tcPr>
            <w:tcW w:w="7435" w:type="dxa"/>
            <w:gridSpan w:val="12"/>
            <w:vAlign w:val="center"/>
          </w:tcPr>
          <w:p w14:paraId="0B245287">
            <w:pPr>
              <w:spacing w:line="240" w:lineRule="auto"/>
              <w:rPr>
                <w:rFonts w:cs="Times New Roman"/>
                <w:color w:val="auto"/>
                <w:sz w:val="21"/>
                <w:szCs w:val="21"/>
              </w:rPr>
            </w:pPr>
            <w:r>
              <w:rPr>
                <w:rFonts w:cs="Times New Roman"/>
                <w:color w:val="auto"/>
                <w:sz w:val="21"/>
                <w:szCs w:val="21"/>
              </w:rPr>
              <w:t>区（流）域水环境质量改善目标</w:t>
            </w:r>
            <w:r>
              <w:rPr>
                <w:rFonts w:ascii="Segoe UI Symbol" w:hAnsi="Segoe UI Symbol" w:cs="Segoe UI Symbol"/>
                <w:color w:val="auto"/>
                <w:sz w:val="21"/>
                <w:szCs w:val="21"/>
              </w:rPr>
              <w:t>☐</w:t>
            </w:r>
            <w:r>
              <w:rPr>
                <w:rFonts w:cs="Times New Roman"/>
                <w:color w:val="auto"/>
                <w:sz w:val="21"/>
                <w:szCs w:val="21"/>
              </w:rPr>
              <w:t>；替代削减源</w:t>
            </w:r>
            <w:r>
              <w:rPr>
                <w:rFonts w:ascii="Segoe UI Symbol" w:hAnsi="Segoe UI Symbol" w:cs="Segoe UI Symbol"/>
                <w:color w:val="auto"/>
                <w:sz w:val="21"/>
                <w:szCs w:val="21"/>
              </w:rPr>
              <w:t>☐</w:t>
            </w:r>
            <w:r>
              <w:rPr>
                <w:rFonts w:cs="Times New Roman"/>
                <w:color w:val="auto"/>
                <w:sz w:val="21"/>
                <w:szCs w:val="21"/>
              </w:rPr>
              <w:t>；</w:t>
            </w:r>
          </w:p>
        </w:tc>
      </w:tr>
      <w:tr w14:paraId="62DED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2FA1DD75">
            <w:pPr>
              <w:spacing w:line="240" w:lineRule="auto"/>
              <w:rPr>
                <w:rFonts w:cs="Times New Roman"/>
                <w:color w:val="auto"/>
                <w:sz w:val="21"/>
                <w:szCs w:val="21"/>
              </w:rPr>
            </w:pPr>
          </w:p>
        </w:tc>
        <w:tc>
          <w:tcPr>
            <w:tcW w:w="1738" w:type="dxa"/>
            <w:vAlign w:val="center"/>
          </w:tcPr>
          <w:p w14:paraId="74618FC0">
            <w:pPr>
              <w:spacing w:line="240" w:lineRule="auto"/>
              <w:jc w:val="center"/>
              <w:rPr>
                <w:rFonts w:cs="Times New Roman"/>
                <w:color w:val="auto"/>
                <w:sz w:val="21"/>
                <w:szCs w:val="21"/>
              </w:rPr>
            </w:pPr>
            <w:r>
              <w:rPr>
                <w:rFonts w:cs="Times New Roman"/>
                <w:color w:val="auto"/>
                <w:sz w:val="21"/>
                <w:szCs w:val="21"/>
              </w:rPr>
              <w:t>水环境影响评价</w:t>
            </w:r>
          </w:p>
        </w:tc>
        <w:tc>
          <w:tcPr>
            <w:tcW w:w="7435" w:type="dxa"/>
            <w:gridSpan w:val="12"/>
            <w:vAlign w:val="center"/>
          </w:tcPr>
          <w:p w14:paraId="35C9955A">
            <w:pPr>
              <w:spacing w:line="240" w:lineRule="auto"/>
              <w:rPr>
                <w:rFonts w:cs="Times New Roman"/>
                <w:color w:val="auto"/>
                <w:sz w:val="21"/>
                <w:szCs w:val="21"/>
              </w:rPr>
            </w:pPr>
            <w:r>
              <w:rPr>
                <w:rFonts w:cs="Times New Roman"/>
                <w:color w:val="auto"/>
                <w:sz w:val="21"/>
                <w:szCs w:val="21"/>
              </w:rPr>
              <w:t>排放口混合区外满足水环境管理要求</w:t>
            </w:r>
            <w:r>
              <w:rPr>
                <w:rFonts w:ascii="Segoe UI Symbol" w:hAnsi="Segoe UI Symbol" w:cs="Segoe UI Symbol"/>
                <w:color w:val="auto"/>
                <w:sz w:val="21"/>
                <w:szCs w:val="21"/>
              </w:rPr>
              <w:t>☐</w:t>
            </w:r>
            <w:r>
              <w:rPr>
                <w:rFonts w:cs="Times New Roman"/>
                <w:color w:val="auto"/>
                <w:sz w:val="21"/>
                <w:szCs w:val="21"/>
              </w:rPr>
              <w:t>；</w:t>
            </w:r>
          </w:p>
          <w:p w14:paraId="3357EBD0">
            <w:pPr>
              <w:spacing w:line="240" w:lineRule="auto"/>
              <w:rPr>
                <w:rFonts w:cs="Times New Roman"/>
                <w:color w:val="auto"/>
                <w:sz w:val="21"/>
                <w:szCs w:val="21"/>
              </w:rPr>
            </w:pPr>
            <w:r>
              <w:rPr>
                <w:rFonts w:cs="Times New Roman"/>
                <w:color w:val="auto"/>
                <w:sz w:val="21"/>
                <w:szCs w:val="21"/>
              </w:rPr>
              <w:t>水环境功能区或水功能区、近岸海域环境功能区水质达标</w:t>
            </w:r>
            <w:r>
              <w:rPr>
                <w:rFonts w:ascii="Segoe UI Symbol" w:hAnsi="Segoe UI Symbol" w:cs="Segoe UI Symbol"/>
                <w:color w:val="auto"/>
                <w:sz w:val="21"/>
                <w:szCs w:val="21"/>
              </w:rPr>
              <w:t>☐</w:t>
            </w:r>
            <w:r>
              <w:rPr>
                <w:rFonts w:cs="Times New Roman"/>
                <w:color w:val="auto"/>
                <w:sz w:val="21"/>
                <w:szCs w:val="21"/>
              </w:rPr>
              <w:t>；</w:t>
            </w:r>
          </w:p>
          <w:p w14:paraId="54F93A92">
            <w:pPr>
              <w:spacing w:line="240" w:lineRule="auto"/>
              <w:rPr>
                <w:rFonts w:cs="Times New Roman"/>
                <w:color w:val="auto"/>
                <w:sz w:val="21"/>
                <w:szCs w:val="21"/>
              </w:rPr>
            </w:pPr>
            <w:r>
              <w:rPr>
                <w:rFonts w:cs="Times New Roman"/>
                <w:color w:val="auto"/>
                <w:sz w:val="21"/>
                <w:szCs w:val="21"/>
              </w:rPr>
              <w:t>满足水环境保护目标水域水环境质量要求</w:t>
            </w:r>
            <w:r>
              <w:rPr>
                <w:rFonts w:ascii="Segoe UI Symbol" w:hAnsi="Segoe UI Symbol" w:cs="Segoe UI Symbol"/>
                <w:color w:val="auto"/>
                <w:sz w:val="21"/>
                <w:szCs w:val="21"/>
              </w:rPr>
              <w:t>☐</w:t>
            </w:r>
            <w:r>
              <w:rPr>
                <w:rFonts w:cs="Times New Roman"/>
                <w:color w:val="auto"/>
                <w:sz w:val="21"/>
                <w:szCs w:val="21"/>
              </w:rPr>
              <w:t>；</w:t>
            </w:r>
          </w:p>
          <w:p w14:paraId="1D6BCFB3">
            <w:pPr>
              <w:spacing w:line="240" w:lineRule="auto"/>
              <w:rPr>
                <w:rFonts w:cs="Times New Roman"/>
                <w:color w:val="auto"/>
                <w:sz w:val="21"/>
                <w:szCs w:val="21"/>
              </w:rPr>
            </w:pPr>
            <w:r>
              <w:rPr>
                <w:rFonts w:cs="Times New Roman"/>
                <w:color w:val="auto"/>
                <w:sz w:val="21"/>
                <w:szCs w:val="21"/>
              </w:rPr>
              <w:t>水环境控制单元或断面水质达标</w:t>
            </w:r>
            <w:r>
              <w:rPr>
                <w:rFonts w:ascii="Segoe UI Symbol" w:hAnsi="Segoe UI Symbol" w:cs="Segoe UI Symbol"/>
                <w:color w:val="auto"/>
                <w:sz w:val="21"/>
                <w:szCs w:val="21"/>
              </w:rPr>
              <w:t>☐</w:t>
            </w:r>
            <w:r>
              <w:rPr>
                <w:rFonts w:cs="Times New Roman"/>
                <w:color w:val="auto"/>
                <w:sz w:val="21"/>
                <w:szCs w:val="21"/>
              </w:rPr>
              <w:t>；</w:t>
            </w:r>
          </w:p>
          <w:p w14:paraId="1D454C79">
            <w:pPr>
              <w:spacing w:line="240" w:lineRule="auto"/>
              <w:rPr>
                <w:rFonts w:cs="Times New Roman"/>
                <w:color w:val="auto"/>
                <w:sz w:val="21"/>
                <w:szCs w:val="21"/>
              </w:rPr>
            </w:pPr>
            <w:r>
              <w:rPr>
                <w:rFonts w:cs="Times New Roman"/>
                <w:color w:val="auto"/>
                <w:sz w:val="21"/>
                <w:szCs w:val="21"/>
              </w:rPr>
              <w:t>满足重点水污染物排放总量控制指标要求，重点行业建设项目，主要污染物排放满足等量或减量替代要求</w:t>
            </w:r>
            <w:r>
              <w:rPr>
                <w:rFonts w:ascii="Segoe UI Symbol" w:hAnsi="Segoe UI Symbol" w:cs="Segoe UI Symbol"/>
                <w:color w:val="auto"/>
                <w:sz w:val="21"/>
                <w:szCs w:val="21"/>
              </w:rPr>
              <w:t>☐</w:t>
            </w:r>
            <w:r>
              <w:rPr>
                <w:rFonts w:cs="Times New Roman"/>
                <w:color w:val="auto"/>
                <w:sz w:val="21"/>
                <w:szCs w:val="21"/>
              </w:rPr>
              <w:t>；</w:t>
            </w:r>
          </w:p>
          <w:p w14:paraId="28C8D6C4">
            <w:pPr>
              <w:spacing w:line="240" w:lineRule="auto"/>
              <w:rPr>
                <w:rFonts w:cs="Times New Roman"/>
                <w:color w:val="auto"/>
                <w:sz w:val="21"/>
                <w:szCs w:val="21"/>
              </w:rPr>
            </w:pPr>
            <w:r>
              <w:rPr>
                <w:rFonts w:cs="Times New Roman"/>
                <w:color w:val="auto"/>
                <w:sz w:val="21"/>
                <w:szCs w:val="21"/>
              </w:rPr>
              <w:t>满足区（流）域水环境质量改善目标要求</w:t>
            </w:r>
            <w:r>
              <w:rPr>
                <w:rFonts w:ascii="Segoe UI Symbol" w:hAnsi="Segoe UI Symbol" w:cs="Segoe UI Symbol"/>
                <w:color w:val="auto"/>
                <w:sz w:val="21"/>
                <w:szCs w:val="21"/>
              </w:rPr>
              <w:t>☐</w:t>
            </w:r>
            <w:r>
              <w:rPr>
                <w:rFonts w:cs="Times New Roman"/>
                <w:color w:val="auto"/>
                <w:sz w:val="21"/>
                <w:szCs w:val="21"/>
              </w:rPr>
              <w:t>；</w:t>
            </w:r>
          </w:p>
          <w:p w14:paraId="4959EBAB">
            <w:pPr>
              <w:spacing w:line="240" w:lineRule="auto"/>
              <w:rPr>
                <w:rFonts w:cs="Times New Roman"/>
                <w:color w:val="auto"/>
                <w:sz w:val="21"/>
                <w:szCs w:val="21"/>
              </w:rPr>
            </w:pPr>
            <w:r>
              <w:rPr>
                <w:rFonts w:cs="Times New Roman"/>
                <w:color w:val="auto"/>
                <w:sz w:val="21"/>
                <w:szCs w:val="21"/>
              </w:rPr>
              <w:t>水文要素影响型建设项目同时应包括水文情势变化评价、主要水文特征值影响评价、生态流量符合性评价</w:t>
            </w:r>
            <w:r>
              <w:rPr>
                <w:rFonts w:ascii="Segoe UI Symbol" w:hAnsi="Segoe UI Symbol" w:cs="Segoe UI Symbol"/>
                <w:color w:val="auto"/>
                <w:sz w:val="21"/>
                <w:szCs w:val="21"/>
              </w:rPr>
              <w:t>☐</w:t>
            </w:r>
            <w:r>
              <w:rPr>
                <w:rFonts w:cs="Times New Roman"/>
                <w:color w:val="auto"/>
                <w:sz w:val="21"/>
                <w:szCs w:val="21"/>
              </w:rPr>
              <w:t>；</w:t>
            </w:r>
          </w:p>
          <w:p w14:paraId="5FF51B06">
            <w:pPr>
              <w:spacing w:line="240" w:lineRule="auto"/>
              <w:rPr>
                <w:rFonts w:cs="Times New Roman"/>
                <w:color w:val="auto"/>
                <w:sz w:val="21"/>
                <w:szCs w:val="21"/>
              </w:rPr>
            </w:pPr>
            <w:r>
              <w:rPr>
                <w:rFonts w:cs="Times New Roman"/>
                <w:color w:val="auto"/>
                <w:sz w:val="21"/>
                <w:szCs w:val="21"/>
              </w:rPr>
              <w:t>对于新设或调整入河（湖库、近岸海域）排放口的建设项目，应包括排放口设置的环境合理性评价</w:t>
            </w:r>
            <w:r>
              <w:rPr>
                <w:rFonts w:ascii="Segoe UI Symbol" w:hAnsi="Segoe UI Symbol" w:cs="Segoe UI Symbol"/>
                <w:color w:val="auto"/>
                <w:sz w:val="21"/>
                <w:szCs w:val="21"/>
              </w:rPr>
              <w:t>☐</w:t>
            </w:r>
            <w:r>
              <w:rPr>
                <w:rFonts w:cs="Times New Roman"/>
                <w:color w:val="auto"/>
                <w:sz w:val="21"/>
                <w:szCs w:val="21"/>
              </w:rPr>
              <w:t>；</w:t>
            </w:r>
          </w:p>
          <w:p w14:paraId="3A3640E7">
            <w:pPr>
              <w:spacing w:line="240" w:lineRule="auto"/>
              <w:rPr>
                <w:rFonts w:cs="Times New Roman"/>
                <w:color w:val="auto"/>
                <w:sz w:val="21"/>
                <w:szCs w:val="21"/>
              </w:rPr>
            </w:pPr>
            <w:r>
              <w:rPr>
                <w:rFonts w:cs="Times New Roman"/>
                <w:color w:val="auto"/>
                <w:sz w:val="21"/>
                <w:szCs w:val="21"/>
              </w:rPr>
              <w:t>满足生态保护红线、水环境质量底线、资源利用上线和环境准入清单管理要求</w:t>
            </w:r>
            <w:r>
              <w:rPr>
                <w:rFonts w:ascii="Segoe UI Symbol" w:hAnsi="Segoe UI Symbol" w:cs="Segoe UI Symbol"/>
                <w:color w:val="auto"/>
                <w:sz w:val="21"/>
                <w:szCs w:val="21"/>
              </w:rPr>
              <w:t>☐</w:t>
            </w:r>
            <w:r>
              <w:rPr>
                <w:rFonts w:cs="Times New Roman"/>
                <w:color w:val="auto"/>
                <w:sz w:val="21"/>
                <w:szCs w:val="21"/>
              </w:rPr>
              <w:t>；</w:t>
            </w:r>
          </w:p>
        </w:tc>
      </w:tr>
      <w:tr w14:paraId="32278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419FF6FF">
            <w:pPr>
              <w:spacing w:line="240" w:lineRule="auto"/>
              <w:rPr>
                <w:rFonts w:cs="Times New Roman"/>
                <w:color w:val="auto"/>
                <w:sz w:val="21"/>
                <w:szCs w:val="21"/>
              </w:rPr>
            </w:pPr>
          </w:p>
        </w:tc>
        <w:tc>
          <w:tcPr>
            <w:tcW w:w="1738" w:type="dxa"/>
            <w:vMerge w:val="restart"/>
            <w:vAlign w:val="center"/>
          </w:tcPr>
          <w:p w14:paraId="1BD0AF90">
            <w:pPr>
              <w:spacing w:line="240" w:lineRule="auto"/>
              <w:jc w:val="center"/>
              <w:rPr>
                <w:rFonts w:cs="Times New Roman"/>
                <w:color w:val="auto"/>
                <w:sz w:val="21"/>
                <w:szCs w:val="21"/>
              </w:rPr>
            </w:pPr>
            <w:r>
              <w:rPr>
                <w:rFonts w:cs="Times New Roman"/>
                <w:color w:val="auto"/>
                <w:sz w:val="21"/>
                <w:szCs w:val="21"/>
              </w:rPr>
              <w:t>污染源排放量核算</w:t>
            </w:r>
          </w:p>
        </w:tc>
        <w:tc>
          <w:tcPr>
            <w:tcW w:w="2486" w:type="dxa"/>
            <w:gridSpan w:val="3"/>
            <w:vAlign w:val="center"/>
          </w:tcPr>
          <w:p w14:paraId="3DC04D2B">
            <w:pPr>
              <w:spacing w:line="240" w:lineRule="auto"/>
              <w:jc w:val="center"/>
              <w:rPr>
                <w:rFonts w:cs="Times New Roman"/>
                <w:color w:val="auto"/>
                <w:sz w:val="21"/>
                <w:szCs w:val="21"/>
              </w:rPr>
            </w:pPr>
            <w:r>
              <w:rPr>
                <w:rFonts w:cs="Times New Roman"/>
                <w:color w:val="auto"/>
                <w:sz w:val="21"/>
                <w:szCs w:val="21"/>
              </w:rPr>
              <w:t>污染物名称</w:t>
            </w:r>
          </w:p>
        </w:tc>
        <w:tc>
          <w:tcPr>
            <w:tcW w:w="2472" w:type="dxa"/>
            <w:gridSpan w:val="4"/>
            <w:vAlign w:val="center"/>
          </w:tcPr>
          <w:p w14:paraId="41BF251E">
            <w:pPr>
              <w:spacing w:line="240" w:lineRule="auto"/>
              <w:jc w:val="center"/>
              <w:rPr>
                <w:rFonts w:cs="Times New Roman"/>
                <w:color w:val="auto"/>
                <w:sz w:val="21"/>
                <w:szCs w:val="21"/>
              </w:rPr>
            </w:pPr>
            <w:r>
              <w:rPr>
                <w:rFonts w:cs="Times New Roman"/>
                <w:color w:val="auto"/>
                <w:sz w:val="21"/>
                <w:szCs w:val="21"/>
              </w:rPr>
              <w:t>排放量/（t/a）</w:t>
            </w:r>
          </w:p>
        </w:tc>
        <w:tc>
          <w:tcPr>
            <w:tcW w:w="2477" w:type="dxa"/>
            <w:gridSpan w:val="5"/>
            <w:vAlign w:val="center"/>
          </w:tcPr>
          <w:p w14:paraId="0D6EA1B1">
            <w:pPr>
              <w:spacing w:line="240" w:lineRule="auto"/>
              <w:jc w:val="center"/>
              <w:rPr>
                <w:rFonts w:cs="Times New Roman"/>
                <w:color w:val="auto"/>
                <w:sz w:val="21"/>
                <w:szCs w:val="21"/>
              </w:rPr>
            </w:pPr>
            <w:r>
              <w:rPr>
                <w:rFonts w:cs="Times New Roman"/>
                <w:color w:val="auto"/>
                <w:sz w:val="21"/>
                <w:szCs w:val="21"/>
              </w:rPr>
              <w:t>排放浓度/（mg/L）</w:t>
            </w:r>
          </w:p>
        </w:tc>
      </w:tr>
      <w:tr w14:paraId="18A0CD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4974B2A7">
            <w:pPr>
              <w:spacing w:line="240" w:lineRule="auto"/>
              <w:rPr>
                <w:rFonts w:cs="Times New Roman"/>
                <w:color w:val="auto"/>
                <w:sz w:val="21"/>
                <w:szCs w:val="21"/>
              </w:rPr>
            </w:pPr>
          </w:p>
        </w:tc>
        <w:tc>
          <w:tcPr>
            <w:tcW w:w="1738" w:type="dxa"/>
            <w:vMerge w:val="continue"/>
            <w:vAlign w:val="center"/>
          </w:tcPr>
          <w:p w14:paraId="75EAEF0B">
            <w:pPr>
              <w:spacing w:line="240" w:lineRule="auto"/>
              <w:jc w:val="center"/>
              <w:rPr>
                <w:rFonts w:cs="Times New Roman"/>
                <w:color w:val="auto"/>
                <w:sz w:val="21"/>
                <w:szCs w:val="21"/>
              </w:rPr>
            </w:pPr>
          </w:p>
        </w:tc>
        <w:tc>
          <w:tcPr>
            <w:tcW w:w="2486" w:type="dxa"/>
            <w:gridSpan w:val="3"/>
            <w:vAlign w:val="center"/>
          </w:tcPr>
          <w:p w14:paraId="50A6296E">
            <w:pPr>
              <w:spacing w:line="240" w:lineRule="auto"/>
              <w:jc w:val="center"/>
              <w:rPr>
                <w:rFonts w:cs="Times New Roman"/>
                <w:color w:val="auto"/>
                <w:sz w:val="21"/>
                <w:szCs w:val="21"/>
              </w:rPr>
            </w:pPr>
            <w:r>
              <w:rPr>
                <w:rFonts w:cs="Times New Roman"/>
                <w:color w:val="auto"/>
                <w:sz w:val="21"/>
                <w:szCs w:val="21"/>
              </w:rPr>
              <w:t>（COD）</w:t>
            </w:r>
          </w:p>
        </w:tc>
        <w:tc>
          <w:tcPr>
            <w:tcW w:w="2472" w:type="dxa"/>
            <w:gridSpan w:val="4"/>
            <w:vAlign w:val="center"/>
          </w:tcPr>
          <w:p w14:paraId="13C9E78A">
            <w:pPr>
              <w:spacing w:line="240" w:lineRule="auto"/>
              <w:jc w:val="center"/>
              <w:rPr>
                <w:rFonts w:cs="Times New Roman"/>
                <w:color w:val="auto"/>
                <w:sz w:val="21"/>
                <w:szCs w:val="21"/>
              </w:rPr>
            </w:pPr>
            <w:r>
              <w:rPr>
                <w:rFonts w:cs="Times New Roman"/>
                <w:color w:val="auto"/>
                <w:sz w:val="21"/>
                <w:szCs w:val="21"/>
              </w:rPr>
              <w:t>（</w:t>
            </w:r>
            <w:r>
              <w:rPr>
                <w:rFonts w:hint="default" w:cs="Times New Roman"/>
                <w:color w:val="auto"/>
                <w:sz w:val="21"/>
                <w:szCs w:val="21"/>
                <w:lang w:val="en-US" w:eastAsia="zh-CN"/>
              </w:rPr>
              <w:t>0.055</w:t>
            </w:r>
            <w:r>
              <w:rPr>
                <w:rFonts w:cs="Times New Roman"/>
                <w:color w:val="auto"/>
                <w:sz w:val="21"/>
                <w:szCs w:val="21"/>
              </w:rPr>
              <w:t>）</w:t>
            </w:r>
          </w:p>
        </w:tc>
        <w:tc>
          <w:tcPr>
            <w:tcW w:w="2477" w:type="dxa"/>
            <w:gridSpan w:val="5"/>
            <w:vAlign w:val="center"/>
          </w:tcPr>
          <w:p w14:paraId="1730A522">
            <w:pPr>
              <w:spacing w:line="240" w:lineRule="auto"/>
              <w:jc w:val="center"/>
              <w:rPr>
                <w:rFonts w:cs="Times New Roman"/>
                <w:color w:val="auto"/>
                <w:sz w:val="21"/>
                <w:szCs w:val="21"/>
              </w:rPr>
            </w:pPr>
            <w:r>
              <w:rPr>
                <w:rFonts w:cs="Times New Roman"/>
                <w:color w:val="auto"/>
                <w:sz w:val="21"/>
                <w:szCs w:val="21"/>
              </w:rPr>
              <w:t>（</w:t>
            </w:r>
            <w:r>
              <w:rPr>
                <w:rFonts w:hint="eastAsia" w:cs="Times New Roman"/>
                <w:color w:val="auto"/>
                <w:sz w:val="21"/>
                <w:szCs w:val="21"/>
                <w:lang w:val="en-US" w:eastAsia="zh-CN"/>
              </w:rPr>
              <w:t>40</w:t>
            </w:r>
            <w:r>
              <w:rPr>
                <w:rFonts w:cs="Times New Roman"/>
                <w:color w:val="auto"/>
                <w:sz w:val="21"/>
                <w:szCs w:val="21"/>
              </w:rPr>
              <w:t>）</w:t>
            </w:r>
          </w:p>
        </w:tc>
      </w:tr>
      <w:tr w14:paraId="2A68B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615BCB6B">
            <w:pPr>
              <w:spacing w:line="240" w:lineRule="auto"/>
              <w:rPr>
                <w:rFonts w:cs="Times New Roman"/>
                <w:color w:val="auto"/>
                <w:sz w:val="21"/>
                <w:szCs w:val="21"/>
              </w:rPr>
            </w:pPr>
          </w:p>
        </w:tc>
        <w:tc>
          <w:tcPr>
            <w:tcW w:w="1738" w:type="dxa"/>
            <w:vMerge w:val="continue"/>
            <w:vAlign w:val="center"/>
          </w:tcPr>
          <w:p w14:paraId="64A1A2E3">
            <w:pPr>
              <w:spacing w:line="240" w:lineRule="auto"/>
              <w:jc w:val="center"/>
              <w:rPr>
                <w:rFonts w:cs="Times New Roman"/>
                <w:color w:val="auto"/>
                <w:sz w:val="21"/>
                <w:szCs w:val="21"/>
              </w:rPr>
            </w:pPr>
          </w:p>
        </w:tc>
        <w:tc>
          <w:tcPr>
            <w:tcW w:w="2486" w:type="dxa"/>
            <w:gridSpan w:val="3"/>
            <w:vAlign w:val="center"/>
          </w:tcPr>
          <w:p w14:paraId="6CE95260">
            <w:pPr>
              <w:spacing w:line="240" w:lineRule="auto"/>
              <w:jc w:val="center"/>
              <w:rPr>
                <w:rFonts w:cs="Times New Roman"/>
                <w:color w:val="auto"/>
                <w:sz w:val="21"/>
                <w:szCs w:val="21"/>
              </w:rPr>
            </w:pPr>
            <w:r>
              <w:rPr>
                <w:rFonts w:cs="Times New Roman"/>
                <w:color w:val="auto"/>
                <w:sz w:val="21"/>
                <w:szCs w:val="21"/>
              </w:rPr>
              <w:t>（NH</w:t>
            </w:r>
            <w:r>
              <w:rPr>
                <w:rFonts w:cs="Times New Roman"/>
                <w:color w:val="auto"/>
                <w:sz w:val="21"/>
                <w:szCs w:val="21"/>
                <w:vertAlign w:val="subscript"/>
              </w:rPr>
              <w:t>3</w:t>
            </w:r>
            <w:r>
              <w:rPr>
                <w:rFonts w:cs="Times New Roman"/>
                <w:color w:val="auto"/>
                <w:sz w:val="21"/>
                <w:szCs w:val="21"/>
              </w:rPr>
              <w:t>-N）</w:t>
            </w:r>
          </w:p>
        </w:tc>
        <w:tc>
          <w:tcPr>
            <w:tcW w:w="2472" w:type="dxa"/>
            <w:gridSpan w:val="4"/>
            <w:vAlign w:val="center"/>
          </w:tcPr>
          <w:p w14:paraId="0190000C">
            <w:pPr>
              <w:spacing w:line="240" w:lineRule="auto"/>
              <w:jc w:val="center"/>
              <w:rPr>
                <w:rFonts w:cs="Times New Roman"/>
                <w:color w:val="auto"/>
                <w:sz w:val="21"/>
                <w:szCs w:val="21"/>
              </w:rPr>
            </w:pPr>
            <w:r>
              <w:rPr>
                <w:rFonts w:cs="Times New Roman"/>
                <w:color w:val="auto"/>
                <w:sz w:val="21"/>
                <w:szCs w:val="21"/>
              </w:rPr>
              <w:t>（</w:t>
            </w:r>
            <w:r>
              <w:rPr>
                <w:rFonts w:hint="default" w:ascii="Times New Roman" w:hAnsi="Times New Roman" w:eastAsia="宋体" w:cs="Times New Roman"/>
                <w:i w:val="0"/>
                <w:iCs w:val="0"/>
                <w:color w:val="auto"/>
                <w:kern w:val="0"/>
                <w:sz w:val="21"/>
                <w:szCs w:val="21"/>
                <w:u w:val="none"/>
                <w:lang w:val="en-US" w:eastAsia="zh-CN" w:bidi="ar"/>
              </w:rPr>
              <w:t>0.008</w:t>
            </w:r>
            <w:r>
              <w:rPr>
                <w:rFonts w:cs="Times New Roman"/>
                <w:color w:val="auto"/>
                <w:sz w:val="21"/>
                <w:szCs w:val="21"/>
              </w:rPr>
              <w:t>）</w:t>
            </w:r>
          </w:p>
        </w:tc>
        <w:tc>
          <w:tcPr>
            <w:tcW w:w="2477" w:type="dxa"/>
            <w:gridSpan w:val="5"/>
            <w:vAlign w:val="center"/>
          </w:tcPr>
          <w:p w14:paraId="3C1487E7">
            <w:pPr>
              <w:spacing w:line="240" w:lineRule="auto"/>
              <w:jc w:val="center"/>
              <w:rPr>
                <w:rFonts w:cs="Times New Roman"/>
                <w:color w:val="auto"/>
                <w:sz w:val="21"/>
                <w:szCs w:val="21"/>
              </w:rPr>
            </w:pPr>
            <w:r>
              <w:rPr>
                <w:rFonts w:cs="Times New Roman"/>
                <w:color w:val="auto"/>
                <w:sz w:val="21"/>
                <w:szCs w:val="21"/>
              </w:rPr>
              <w:t>（</w:t>
            </w:r>
            <w:r>
              <w:rPr>
                <w:rFonts w:hint="eastAsia" w:cs="Times New Roman"/>
                <w:color w:val="auto"/>
                <w:sz w:val="21"/>
                <w:szCs w:val="21"/>
                <w:lang w:val="en-US" w:eastAsia="zh-CN"/>
              </w:rPr>
              <w:t>6</w:t>
            </w:r>
            <w:r>
              <w:rPr>
                <w:rFonts w:cs="Times New Roman"/>
                <w:color w:val="auto"/>
                <w:sz w:val="21"/>
                <w:szCs w:val="21"/>
              </w:rPr>
              <w:t>）</w:t>
            </w:r>
          </w:p>
        </w:tc>
      </w:tr>
      <w:tr w14:paraId="71AC3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2708C716">
            <w:pPr>
              <w:spacing w:line="240" w:lineRule="auto"/>
              <w:rPr>
                <w:rFonts w:cs="Times New Roman"/>
                <w:color w:val="auto"/>
                <w:sz w:val="21"/>
                <w:szCs w:val="21"/>
              </w:rPr>
            </w:pPr>
          </w:p>
        </w:tc>
        <w:tc>
          <w:tcPr>
            <w:tcW w:w="1738" w:type="dxa"/>
            <w:vMerge w:val="restart"/>
            <w:vAlign w:val="center"/>
          </w:tcPr>
          <w:p w14:paraId="0E974CA4">
            <w:pPr>
              <w:spacing w:line="240" w:lineRule="auto"/>
              <w:jc w:val="center"/>
              <w:rPr>
                <w:rFonts w:cs="Times New Roman"/>
                <w:color w:val="auto"/>
                <w:sz w:val="21"/>
                <w:szCs w:val="21"/>
              </w:rPr>
            </w:pPr>
            <w:r>
              <w:rPr>
                <w:rFonts w:cs="Times New Roman"/>
                <w:color w:val="auto"/>
                <w:sz w:val="21"/>
                <w:szCs w:val="21"/>
              </w:rPr>
              <w:t>替代源排放情况</w:t>
            </w:r>
          </w:p>
        </w:tc>
        <w:tc>
          <w:tcPr>
            <w:tcW w:w="1489" w:type="dxa"/>
            <w:gridSpan w:val="2"/>
            <w:vAlign w:val="center"/>
          </w:tcPr>
          <w:p w14:paraId="33B7AABB">
            <w:pPr>
              <w:spacing w:line="240" w:lineRule="auto"/>
              <w:rPr>
                <w:rFonts w:cs="Times New Roman"/>
                <w:color w:val="auto"/>
                <w:sz w:val="21"/>
                <w:szCs w:val="21"/>
              </w:rPr>
            </w:pPr>
            <w:r>
              <w:rPr>
                <w:rFonts w:cs="Times New Roman"/>
                <w:color w:val="auto"/>
                <w:sz w:val="21"/>
                <w:szCs w:val="21"/>
              </w:rPr>
              <w:t>污染源名称</w:t>
            </w:r>
          </w:p>
        </w:tc>
        <w:tc>
          <w:tcPr>
            <w:tcW w:w="1488" w:type="dxa"/>
            <w:gridSpan w:val="3"/>
            <w:vAlign w:val="center"/>
          </w:tcPr>
          <w:p w14:paraId="357B4EB2">
            <w:pPr>
              <w:spacing w:line="240" w:lineRule="auto"/>
              <w:rPr>
                <w:rFonts w:cs="Times New Roman"/>
                <w:color w:val="auto"/>
                <w:sz w:val="21"/>
                <w:szCs w:val="21"/>
              </w:rPr>
            </w:pPr>
            <w:r>
              <w:rPr>
                <w:rFonts w:cs="Times New Roman"/>
                <w:color w:val="auto"/>
                <w:sz w:val="21"/>
                <w:szCs w:val="21"/>
              </w:rPr>
              <w:t>排放许可证编号</w:t>
            </w:r>
          </w:p>
        </w:tc>
        <w:tc>
          <w:tcPr>
            <w:tcW w:w="1488" w:type="dxa"/>
            <w:vAlign w:val="center"/>
          </w:tcPr>
          <w:p w14:paraId="20807D36">
            <w:pPr>
              <w:spacing w:line="240" w:lineRule="auto"/>
              <w:rPr>
                <w:rFonts w:cs="Times New Roman"/>
                <w:color w:val="auto"/>
                <w:sz w:val="21"/>
                <w:szCs w:val="21"/>
              </w:rPr>
            </w:pPr>
            <w:r>
              <w:rPr>
                <w:rFonts w:cs="Times New Roman"/>
                <w:color w:val="auto"/>
                <w:sz w:val="21"/>
                <w:szCs w:val="21"/>
              </w:rPr>
              <w:t>污染物名称</w:t>
            </w:r>
          </w:p>
        </w:tc>
        <w:tc>
          <w:tcPr>
            <w:tcW w:w="1453" w:type="dxa"/>
            <w:gridSpan w:val="5"/>
            <w:vAlign w:val="center"/>
          </w:tcPr>
          <w:p w14:paraId="601B242C">
            <w:pPr>
              <w:spacing w:line="240" w:lineRule="auto"/>
              <w:rPr>
                <w:rFonts w:cs="Times New Roman"/>
                <w:color w:val="auto"/>
                <w:sz w:val="21"/>
                <w:szCs w:val="21"/>
              </w:rPr>
            </w:pPr>
            <w:r>
              <w:rPr>
                <w:rFonts w:cs="Times New Roman"/>
                <w:color w:val="auto"/>
                <w:sz w:val="21"/>
                <w:szCs w:val="21"/>
              </w:rPr>
              <w:t>排放量/（t/a）</w:t>
            </w:r>
          </w:p>
        </w:tc>
        <w:tc>
          <w:tcPr>
            <w:tcW w:w="1517" w:type="dxa"/>
            <w:vAlign w:val="center"/>
          </w:tcPr>
          <w:p w14:paraId="6D9F12A5">
            <w:pPr>
              <w:spacing w:line="240" w:lineRule="auto"/>
              <w:rPr>
                <w:rFonts w:cs="Times New Roman"/>
                <w:color w:val="auto"/>
                <w:sz w:val="21"/>
                <w:szCs w:val="21"/>
              </w:rPr>
            </w:pPr>
            <w:r>
              <w:rPr>
                <w:rFonts w:cs="Times New Roman"/>
                <w:color w:val="auto"/>
                <w:sz w:val="21"/>
                <w:szCs w:val="21"/>
              </w:rPr>
              <w:t>排放浓度/（mg/L）</w:t>
            </w:r>
          </w:p>
        </w:tc>
      </w:tr>
      <w:tr w14:paraId="1A1DA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5F19B098">
            <w:pPr>
              <w:spacing w:line="240" w:lineRule="auto"/>
              <w:rPr>
                <w:rFonts w:cs="Times New Roman"/>
                <w:color w:val="auto"/>
                <w:sz w:val="21"/>
                <w:szCs w:val="21"/>
              </w:rPr>
            </w:pPr>
          </w:p>
        </w:tc>
        <w:tc>
          <w:tcPr>
            <w:tcW w:w="1738" w:type="dxa"/>
            <w:vMerge w:val="continue"/>
            <w:vAlign w:val="center"/>
          </w:tcPr>
          <w:p w14:paraId="76586512">
            <w:pPr>
              <w:spacing w:line="240" w:lineRule="auto"/>
              <w:jc w:val="center"/>
              <w:rPr>
                <w:rFonts w:cs="Times New Roman"/>
                <w:color w:val="auto"/>
                <w:sz w:val="21"/>
                <w:szCs w:val="21"/>
              </w:rPr>
            </w:pPr>
          </w:p>
        </w:tc>
        <w:tc>
          <w:tcPr>
            <w:tcW w:w="1489" w:type="dxa"/>
            <w:gridSpan w:val="2"/>
            <w:vAlign w:val="center"/>
          </w:tcPr>
          <w:p w14:paraId="3AA4B8A0">
            <w:pPr>
              <w:spacing w:line="240" w:lineRule="auto"/>
              <w:rPr>
                <w:rFonts w:cs="Times New Roman"/>
                <w:color w:val="auto"/>
                <w:sz w:val="21"/>
                <w:szCs w:val="21"/>
              </w:rPr>
            </w:pPr>
            <w:r>
              <w:rPr>
                <w:rFonts w:cs="Times New Roman"/>
                <w:color w:val="auto"/>
                <w:sz w:val="21"/>
                <w:szCs w:val="21"/>
              </w:rPr>
              <w:t>（    ）</w:t>
            </w:r>
          </w:p>
        </w:tc>
        <w:tc>
          <w:tcPr>
            <w:tcW w:w="1488" w:type="dxa"/>
            <w:gridSpan w:val="3"/>
            <w:vAlign w:val="center"/>
          </w:tcPr>
          <w:p w14:paraId="03976BCC">
            <w:pPr>
              <w:spacing w:line="240" w:lineRule="auto"/>
              <w:rPr>
                <w:rFonts w:cs="Times New Roman"/>
                <w:color w:val="auto"/>
                <w:sz w:val="21"/>
                <w:szCs w:val="21"/>
              </w:rPr>
            </w:pPr>
            <w:r>
              <w:rPr>
                <w:rFonts w:cs="Times New Roman"/>
                <w:color w:val="auto"/>
                <w:sz w:val="21"/>
                <w:szCs w:val="21"/>
              </w:rPr>
              <w:t>（    ）</w:t>
            </w:r>
          </w:p>
        </w:tc>
        <w:tc>
          <w:tcPr>
            <w:tcW w:w="1488" w:type="dxa"/>
            <w:vAlign w:val="center"/>
          </w:tcPr>
          <w:p w14:paraId="2C3AF083">
            <w:pPr>
              <w:spacing w:line="240" w:lineRule="auto"/>
              <w:rPr>
                <w:rFonts w:cs="Times New Roman"/>
                <w:color w:val="auto"/>
                <w:sz w:val="21"/>
                <w:szCs w:val="21"/>
              </w:rPr>
            </w:pPr>
            <w:r>
              <w:rPr>
                <w:rFonts w:cs="Times New Roman"/>
                <w:color w:val="auto"/>
                <w:sz w:val="21"/>
                <w:szCs w:val="21"/>
              </w:rPr>
              <w:t>（    ）</w:t>
            </w:r>
          </w:p>
        </w:tc>
        <w:tc>
          <w:tcPr>
            <w:tcW w:w="1453" w:type="dxa"/>
            <w:gridSpan w:val="5"/>
            <w:vAlign w:val="center"/>
          </w:tcPr>
          <w:p w14:paraId="42EA51B8">
            <w:pPr>
              <w:spacing w:line="240" w:lineRule="auto"/>
              <w:rPr>
                <w:rFonts w:cs="Times New Roman"/>
                <w:color w:val="auto"/>
                <w:sz w:val="21"/>
                <w:szCs w:val="21"/>
              </w:rPr>
            </w:pPr>
            <w:r>
              <w:rPr>
                <w:rFonts w:cs="Times New Roman"/>
                <w:color w:val="auto"/>
                <w:sz w:val="21"/>
                <w:szCs w:val="21"/>
              </w:rPr>
              <w:t>（    ）</w:t>
            </w:r>
          </w:p>
        </w:tc>
        <w:tc>
          <w:tcPr>
            <w:tcW w:w="1517" w:type="dxa"/>
            <w:vAlign w:val="center"/>
          </w:tcPr>
          <w:p w14:paraId="36519D00">
            <w:pPr>
              <w:spacing w:line="240" w:lineRule="auto"/>
              <w:rPr>
                <w:rFonts w:cs="Times New Roman"/>
                <w:color w:val="auto"/>
                <w:sz w:val="21"/>
                <w:szCs w:val="21"/>
              </w:rPr>
            </w:pPr>
            <w:r>
              <w:rPr>
                <w:rFonts w:cs="Times New Roman"/>
                <w:color w:val="auto"/>
                <w:sz w:val="21"/>
                <w:szCs w:val="21"/>
              </w:rPr>
              <w:t>（    ）</w:t>
            </w:r>
          </w:p>
        </w:tc>
      </w:tr>
      <w:tr w14:paraId="66065B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318E739F">
            <w:pPr>
              <w:spacing w:line="240" w:lineRule="auto"/>
              <w:rPr>
                <w:rFonts w:cs="Times New Roman"/>
                <w:color w:val="auto"/>
                <w:sz w:val="21"/>
                <w:szCs w:val="21"/>
              </w:rPr>
            </w:pPr>
          </w:p>
        </w:tc>
        <w:tc>
          <w:tcPr>
            <w:tcW w:w="1738" w:type="dxa"/>
            <w:vAlign w:val="center"/>
          </w:tcPr>
          <w:p w14:paraId="4E61A25B">
            <w:pPr>
              <w:spacing w:line="240" w:lineRule="auto"/>
              <w:jc w:val="center"/>
              <w:rPr>
                <w:rFonts w:cs="Times New Roman"/>
                <w:color w:val="auto"/>
                <w:sz w:val="21"/>
                <w:szCs w:val="21"/>
              </w:rPr>
            </w:pPr>
            <w:r>
              <w:rPr>
                <w:rFonts w:cs="Times New Roman"/>
                <w:color w:val="auto"/>
                <w:sz w:val="21"/>
                <w:szCs w:val="21"/>
              </w:rPr>
              <w:t>生态流量确定</w:t>
            </w:r>
          </w:p>
        </w:tc>
        <w:tc>
          <w:tcPr>
            <w:tcW w:w="7435" w:type="dxa"/>
            <w:gridSpan w:val="12"/>
            <w:vAlign w:val="center"/>
          </w:tcPr>
          <w:p w14:paraId="24B72BBE">
            <w:pPr>
              <w:spacing w:line="240" w:lineRule="auto"/>
              <w:rPr>
                <w:rFonts w:cs="Times New Roman"/>
                <w:color w:val="auto"/>
                <w:sz w:val="21"/>
                <w:szCs w:val="21"/>
              </w:rPr>
            </w:pPr>
            <w:r>
              <w:rPr>
                <w:rFonts w:cs="Times New Roman"/>
                <w:color w:val="auto"/>
                <w:sz w:val="21"/>
                <w:szCs w:val="21"/>
              </w:rPr>
              <w:t>生态流量：一般水期（  ）m</w:t>
            </w:r>
            <w:r>
              <w:rPr>
                <w:rFonts w:cs="Times New Roman"/>
                <w:color w:val="auto"/>
                <w:sz w:val="21"/>
                <w:szCs w:val="21"/>
                <w:vertAlign w:val="superscript"/>
              </w:rPr>
              <w:t>3</w:t>
            </w:r>
            <w:r>
              <w:rPr>
                <w:rFonts w:cs="Times New Roman"/>
                <w:color w:val="auto"/>
                <w:sz w:val="21"/>
                <w:szCs w:val="21"/>
              </w:rPr>
              <w:t>/s；鱼类繁殖期（  ）m</w:t>
            </w:r>
            <w:r>
              <w:rPr>
                <w:rFonts w:cs="Times New Roman"/>
                <w:color w:val="auto"/>
                <w:sz w:val="21"/>
                <w:szCs w:val="21"/>
                <w:vertAlign w:val="superscript"/>
              </w:rPr>
              <w:t>3</w:t>
            </w:r>
            <w:r>
              <w:rPr>
                <w:rFonts w:cs="Times New Roman"/>
                <w:color w:val="auto"/>
                <w:sz w:val="21"/>
                <w:szCs w:val="21"/>
              </w:rPr>
              <w:t>/s；其他（  ）m</w:t>
            </w:r>
            <w:r>
              <w:rPr>
                <w:rFonts w:cs="Times New Roman"/>
                <w:color w:val="auto"/>
                <w:sz w:val="21"/>
                <w:szCs w:val="21"/>
                <w:vertAlign w:val="superscript"/>
              </w:rPr>
              <w:t>3</w:t>
            </w:r>
            <w:r>
              <w:rPr>
                <w:rFonts w:cs="Times New Roman"/>
                <w:color w:val="auto"/>
                <w:sz w:val="21"/>
                <w:szCs w:val="21"/>
              </w:rPr>
              <w:t>/s；</w:t>
            </w:r>
          </w:p>
          <w:p w14:paraId="556A4012">
            <w:pPr>
              <w:spacing w:line="240" w:lineRule="auto"/>
              <w:rPr>
                <w:rFonts w:cs="Times New Roman"/>
                <w:color w:val="auto"/>
                <w:sz w:val="21"/>
                <w:szCs w:val="21"/>
              </w:rPr>
            </w:pPr>
            <w:r>
              <w:rPr>
                <w:rFonts w:cs="Times New Roman"/>
                <w:color w:val="auto"/>
                <w:sz w:val="21"/>
                <w:szCs w:val="21"/>
              </w:rPr>
              <w:t>生态水位：一般水期（  ）m；鱼类繁殖期（  ）m；其他（  ）m；</w:t>
            </w:r>
          </w:p>
        </w:tc>
      </w:tr>
      <w:tr w14:paraId="43A26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restart"/>
            <w:vAlign w:val="center"/>
          </w:tcPr>
          <w:p w14:paraId="4FB0A24A">
            <w:pPr>
              <w:spacing w:line="240" w:lineRule="auto"/>
              <w:rPr>
                <w:rFonts w:cs="Times New Roman"/>
                <w:color w:val="auto"/>
                <w:sz w:val="21"/>
                <w:szCs w:val="21"/>
              </w:rPr>
            </w:pPr>
            <w:r>
              <w:rPr>
                <w:rFonts w:cs="Times New Roman"/>
                <w:color w:val="auto"/>
                <w:sz w:val="21"/>
                <w:szCs w:val="21"/>
              </w:rPr>
              <w:t>防治措施</w:t>
            </w:r>
          </w:p>
        </w:tc>
        <w:tc>
          <w:tcPr>
            <w:tcW w:w="1738" w:type="dxa"/>
            <w:vAlign w:val="center"/>
          </w:tcPr>
          <w:p w14:paraId="2CB8230F">
            <w:pPr>
              <w:spacing w:line="240" w:lineRule="auto"/>
              <w:jc w:val="center"/>
              <w:rPr>
                <w:rFonts w:cs="Times New Roman"/>
                <w:color w:val="auto"/>
                <w:sz w:val="21"/>
                <w:szCs w:val="21"/>
              </w:rPr>
            </w:pPr>
            <w:r>
              <w:rPr>
                <w:rFonts w:cs="Times New Roman"/>
                <w:color w:val="auto"/>
                <w:sz w:val="21"/>
                <w:szCs w:val="21"/>
              </w:rPr>
              <w:t>环境措施</w:t>
            </w:r>
          </w:p>
        </w:tc>
        <w:tc>
          <w:tcPr>
            <w:tcW w:w="7435" w:type="dxa"/>
            <w:gridSpan w:val="12"/>
            <w:vAlign w:val="center"/>
          </w:tcPr>
          <w:p w14:paraId="7803D338">
            <w:pPr>
              <w:spacing w:line="240" w:lineRule="auto"/>
              <w:rPr>
                <w:rFonts w:cs="Times New Roman"/>
                <w:color w:val="auto"/>
                <w:sz w:val="21"/>
                <w:szCs w:val="21"/>
              </w:rPr>
            </w:pPr>
            <w:r>
              <w:rPr>
                <w:rFonts w:cs="Times New Roman"/>
                <w:color w:val="auto"/>
                <w:sz w:val="21"/>
                <w:szCs w:val="21"/>
              </w:rPr>
              <w:t xml:space="preserve">污水处理设施 </w:t>
            </w:r>
            <w:r>
              <w:rPr>
                <w:rFonts w:ascii="Segoe UI Symbol" w:hAnsi="Segoe UI Symbol" w:cs="Segoe UI Symbol"/>
                <w:color w:val="auto"/>
                <w:sz w:val="21"/>
                <w:szCs w:val="21"/>
              </w:rPr>
              <w:t>☐</w:t>
            </w:r>
            <w:r>
              <w:rPr>
                <w:rFonts w:cs="Times New Roman"/>
                <w:color w:val="auto"/>
                <w:sz w:val="21"/>
                <w:szCs w:val="21"/>
              </w:rPr>
              <w:t xml:space="preserve">；水文减缓设施 </w:t>
            </w:r>
            <w:r>
              <w:rPr>
                <w:rFonts w:ascii="Segoe UI Symbol" w:hAnsi="Segoe UI Symbol" w:cs="Segoe UI Symbol"/>
                <w:color w:val="auto"/>
                <w:sz w:val="21"/>
                <w:szCs w:val="21"/>
              </w:rPr>
              <w:t>☐</w:t>
            </w:r>
            <w:r>
              <w:rPr>
                <w:rFonts w:cs="Times New Roman"/>
                <w:color w:val="auto"/>
                <w:sz w:val="21"/>
                <w:szCs w:val="21"/>
              </w:rPr>
              <w:t xml:space="preserve">；生态流量保障设施 </w:t>
            </w:r>
            <w:r>
              <w:rPr>
                <w:rFonts w:ascii="Segoe UI Symbol" w:hAnsi="Segoe UI Symbol" w:cs="Segoe UI Symbol"/>
                <w:color w:val="auto"/>
                <w:sz w:val="21"/>
                <w:szCs w:val="21"/>
              </w:rPr>
              <w:t>☐</w:t>
            </w:r>
            <w:r>
              <w:rPr>
                <w:rFonts w:cs="Times New Roman"/>
                <w:color w:val="auto"/>
                <w:sz w:val="21"/>
                <w:szCs w:val="21"/>
              </w:rPr>
              <w:t xml:space="preserve">；区域消减 </w:t>
            </w:r>
            <w:r>
              <w:rPr>
                <w:rFonts w:ascii="Segoe UI Symbol" w:hAnsi="Segoe UI Symbol" w:cs="Segoe UI Symbol"/>
                <w:color w:val="auto"/>
                <w:sz w:val="21"/>
                <w:szCs w:val="21"/>
              </w:rPr>
              <w:t>☐</w:t>
            </w:r>
            <w:r>
              <w:rPr>
                <w:rFonts w:cs="Times New Roman"/>
                <w:color w:val="auto"/>
                <w:sz w:val="21"/>
                <w:szCs w:val="21"/>
              </w:rPr>
              <w:t xml:space="preserve">；依托其他工程措施 </w:t>
            </w:r>
            <w:r>
              <w:rPr>
                <w:rFonts w:ascii="Segoe UI Symbol" w:hAnsi="Segoe UI Symbol" w:cs="Segoe UI Symbol"/>
                <w:color w:val="auto"/>
                <w:sz w:val="21"/>
                <w:szCs w:val="21"/>
              </w:rPr>
              <w:t>☐</w:t>
            </w:r>
            <w:r>
              <w:rPr>
                <w:rFonts w:cs="Times New Roman"/>
                <w:color w:val="auto"/>
                <w:sz w:val="21"/>
                <w:szCs w:val="21"/>
              </w:rPr>
              <w:t xml:space="preserve">；其他 </w:t>
            </w:r>
            <w:r>
              <w:rPr>
                <w:rFonts w:ascii="Segoe UI Symbol" w:hAnsi="Segoe UI Symbol" w:cs="Segoe UI Symbol"/>
                <w:color w:val="auto"/>
                <w:sz w:val="21"/>
                <w:szCs w:val="21"/>
              </w:rPr>
              <w:t>☐</w:t>
            </w:r>
            <w:r>
              <w:rPr>
                <w:rFonts w:cs="Times New Roman"/>
                <w:color w:val="auto"/>
                <w:sz w:val="21"/>
                <w:szCs w:val="21"/>
              </w:rPr>
              <w:t>；</w:t>
            </w:r>
          </w:p>
        </w:tc>
      </w:tr>
      <w:tr w14:paraId="4C24C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0C6B84F5">
            <w:pPr>
              <w:spacing w:line="240" w:lineRule="auto"/>
              <w:rPr>
                <w:rFonts w:cs="Times New Roman"/>
                <w:color w:val="auto"/>
                <w:sz w:val="21"/>
                <w:szCs w:val="21"/>
              </w:rPr>
            </w:pPr>
          </w:p>
        </w:tc>
        <w:tc>
          <w:tcPr>
            <w:tcW w:w="1738" w:type="dxa"/>
            <w:vMerge w:val="restart"/>
            <w:vAlign w:val="center"/>
          </w:tcPr>
          <w:p w14:paraId="0E0BB95C">
            <w:pPr>
              <w:spacing w:line="240" w:lineRule="auto"/>
              <w:jc w:val="center"/>
              <w:rPr>
                <w:rFonts w:cs="Times New Roman"/>
                <w:color w:val="auto"/>
                <w:sz w:val="21"/>
                <w:szCs w:val="21"/>
              </w:rPr>
            </w:pPr>
            <w:r>
              <w:rPr>
                <w:rFonts w:cs="Times New Roman"/>
                <w:color w:val="auto"/>
                <w:sz w:val="21"/>
                <w:szCs w:val="21"/>
              </w:rPr>
              <w:t>监测计划</w:t>
            </w:r>
          </w:p>
        </w:tc>
        <w:tc>
          <w:tcPr>
            <w:tcW w:w="2486" w:type="dxa"/>
            <w:gridSpan w:val="3"/>
            <w:vAlign w:val="center"/>
          </w:tcPr>
          <w:p w14:paraId="353F04E5">
            <w:pPr>
              <w:spacing w:line="240" w:lineRule="auto"/>
              <w:rPr>
                <w:rFonts w:cs="Times New Roman"/>
                <w:color w:val="auto"/>
                <w:sz w:val="21"/>
                <w:szCs w:val="21"/>
              </w:rPr>
            </w:pPr>
          </w:p>
        </w:tc>
        <w:tc>
          <w:tcPr>
            <w:tcW w:w="2472" w:type="dxa"/>
            <w:gridSpan w:val="4"/>
            <w:vAlign w:val="center"/>
          </w:tcPr>
          <w:p w14:paraId="1A51D957">
            <w:pPr>
              <w:spacing w:line="240" w:lineRule="auto"/>
              <w:jc w:val="center"/>
              <w:rPr>
                <w:rFonts w:cs="Times New Roman"/>
                <w:color w:val="auto"/>
                <w:sz w:val="21"/>
                <w:szCs w:val="21"/>
              </w:rPr>
            </w:pPr>
            <w:r>
              <w:rPr>
                <w:rFonts w:cs="Times New Roman"/>
                <w:color w:val="auto"/>
                <w:sz w:val="21"/>
                <w:szCs w:val="21"/>
              </w:rPr>
              <w:t>环境质量</w:t>
            </w:r>
          </w:p>
        </w:tc>
        <w:tc>
          <w:tcPr>
            <w:tcW w:w="2477" w:type="dxa"/>
            <w:gridSpan w:val="5"/>
            <w:vAlign w:val="center"/>
          </w:tcPr>
          <w:p w14:paraId="7FA5A0E7">
            <w:pPr>
              <w:spacing w:line="240" w:lineRule="auto"/>
              <w:jc w:val="center"/>
              <w:rPr>
                <w:rFonts w:cs="Times New Roman"/>
                <w:color w:val="auto"/>
                <w:sz w:val="21"/>
                <w:szCs w:val="21"/>
              </w:rPr>
            </w:pPr>
            <w:r>
              <w:rPr>
                <w:rFonts w:cs="Times New Roman"/>
                <w:color w:val="auto"/>
                <w:sz w:val="21"/>
                <w:szCs w:val="21"/>
              </w:rPr>
              <w:t>污染源</w:t>
            </w:r>
          </w:p>
        </w:tc>
      </w:tr>
      <w:tr w14:paraId="405B4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16C13C51">
            <w:pPr>
              <w:spacing w:line="240" w:lineRule="auto"/>
              <w:rPr>
                <w:rFonts w:cs="Times New Roman"/>
                <w:color w:val="auto"/>
                <w:sz w:val="21"/>
                <w:szCs w:val="21"/>
              </w:rPr>
            </w:pPr>
          </w:p>
        </w:tc>
        <w:tc>
          <w:tcPr>
            <w:tcW w:w="1738" w:type="dxa"/>
            <w:vMerge w:val="continue"/>
            <w:vAlign w:val="center"/>
          </w:tcPr>
          <w:p w14:paraId="61AC4CE7">
            <w:pPr>
              <w:spacing w:line="240" w:lineRule="auto"/>
              <w:jc w:val="center"/>
              <w:rPr>
                <w:rFonts w:cs="Times New Roman"/>
                <w:color w:val="auto"/>
                <w:sz w:val="21"/>
                <w:szCs w:val="21"/>
              </w:rPr>
            </w:pPr>
          </w:p>
        </w:tc>
        <w:tc>
          <w:tcPr>
            <w:tcW w:w="2486" w:type="dxa"/>
            <w:gridSpan w:val="3"/>
            <w:vAlign w:val="center"/>
          </w:tcPr>
          <w:p w14:paraId="45EF3F1D">
            <w:pPr>
              <w:spacing w:line="240" w:lineRule="auto"/>
              <w:jc w:val="center"/>
              <w:rPr>
                <w:rFonts w:cs="Times New Roman"/>
                <w:color w:val="auto"/>
                <w:sz w:val="21"/>
                <w:szCs w:val="21"/>
              </w:rPr>
            </w:pPr>
            <w:r>
              <w:rPr>
                <w:rFonts w:cs="Times New Roman"/>
                <w:color w:val="auto"/>
                <w:sz w:val="21"/>
                <w:szCs w:val="21"/>
              </w:rPr>
              <w:t>监测方式</w:t>
            </w:r>
          </w:p>
        </w:tc>
        <w:tc>
          <w:tcPr>
            <w:tcW w:w="2472" w:type="dxa"/>
            <w:gridSpan w:val="4"/>
            <w:vAlign w:val="center"/>
          </w:tcPr>
          <w:p w14:paraId="43EF7B0B">
            <w:pPr>
              <w:spacing w:line="240" w:lineRule="auto"/>
              <w:rPr>
                <w:rFonts w:cs="Times New Roman"/>
                <w:color w:val="auto"/>
                <w:sz w:val="21"/>
                <w:szCs w:val="21"/>
              </w:rPr>
            </w:pPr>
            <w:r>
              <w:rPr>
                <w:rFonts w:cs="Times New Roman"/>
                <w:color w:val="auto"/>
                <w:sz w:val="21"/>
                <w:szCs w:val="21"/>
              </w:rPr>
              <w:t xml:space="preserve">手动 </w:t>
            </w:r>
            <w:r>
              <w:rPr>
                <w:rFonts w:ascii="Segoe UI Symbol" w:hAnsi="Segoe UI Symbol" w:cs="Segoe UI Symbol"/>
                <w:color w:val="auto"/>
                <w:sz w:val="21"/>
                <w:szCs w:val="21"/>
              </w:rPr>
              <w:t>☐</w:t>
            </w:r>
            <w:r>
              <w:rPr>
                <w:rFonts w:cs="Times New Roman"/>
                <w:color w:val="auto"/>
                <w:sz w:val="21"/>
                <w:szCs w:val="21"/>
              </w:rPr>
              <w:t xml:space="preserve">；自动 </w:t>
            </w:r>
            <w:r>
              <w:rPr>
                <w:rFonts w:ascii="Segoe UI Symbol" w:hAnsi="Segoe UI Symbol" w:cs="Segoe UI Symbol"/>
                <w:color w:val="auto"/>
                <w:sz w:val="21"/>
                <w:szCs w:val="21"/>
              </w:rPr>
              <w:t>☐</w:t>
            </w:r>
            <w:r>
              <w:rPr>
                <w:rFonts w:cs="Times New Roman"/>
                <w:color w:val="auto"/>
                <w:sz w:val="21"/>
                <w:szCs w:val="21"/>
              </w:rPr>
              <w:t xml:space="preserve">；无监测 </w:t>
            </w:r>
            <w:r>
              <w:rPr>
                <w:rFonts w:ascii="Segoe UI Symbol" w:hAnsi="Segoe UI Symbol" w:cs="Segoe UI Symbol"/>
                <w:color w:val="auto"/>
                <w:sz w:val="21"/>
                <w:szCs w:val="21"/>
              </w:rPr>
              <w:t>☐</w:t>
            </w:r>
            <w:r>
              <w:rPr>
                <w:rFonts w:cs="Times New Roman"/>
                <w:color w:val="auto"/>
                <w:sz w:val="21"/>
                <w:szCs w:val="21"/>
              </w:rPr>
              <w:t>；</w:t>
            </w:r>
          </w:p>
        </w:tc>
        <w:tc>
          <w:tcPr>
            <w:tcW w:w="2477" w:type="dxa"/>
            <w:gridSpan w:val="5"/>
            <w:vAlign w:val="center"/>
          </w:tcPr>
          <w:p w14:paraId="1565B6C0">
            <w:pPr>
              <w:spacing w:line="240" w:lineRule="auto"/>
              <w:rPr>
                <w:rFonts w:cs="Times New Roman"/>
                <w:color w:val="auto"/>
                <w:sz w:val="21"/>
                <w:szCs w:val="21"/>
              </w:rPr>
            </w:pPr>
            <w:r>
              <w:rPr>
                <w:rFonts w:cs="Times New Roman"/>
                <w:color w:val="auto"/>
                <w:sz w:val="21"/>
                <w:szCs w:val="21"/>
              </w:rPr>
              <w:t>手动</w:t>
            </w:r>
            <w:r>
              <w:rPr>
                <w:rFonts w:ascii="Segoe UI Symbol" w:hAnsi="Segoe UI Symbol" w:cs="Segoe UI Symbol"/>
                <w:color w:val="auto"/>
                <w:sz w:val="21"/>
                <w:szCs w:val="21"/>
              </w:rPr>
              <w:t>☐</w:t>
            </w:r>
            <w:r>
              <w:rPr>
                <w:rFonts w:cs="Times New Roman"/>
                <w:color w:val="auto"/>
                <w:sz w:val="21"/>
                <w:szCs w:val="21"/>
              </w:rPr>
              <w:t xml:space="preserve">；自动√；无监测 </w:t>
            </w:r>
            <w:bookmarkStart w:id="92" w:name="OLE_LINK10"/>
            <w:r>
              <w:rPr>
                <w:rFonts w:ascii="Segoe UI Symbol" w:hAnsi="Segoe UI Symbol" w:cs="Segoe UI Symbol"/>
                <w:color w:val="auto"/>
                <w:sz w:val="21"/>
                <w:szCs w:val="21"/>
              </w:rPr>
              <w:t>☐</w:t>
            </w:r>
            <w:bookmarkEnd w:id="92"/>
            <w:r>
              <w:rPr>
                <w:rFonts w:cs="Times New Roman"/>
                <w:color w:val="auto"/>
                <w:sz w:val="21"/>
                <w:szCs w:val="21"/>
              </w:rPr>
              <w:t>；</w:t>
            </w:r>
          </w:p>
        </w:tc>
      </w:tr>
      <w:tr w14:paraId="10D3EF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563349AC">
            <w:pPr>
              <w:spacing w:line="240" w:lineRule="auto"/>
              <w:rPr>
                <w:rFonts w:cs="Times New Roman"/>
                <w:color w:val="auto"/>
                <w:sz w:val="21"/>
                <w:szCs w:val="21"/>
              </w:rPr>
            </w:pPr>
          </w:p>
        </w:tc>
        <w:tc>
          <w:tcPr>
            <w:tcW w:w="1738" w:type="dxa"/>
            <w:vMerge w:val="continue"/>
            <w:vAlign w:val="center"/>
          </w:tcPr>
          <w:p w14:paraId="6E300D24">
            <w:pPr>
              <w:spacing w:line="240" w:lineRule="auto"/>
              <w:jc w:val="center"/>
              <w:rPr>
                <w:rFonts w:cs="Times New Roman"/>
                <w:color w:val="auto"/>
                <w:sz w:val="21"/>
                <w:szCs w:val="21"/>
              </w:rPr>
            </w:pPr>
          </w:p>
        </w:tc>
        <w:tc>
          <w:tcPr>
            <w:tcW w:w="2486" w:type="dxa"/>
            <w:gridSpan w:val="3"/>
            <w:vAlign w:val="center"/>
          </w:tcPr>
          <w:p w14:paraId="252CF235">
            <w:pPr>
              <w:spacing w:line="240" w:lineRule="auto"/>
              <w:jc w:val="center"/>
              <w:rPr>
                <w:rFonts w:cs="Times New Roman"/>
                <w:color w:val="auto"/>
                <w:sz w:val="21"/>
                <w:szCs w:val="21"/>
              </w:rPr>
            </w:pPr>
            <w:r>
              <w:rPr>
                <w:rFonts w:cs="Times New Roman"/>
                <w:color w:val="auto"/>
                <w:sz w:val="21"/>
                <w:szCs w:val="21"/>
              </w:rPr>
              <w:t>监测点位</w:t>
            </w:r>
          </w:p>
        </w:tc>
        <w:tc>
          <w:tcPr>
            <w:tcW w:w="2472" w:type="dxa"/>
            <w:gridSpan w:val="4"/>
            <w:vAlign w:val="center"/>
          </w:tcPr>
          <w:p w14:paraId="48C146E6">
            <w:pPr>
              <w:spacing w:line="240" w:lineRule="auto"/>
              <w:jc w:val="center"/>
              <w:rPr>
                <w:rFonts w:cs="Times New Roman"/>
                <w:color w:val="auto"/>
                <w:sz w:val="21"/>
                <w:szCs w:val="21"/>
              </w:rPr>
            </w:pPr>
            <w:r>
              <w:rPr>
                <w:rFonts w:cs="Times New Roman"/>
                <w:color w:val="auto"/>
                <w:sz w:val="21"/>
                <w:szCs w:val="21"/>
              </w:rPr>
              <w:t>（   ）</w:t>
            </w:r>
          </w:p>
        </w:tc>
        <w:tc>
          <w:tcPr>
            <w:tcW w:w="2477" w:type="dxa"/>
            <w:gridSpan w:val="5"/>
            <w:vAlign w:val="center"/>
          </w:tcPr>
          <w:p w14:paraId="6861D2F0">
            <w:pPr>
              <w:spacing w:line="240" w:lineRule="auto"/>
              <w:jc w:val="center"/>
              <w:rPr>
                <w:rFonts w:cs="Times New Roman"/>
                <w:color w:val="auto"/>
                <w:sz w:val="21"/>
                <w:szCs w:val="21"/>
              </w:rPr>
            </w:pPr>
            <w:r>
              <w:rPr>
                <w:rFonts w:cs="Times New Roman"/>
                <w:color w:val="auto"/>
                <w:sz w:val="21"/>
                <w:szCs w:val="21"/>
              </w:rPr>
              <w:t>（</w:t>
            </w:r>
            <w:r>
              <w:rPr>
                <w:rFonts w:hint="eastAsia" w:cs="Times New Roman"/>
                <w:color w:val="auto"/>
                <w:sz w:val="21"/>
                <w:szCs w:val="21"/>
                <w:lang w:val="en-US" w:eastAsia="zh-CN"/>
              </w:rPr>
              <w:t>厂区</w:t>
            </w:r>
            <w:r>
              <w:rPr>
                <w:rFonts w:hint="eastAsia" w:cs="Times New Roman"/>
                <w:color w:val="auto"/>
                <w:sz w:val="21"/>
                <w:szCs w:val="21"/>
              </w:rPr>
              <w:t>废水总排口</w:t>
            </w:r>
            <w:r>
              <w:rPr>
                <w:rFonts w:cs="Times New Roman"/>
                <w:color w:val="auto"/>
                <w:sz w:val="21"/>
                <w:szCs w:val="21"/>
              </w:rPr>
              <w:t>）</w:t>
            </w:r>
          </w:p>
        </w:tc>
      </w:tr>
      <w:tr w14:paraId="3881E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422666F5">
            <w:pPr>
              <w:spacing w:line="240" w:lineRule="auto"/>
              <w:rPr>
                <w:rFonts w:cs="Times New Roman"/>
                <w:color w:val="auto"/>
                <w:sz w:val="21"/>
                <w:szCs w:val="21"/>
              </w:rPr>
            </w:pPr>
          </w:p>
        </w:tc>
        <w:tc>
          <w:tcPr>
            <w:tcW w:w="1738" w:type="dxa"/>
            <w:vMerge w:val="continue"/>
            <w:vAlign w:val="center"/>
          </w:tcPr>
          <w:p w14:paraId="25174CD1">
            <w:pPr>
              <w:spacing w:line="240" w:lineRule="auto"/>
              <w:jc w:val="center"/>
              <w:rPr>
                <w:rFonts w:cs="Times New Roman"/>
                <w:color w:val="auto"/>
                <w:sz w:val="21"/>
                <w:szCs w:val="21"/>
              </w:rPr>
            </w:pPr>
          </w:p>
        </w:tc>
        <w:tc>
          <w:tcPr>
            <w:tcW w:w="2486" w:type="dxa"/>
            <w:gridSpan w:val="3"/>
            <w:vAlign w:val="center"/>
          </w:tcPr>
          <w:p w14:paraId="28A34AAB">
            <w:pPr>
              <w:spacing w:line="240" w:lineRule="auto"/>
              <w:jc w:val="center"/>
              <w:rPr>
                <w:rFonts w:cs="Times New Roman"/>
                <w:color w:val="auto"/>
                <w:sz w:val="21"/>
                <w:szCs w:val="21"/>
              </w:rPr>
            </w:pPr>
            <w:r>
              <w:rPr>
                <w:rFonts w:cs="Times New Roman"/>
                <w:color w:val="auto"/>
                <w:sz w:val="21"/>
                <w:szCs w:val="21"/>
              </w:rPr>
              <w:t>监测因子</w:t>
            </w:r>
          </w:p>
        </w:tc>
        <w:tc>
          <w:tcPr>
            <w:tcW w:w="2472" w:type="dxa"/>
            <w:gridSpan w:val="4"/>
            <w:vAlign w:val="center"/>
          </w:tcPr>
          <w:p w14:paraId="53B18F84">
            <w:pPr>
              <w:spacing w:line="240" w:lineRule="auto"/>
              <w:jc w:val="center"/>
              <w:rPr>
                <w:rFonts w:cs="Times New Roman"/>
                <w:color w:val="auto"/>
                <w:sz w:val="21"/>
                <w:szCs w:val="21"/>
              </w:rPr>
            </w:pPr>
            <w:r>
              <w:rPr>
                <w:rFonts w:cs="Times New Roman"/>
                <w:color w:val="auto"/>
                <w:sz w:val="21"/>
                <w:szCs w:val="21"/>
              </w:rPr>
              <w:t>（   ）</w:t>
            </w:r>
          </w:p>
        </w:tc>
        <w:tc>
          <w:tcPr>
            <w:tcW w:w="2477" w:type="dxa"/>
            <w:gridSpan w:val="5"/>
            <w:vAlign w:val="center"/>
          </w:tcPr>
          <w:p w14:paraId="7855DE98">
            <w:pPr>
              <w:spacing w:line="240" w:lineRule="auto"/>
              <w:jc w:val="center"/>
              <w:rPr>
                <w:rFonts w:cs="Times New Roman"/>
                <w:color w:val="auto"/>
                <w:sz w:val="21"/>
                <w:szCs w:val="21"/>
              </w:rPr>
            </w:pPr>
            <w:r>
              <w:rPr>
                <w:rFonts w:cs="Times New Roman"/>
                <w:color w:val="auto"/>
                <w:sz w:val="21"/>
                <w:szCs w:val="21"/>
              </w:rPr>
              <w:t>（</w:t>
            </w:r>
            <w:r>
              <w:rPr>
                <w:rFonts w:hint="eastAsia" w:cs="Times New Roman"/>
                <w:color w:val="auto"/>
                <w:sz w:val="21"/>
                <w:szCs w:val="21"/>
                <w:lang w:val="en-US" w:eastAsia="zh-CN"/>
              </w:rPr>
              <w:t>流量、pH、COD、NH</w:t>
            </w:r>
            <w:r>
              <w:rPr>
                <w:rFonts w:hint="eastAsia" w:cs="Times New Roman"/>
                <w:color w:val="auto"/>
                <w:sz w:val="21"/>
                <w:szCs w:val="21"/>
                <w:vertAlign w:val="subscript"/>
                <w:lang w:val="en-US" w:eastAsia="zh-CN"/>
              </w:rPr>
              <w:t>3</w:t>
            </w:r>
            <w:r>
              <w:rPr>
                <w:rFonts w:hint="eastAsia" w:cs="Times New Roman"/>
                <w:color w:val="auto"/>
                <w:sz w:val="21"/>
                <w:szCs w:val="21"/>
                <w:lang w:val="en-US" w:eastAsia="zh-CN"/>
              </w:rPr>
              <w:t>-N、TP、TN、氟化物</w:t>
            </w:r>
            <w:r>
              <w:rPr>
                <w:rFonts w:cs="Times New Roman"/>
                <w:color w:val="auto"/>
                <w:sz w:val="21"/>
                <w:szCs w:val="21"/>
              </w:rPr>
              <w:t>）</w:t>
            </w:r>
          </w:p>
        </w:tc>
      </w:tr>
      <w:tr w14:paraId="03889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53" w:type="dxa"/>
            <w:vMerge w:val="continue"/>
            <w:vAlign w:val="center"/>
          </w:tcPr>
          <w:p w14:paraId="5AAB55AB">
            <w:pPr>
              <w:spacing w:line="240" w:lineRule="auto"/>
              <w:rPr>
                <w:rFonts w:cs="Times New Roman"/>
                <w:color w:val="auto"/>
                <w:sz w:val="21"/>
                <w:szCs w:val="21"/>
              </w:rPr>
            </w:pPr>
          </w:p>
        </w:tc>
        <w:tc>
          <w:tcPr>
            <w:tcW w:w="1738" w:type="dxa"/>
            <w:vAlign w:val="center"/>
          </w:tcPr>
          <w:p w14:paraId="6EEB439C">
            <w:pPr>
              <w:spacing w:line="240" w:lineRule="auto"/>
              <w:jc w:val="center"/>
              <w:rPr>
                <w:rFonts w:cs="Times New Roman"/>
                <w:color w:val="auto"/>
                <w:sz w:val="21"/>
                <w:szCs w:val="21"/>
              </w:rPr>
            </w:pPr>
            <w:r>
              <w:rPr>
                <w:rFonts w:cs="Times New Roman"/>
                <w:color w:val="auto"/>
                <w:sz w:val="21"/>
                <w:szCs w:val="21"/>
              </w:rPr>
              <w:t>污染物排放清单</w:t>
            </w:r>
          </w:p>
        </w:tc>
        <w:tc>
          <w:tcPr>
            <w:tcW w:w="7435" w:type="dxa"/>
            <w:gridSpan w:val="12"/>
            <w:vAlign w:val="center"/>
          </w:tcPr>
          <w:p w14:paraId="19058329">
            <w:pPr>
              <w:spacing w:line="240" w:lineRule="auto"/>
              <w:ind w:firstLine="210" w:firstLineChars="100"/>
              <w:jc w:val="center"/>
              <w:rPr>
                <w:rFonts w:cs="Times New Roman"/>
                <w:color w:val="auto"/>
                <w:sz w:val="21"/>
                <w:szCs w:val="21"/>
              </w:rPr>
            </w:pPr>
            <w:r>
              <w:rPr>
                <w:rFonts w:cs="Times New Roman"/>
                <w:color w:val="auto"/>
                <w:sz w:val="21"/>
                <w:szCs w:val="21"/>
              </w:rPr>
              <w:t>√</w:t>
            </w:r>
          </w:p>
        </w:tc>
      </w:tr>
      <w:tr w14:paraId="48CC8B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191" w:type="dxa"/>
            <w:gridSpan w:val="2"/>
            <w:vAlign w:val="center"/>
          </w:tcPr>
          <w:p w14:paraId="1BF7C2C2">
            <w:pPr>
              <w:spacing w:line="240" w:lineRule="auto"/>
              <w:jc w:val="center"/>
              <w:rPr>
                <w:rFonts w:cs="Times New Roman"/>
                <w:color w:val="auto"/>
                <w:sz w:val="21"/>
                <w:szCs w:val="21"/>
              </w:rPr>
            </w:pPr>
            <w:r>
              <w:rPr>
                <w:rFonts w:cs="Times New Roman"/>
                <w:color w:val="auto"/>
                <w:sz w:val="21"/>
                <w:szCs w:val="21"/>
              </w:rPr>
              <w:t>评价结论</w:t>
            </w:r>
          </w:p>
        </w:tc>
        <w:tc>
          <w:tcPr>
            <w:tcW w:w="7435" w:type="dxa"/>
            <w:gridSpan w:val="12"/>
            <w:vAlign w:val="center"/>
          </w:tcPr>
          <w:p w14:paraId="07B89965">
            <w:pPr>
              <w:spacing w:line="240" w:lineRule="auto"/>
              <w:rPr>
                <w:rFonts w:cs="Times New Roman"/>
                <w:color w:val="auto"/>
                <w:sz w:val="21"/>
                <w:szCs w:val="21"/>
              </w:rPr>
            </w:pPr>
            <w:r>
              <w:rPr>
                <w:rFonts w:cs="Times New Roman"/>
                <w:color w:val="auto"/>
                <w:sz w:val="21"/>
                <w:szCs w:val="21"/>
              </w:rPr>
              <w:t xml:space="preserve">可以接受 √；不可以接受 </w:t>
            </w:r>
            <w:r>
              <w:rPr>
                <w:rFonts w:ascii="Segoe UI Symbol" w:hAnsi="Segoe UI Symbol" w:cs="Segoe UI Symbol"/>
                <w:color w:val="auto"/>
                <w:sz w:val="21"/>
                <w:szCs w:val="21"/>
              </w:rPr>
              <w:t>☐</w:t>
            </w:r>
            <w:r>
              <w:rPr>
                <w:rFonts w:cs="Times New Roman"/>
                <w:color w:val="auto"/>
                <w:sz w:val="21"/>
                <w:szCs w:val="21"/>
              </w:rPr>
              <w:t>；</w:t>
            </w:r>
          </w:p>
        </w:tc>
      </w:tr>
      <w:tr w14:paraId="09CA9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626" w:type="dxa"/>
            <w:gridSpan w:val="14"/>
            <w:vAlign w:val="center"/>
          </w:tcPr>
          <w:p w14:paraId="74907624">
            <w:pPr>
              <w:spacing w:line="240" w:lineRule="auto"/>
              <w:rPr>
                <w:rFonts w:cs="Times New Roman"/>
                <w:color w:val="auto"/>
                <w:sz w:val="21"/>
                <w:szCs w:val="21"/>
              </w:rPr>
            </w:pPr>
            <w:r>
              <w:rPr>
                <w:rFonts w:cs="Times New Roman"/>
                <w:color w:val="auto"/>
                <w:sz w:val="21"/>
                <w:szCs w:val="21"/>
              </w:rPr>
              <w:t>注：“□”为勾选项”，可√；“（  ）”为内容填写项；“备注”为其他补充内容</w:t>
            </w:r>
          </w:p>
        </w:tc>
      </w:tr>
    </w:tbl>
    <w:p w14:paraId="466914DF">
      <w:pPr>
        <w:bidi w:val="0"/>
        <w:rPr>
          <w:rFonts w:hint="default"/>
          <w:b/>
          <w:bCs/>
          <w:lang w:val="en-US" w:eastAsia="zh-CN"/>
        </w:rPr>
      </w:pPr>
      <w:bookmarkStart w:id="93" w:name="_Toc458784917"/>
      <w:r>
        <w:rPr>
          <w:rFonts w:hint="default"/>
          <w:b/>
          <w:bCs/>
          <w:lang w:val="en-US" w:eastAsia="zh-CN"/>
        </w:rPr>
        <w:t>6.2.3 声环境影响预测</w:t>
      </w:r>
      <w:bookmarkEnd w:id="93"/>
      <w:r>
        <w:rPr>
          <w:rFonts w:hint="default"/>
          <w:b/>
          <w:bCs/>
          <w:lang w:val="en-US" w:eastAsia="zh-CN"/>
        </w:rPr>
        <w:t>与评价</w:t>
      </w:r>
    </w:p>
    <w:p w14:paraId="3001E205">
      <w:pPr>
        <w:bidi w:val="0"/>
        <w:ind w:firstLine="480" w:firstLineChars="200"/>
        <w:rPr>
          <w:rFonts w:hint="default"/>
          <w:b w:val="0"/>
          <w:bCs w:val="0"/>
          <w:lang w:val="en-US" w:eastAsia="zh-CN"/>
        </w:rPr>
      </w:pPr>
      <w:r>
        <w:rPr>
          <w:rFonts w:hint="eastAsia"/>
          <w:color w:val="auto"/>
          <w:lang w:val="en-US" w:eastAsia="zh-CN"/>
        </w:rPr>
        <w:t>本次技改项目主要新增设备为丝网印刷设备、</w:t>
      </w:r>
      <w:r>
        <w:rPr>
          <w:rFonts w:hint="eastAsia" w:cs="Times New Roman"/>
          <w:color w:val="auto"/>
          <w:lang w:val="en-US" w:eastAsia="zh-CN"/>
        </w:rPr>
        <w:t>ME（激光开模）</w:t>
      </w:r>
      <w:r>
        <w:rPr>
          <w:rFonts w:hint="eastAsia"/>
          <w:color w:val="auto"/>
          <w:lang w:val="en-US" w:eastAsia="zh-CN"/>
        </w:rPr>
        <w:t>设备</w:t>
      </w:r>
      <w:r>
        <w:rPr>
          <w:rFonts w:hint="eastAsia" w:cs="Times New Roman"/>
          <w:color w:val="auto"/>
          <w:lang w:val="en-US" w:eastAsia="zh-CN"/>
        </w:rPr>
        <w:t>、AC（银包铜印刷、固化）</w:t>
      </w:r>
      <w:r>
        <w:rPr>
          <w:rFonts w:hint="eastAsia"/>
          <w:color w:val="auto"/>
          <w:lang w:val="en-US" w:eastAsia="zh-CN"/>
        </w:rPr>
        <w:t>设备</w:t>
      </w:r>
      <w:r>
        <w:rPr>
          <w:rFonts w:hint="eastAsia" w:cs="Times New Roman"/>
          <w:color w:val="auto"/>
          <w:lang w:val="en-US" w:eastAsia="zh-CN"/>
        </w:rPr>
        <w:t>、激光划片</w:t>
      </w:r>
      <w:r>
        <w:rPr>
          <w:rFonts w:hint="eastAsia"/>
          <w:color w:val="auto"/>
          <w:lang w:val="en-US" w:eastAsia="zh-CN"/>
        </w:rPr>
        <w:t>设备</w:t>
      </w:r>
      <w:r>
        <w:rPr>
          <w:rFonts w:hint="eastAsia" w:cs="Times New Roman"/>
          <w:color w:val="auto"/>
          <w:lang w:val="en-US" w:eastAsia="zh-CN"/>
        </w:rPr>
        <w:t>、四分片钝化</w:t>
      </w:r>
      <w:r>
        <w:rPr>
          <w:rFonts w:hint="eastAsia"/>
          <w:color w:val="auto"/>
          <w:lang w:val="en-US" w:eastAsia="zh-CN"/>
        </w:rPr>
        <w:t>设备以及配套风机等，</w:t>
      </w:r>
      <w:r>
        <w:rPr>
          <w:rFonts w:hint="default"/>
          <w:color w:val="auto"/>
          <w:lang w:val="en-US" w:eastAsia="zh-CN"/>
        </w:rPr>
        <w:t>设备噪声在</w:t>
      </w:r>
      <w:r>
        <w:rPr>
          <w:rFonts w:hint="eastAsia"/>
          <w:color w:val="auto"/>
          <w:lang w:val="en-US" w:eastAsia="zh-CN"/>
        </w:rPr>
        <w:t>80</w:t>
      </w:r>
      <w:r>
        <w:rPr>
          <w:rFonts w:hint="default"/>
          <w:color w:val="auto"/>
          <w:lang w:val="en-US" w:eastAsia="zh-CN"/>
        </w:rPr>
        <w:t>～</w:t>
      </w:r>
      <w:r>
        <w:rPr>
          <w:rFonts w:hint="eastAsia"/>
          <w:color w:val="auto"/>
          <w:lang w:val="en-US" w:eastAsia="zh-CN"/>
        </w:rPr>
        <w:t>90</w:t>
      </w:r>
      <w:r>
        <w:rPr>
          <w:rFonts w:hint="default"/>
          <w:color w:val="auto"/>
          <w:lang w:val="en-US" w:eastAsia="zh-CN"/>
        </w:rPr>
        <w:t>dB（A）左右</w:t>
      </w:r>
      <w:r>
        <w:rPr>
          <w:rFonts w:hint="default"/>
          <w:b w:val="0"/>
          <w:bCs w:val="0"/>
          <w:lang w:val="en-US" w:eastAsia="zh-CN"/>
        </w:rPr>
        <w:t>。</w:t>
      </w:r>
    </w:p>
    <w:p w14:paraId="53DE2E69">
      <w:pPr>
        <w:bidi w:val="0"/>
        <w:rPr>
          <w:rFonts w:hint="default"/>
          <w:b/>
          <w:bCs/>
          <w:lang w:val="en-US" w:eastAsia="zh-CN"/>
        </w:rPr>
      </w:pPr>
      <w:r>
        <w:rPr>
          <w:rFonts w:hint="default"/>
          <w:b/>
          <w:bCs/>
          <w:lang w:val="en-US" w:eastAsia="zh-CN"/>
        </w:rPr>
        <w:t>6.2.3.1 噪声预测模式</w:t>
      </w:r>
    </w:p>
    <w:p w14:paraId="3B8FF9EA">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本次环境噪声影响预测采用《环境影响评价技术导则 声环境》（HJ2.4-2021）中推荐的噪声预测模式，主要对本项目噪声源对厂界的影响进行预测。</w:t>
      </w:r>
    </w:p>
    <w:p w14:paraId="780BF91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噪声由室内传播到室外时，建筑物墙面相当于一个面声源。面声源衰减规律如下：当预测点和面声源中心距离r处于以下条件时，可按下述方法近似计算：r&lt;a/π时，几乎不衰减（Adiv≈0）；当a/π&lt;r&lt;b/π，距离加倍衰减3dB左右，类似线声源衰减特性（Adiv≈10lg(r/r0)）；当r&gt;b/π时，距离加倍衰减趋近于6dB，类似点声源衰减特性（Adiv≈20lg(r/r0)）。其中面声源的b&gt;a。图中虚线为实际衰减量。</w:t>
      </w:r>
    </w:p>
    <w:p w14:paraId="51A7623E">
      <w:pPr>
        <w:keepNext w:val="0"/>
        <w:keepLines w:val="0"/>
        <w:pageBreakBefore w:val="0"/>
        <w:widowControl/>
        <w:kinsoku/>
        <w:wordWrap/>
        <w:overflowPunct/>
        <w:topLinePunct w:val="0"/>
        <w:autoSpaceDE/>
        <w:autoSpaceDN/>
        <w:bidi w:val="0"/>
        <w:adjustRightInd/>
        <w:snapToGrid/>
        <w:jc w:val="center"/>
        <w:textAlignment w:val="auto"/>
        <w:rPr>
          <w:rFonts w:hint="default"/>
          <w:b w:val="0"/>
          <w:bCs w:val="0"/>
          <w:lang w:val="en-US" w:eastAsia="zh-CN"/>
        </w:rPr>
      </w:pPr>
      <w:r>
        <w:rPr>
          <w:rFonts w:hint="default"/>
          <w:b w:val="0"/>
          <w:bCs w:val="0"/>
          <w:lang w:val="en-US" w:eastAsia="zh-CN"/>
        </w:rPr>
        <w:drawing>
          <wp:inline distT="0" distB="0" distL="114300" distR="114300">
            <wp:extent cx="3324225" cy="2457450"/>
            <wp:effectExtent l="0" t="0" r="9525" b="0"/>
            <wp:docPr id="82"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77"/>
                    <pic:cNvPicPr>
                      <a:picLocks noChangeAspect="1"/>
                    </pic:cNvPicPr>
                  </pic:nvPicPr>
                  <pic:blipFill>
                    <a:blip r:embed="rId22"/>
                    <a:stretch>
                      <a:fillRect/>
                    </a:stretch>
                  </pic:blipFill>
                  <pic:spPr>
                    <a:xfrm>
                      <a:off x="0" y="0"/>
                      <a:ext cx="3324225" cy="2457450"/>
                    </a:xfrm>
                    <a:prstGeom prst="rect">
                      <a:avLst/>
                    </a:prstGeom>
                    <a:noFill/>
                    <a:ln>
                      <a:noFill/>
                    </a:ln>
                  </pic:spPr>
                </pic:pic>
              </a:graphicData>
            </a:graphic>
          </wp:inline>
        </w:drawing>
      </w:r>
    </w:p>
    <w:p w14:paraId="1536B33F">
      <w:pPr>
        <w:bidi w:val="0"/>
        <w:jc w:val="center"/>
        <w:rPr>
          <w:rFonts w:hint="default"/>
          <w:b/>
          <w:bCs/>
          <w:lang w:val="en-US" w:eastAsia="zh-CN"/>
        </w:rPr>
      </w:pPr>
      <w:r>
        <w:rPr>
          <w:rFonts w:hint="default"/>
          <w:b/>
          <w:bCs/>
          <w:lang w:val="en-US" w:eastAsia="zh-CN"/>
        </w:rPr>
        <w:t>图6.2.3-1 长方形面声源中心轴线上的衰减特性</w:t>
      </w:r>
    </w:p>
    <w:p w14:paraId="6DD4656F">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①当r&lt;a/π时</w:t>
      </w:r>
    </w:p>
    <w:p w14:paraId="05BC607F">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声压级几乎不衰减，r处的声压级按下式计算：</w:t>
      </w:r>
    </w:p>
    <w:p w14:paraId="18603435">
      <w:pPr>
        <w:keepNext w:val="0"/>
        <w:keepLines w:val="0"/>
        <w:pageBreakBefore w:val="0"/>
        <w:widowControl/>
        <w:kinsoku/>
        <w:wordWrap/>
        <w:overflowPunct/>
        <w:topLinePunct w:val="0"/>
        <w:autoSpaceDE/>
        <w:autoSpaceDN/>
        <w:bidi w:val="0"/>
        <w:adjustRightInd/>
        <w:snapToGrid/>
        <w:ind w:firstLine="480" w:firstLineChars="200"/>
        <w:jc w:val="center"/>
        <w:textAlignment w:val="auto"/>
        <w:rPr>
          <w:rFonts w:hint="default"/>
          <w:b w:val="0"/>
          <w:bCs w:val="0"/>
          <w:lang w:val="en-US" w:eastAsia="zh-CN"/>
        </w:rPr>
      </w:pPr>
      <w:r>
        <w:rPr>
          <w:rFonts w:hint="default"/>
          <w:b w:val="0"/>
          <w:bCs w:val="0"/>
          <w:lang w:val="en-US" w:eastAsia="zh-CN"/>
        </w:rPr>
        <w:t>LA®=LA</w:t>
      </w:r>
      <w:r>
        <w:rPr>
          <w:rFonts w:hint="eastAsia"/>
          <w:b w:val="0"/>
          <w:bCs w:val="0"/>
          <w:lang w:val="en-US" w:eastAsia="zh-CN"/>
        </w:rPr>
        <w:t>（</w:t>
      </w:r>
      <w:r>
        <w:rPr>
          <w:rFonts w:hint="default"/>
          <w:b w:val="0"/>
          <w:bCs w:val="0"/>
          <w:lang w:val="en-US" w:eastAsia="zh-CN"/>
        </w:rPr>
        <w:t>r0</w:t>
      </w:r>
      <w:r>
        <w:rPr>
          <w:rFonts w:hint="eastAsia"/>
          <w:b w:val="0"/>
          <w:bCs w:val="0"/>
          <w:lang w:val="en-US" w:eastAsia="zh-CN"/>
        </w:rPr>
        <w:t>）</w:t>
      </w:r>
    </w:p>
    <w:p w14:paraId="4D8AEC8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②当a/π&lt;r&lt;b/π时</w:t>
      </w:r>
    </w:p>
    <w:p w14:paraId="1415894C">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声压级随着距离加倍衰减3dB左右，类似线声源衰减特性，r处的声压级按下式计算：</w:t>
      </w:r>
    </w:p>
    <w:p w14:paraId="2DB4A813">
      <w:pPr>
        <w:keepNext w:val="0"/>
        <w:keepLines w:val="0"/>
        <w:pageBreakBefore w:val="0"/>
        <w:widowControl/>
        <w:kinsoku/>
        <w:wordWrap/>
        <w:overflowPunct/>
        <w:topLinePunct w:val="0"/>
        <w:autoSpaceDE/>
        <w:autoSpaceDN/>
        <w:bidi w:val="0"/>
        <w:adjustRightInd/>
        <w:snapToGrid/>
        <w:ind w:firstLine="480" w:firstLineChars="200"/>
        <w:jc w:val="center"/>
        <w:textAlignment w:val="auto"/>
        <w:rPr>
          <w:rFonts w:hint="default"/>
          <w:b w:val="0"/>
          <w:bCs w:val="0"/>
          <w:lang w:val="en-US" w:eastAsia="zh-CN"/>
        </w:rPr>
      </w:pPr>
      <w:r>
        <w:rPr>
          <w:rFonts w:hint="default"/>
          <w:b w:val="0"/>
          <w:bCs w:val="0"/>
          <w:lang w:val="en-US" w:eastAsia="zh-CN"/>
        </w:rPr>
        <w:t>LA(r)=LA1(r0)—10lg(r/r0)</w:t>
      </w:r>
    </w:p>
    <w:p w14:paraId="4243CFD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③当r&gt;b/π时</w:t>
      </w:r>
    </w:p>
    <w:p w14:paraId="23BDBC4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声压级随着距离加倍衰减趋近于6dB，类似点声源衰减特性，r处的声压级按下式计算：</w:t>
      </w:r>
    </w:p>
    <w:p w14:paraId="128C695F">
      <w:pPr>
        <w:keepNext w:val="0"/>
        <w:keepLines w:val="0"/>
        <w:pageBreakBefore w:val="0"/>
        <w:widowControl/>
        <w:kinsoku/>
        <w:wordWrap/>
        <w:overflowPunct/>
        <w:topLinePunct w:val="0"/>
        <w:autoSpaceDE/>
        <w:autoSpaceDN/>
        <w:bidi w:val="0"/>
        <w:adjustRightInd/>
        <w:snapToGrid/>
        <w:ind w:firstLine="480" w:firstLineChars="200"/>
        <w:jc w:val="center"/>
        <w:textAlignment w:val="auto"/>
        <w:rPr>
          <w:rFonts w:hint="default"/>
          <w:b w:val="0"/>
          <w:bCs w:val="0"/>
          <w:lang w:val="en-US" w:eastAsia="zh-CN"/>
        </w:rPr>
      </w:pPr>
      <w:r>
        <w:rPr>
          <w:rFonts w:hint="default"/>
          <w:b w:val="0"/>
          <w:bCs w:val="0"/>
          <w:lang w:val="en-US" w:eastAsia="zh-CN"/>
        </w:rPr>
        <w:t>LA(r)=LA1(r0)—20lg(r/r0)</w:t>
      </w:r>
    </w:p>
    <w:p w14:paraId="6A78AA0A">
      <w:pPr>
        <w:keepNext w:val="0"/>
        <w:keepLines w:val="0"/>
        <w:pageBreakBefore w:val="0"/>
        <w:widowControl/>
        <w:kinsoku/>
        <w:wordWrap/>
        <w:overflowPunct/>
        <w:topLinePunct w:val="0"/>
        <w:autoSpaceDE/>
        <w:autoSpaceDN/>
        <w:bidi w:val="0"/>
        <w:adjustRightInd/>
        <w:snapToGrid/>
        <w:ind w:firstLine="480" w:firstLineChars="200"/>
        <w:jc w:val="center"/>
        <w:textAlignment w:val="auto"/>
        <w:rPr>
          <w:rFonts w:hint="default"/>
          <w:b w:val="0"/>
          <w:bCs w:val="0"/>
          <w:lang w:val="en-US" w:eastAsia="zh-CN"/>
        </w:rPr>
      </w:pPr>
      <w:r>
        <w:rPr>
          <w:rFonts w:hint="default"/>
          <w:b w:val="0"/>
          <w:bCs w:val="0"/>
          <w:lang w:val="en-US" w:eastAsia="zh-CN"/>
        </w:rPr>
        <w:t>r0=b/π      LA1(r0)=LA(r0)—10lg(b/a)</w:t>
      </w:r>
    </w:p>
    <w:p w14:paraId="035BE9E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第i个室外声源在预测点产生的A声级为LAi，在T时间内该声源工作时间为ti；第j个等效室外声源在预测点产生的A声级为LAj，本项目各声源对预测点产生的贡献值（Leqg）为：</w:t>
      </w:r>
    </w:p>
    <w:p w14:paraId="0B5AC50C">
      <w:pPr>
        <w:keepNext w:val="0"/>
        <w:keepLines w:val="0"/>
        <w:pageBreakBefore w:val="0"/>
        <w:widowControl/>
        <w:kinsoku/>
        <w:wordWrap/>
        <w:overflowPunct/>
        <w:topLinePunct w:val="0"/>
        <w:autoSpaceDE/>
        <w:autoSpaceDN/>
        <w:bidi w:val="0"/>
        <w:adjustRightInd/>
        <w:snapToGrid/>
        <w:jc w:val="center"/>
        <w:textAlignment w:val="auto"/>
        <w:rPr>
          <w:rFonts w:hint="default"/>
          <w:b w:val="0"/>
          <w:bCs w:val="0"/>
          <w:lang w:val="en-US" w:eastAsia="zh-CN"/>
        </w:rPr>
      </w:pPr>
      <w:r>
        <w:rPr>
          <w:rFonts w:hint="default"/>
          <w:b w:val="0"/>
          <w:bCs w:val="0"/>
          <w:lang w:val="en-US" w:eastAsia="zh-CN"/>
        </w:rPr>
        <w:drawing>
          <wp:inline distT="0" distB="0" distL="114300" distR="114300">
            <wp:extent cx="2781300" cy="542925"/>
            <wp:effectExtent l="0" t="0" r="0" b="9525"/>
            <wp:docPr id="8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8"/>
                    <pic:cNvPicPr>
                      <a:picLocks noChangeAspect="1"/>
                    </pic:cNvPicPr>
                  </pic:nvPicPr>
                  <pic:blipFill>
                    <a:blip r:embed="rId23"/>
                    <a:stretch>
                      <a:fillRect/>
                    </a:stretch>
                  </pic:blipFill>
                  <pic:spPr>
                    <a:xfrm>
                      <a:off x="0" y="0"/>
                      <a:ext cx="2781300" cy="542925"/>
                    </a:xfrm>
                    <a:prstGeom prst="rect">
                      <a:avLst/>
                    </a:prstGeom>
                    <a:noFill/>
                    <a:ln>
                      <a:noFill/>
                    </a:ln>
                  </pic:spPr>
                </pic:pic>
              </a:graphicData>
            </a:graphic>
          </wp:inline>
        </w:drawing>
      </w:r>
    </w:p>
    <w:p w14:paraId="2C2A9DE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式中：</w:t>
      </w:r>
    </w:p>
    <w:p w14:paraId="0982289B">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Leqg——建设项目声源在预测点的等效声级贡献值，dB(A)；</w:t>
      </w:r>
    </w:p>
    <w:p w14:paraId="04F35AA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drawing>
          <wp:inline distT="0" distB="0" distL="114300" distR="114300">
            <wp:extent cx="323850" cy="200025"/>
            <wp:effectExtent l="0" t="0" r="0" b="7620"/>
            <wp:docPr id="92"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79"/>
                    <pic:cNvPicPr>
                      <a:picLocks noChangeAspect="1"/>
                    </pic:cNvPicPr>
                  </pic:nvPicPr>
                  <pic:blipFill>
                    <a:blip r:embed="rId24"/>
                    <a:stretch>
                      <a:fillRect/>
                    </a:stretch>
                  </pic:blipFill>
                  <pic:spPr>
                    <a:xfrm>
                      <a:off x="0" y="0"/>
                      <a:ext cx="323850" cy="200025"/>
                    </a:xfrm>
                    <a:prstGeom prst="rect">
                      <a:avLst/>
                    </a:prstGeom>
                    <a:noFill/>
                    <a:ln>
                      <a:noFill/>
                    </a:ln>
                  </pic:spPr>
                </pic:pic>
              </a:graphicData>
            </a:graphic>
          </wp:inline>
        </w:drawing>
      </w:r>
      <w:r>
        <w:rPr>
          <w:rFonts w:hint="default"/>
          <w:b w:val="0"/>
          <w:bCs w:val="0"/>
          <w:lang w:val="en-US" w:eastAsia="zh-CN"/>
        </w:rPr>
        <w:t>——i声源在预测点产生的A声级，dB(A)；</w:t>
      </w:r>
    </w:p>
    <w:p w14:paraId="0F1161C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drawing>
          <wp:inline distT="0" distB="0" distL="114300" distR="114300">
            <wp:extent cx="161925" cy="200025"/>
            <wp:effectExtent l="0" t="0" r="0" b="6985"/>
            <wp:docPr id="94"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80"/>
                    <pic:cNvPicPr>
                      <a:picLocks noChangeAspect="1"/>
                    </pic:cNvPicPr>
                  </pic:nvPicPr>
                  <pic:blipFill>
                    <a:blip r:embed="rId25"/>
                    <a:stretch>
                      <a:fillRect/>
                    </a:stretch>
                  </pic:blipFill>
                  <pic:spPr>
                    <a:xfrm>
                      <a:off x="0" y="0"/>
                      <a:ext cx="161925" cy="200025"/>
                    </a:xfrm>
                    <a:prstGeom prst="rect">
                      <a:avLst/>
                    </a:prstGeom>
                    <a:noFill/>
                    <a:ln>
                      <a:noFill/>
                    </a:ln>
                  </pic:spPr>
                </pic:pic>
              </a:graphicData>
            </a:graphic>
          </wp:inline>
        </w:drawing>
      </w:r>
      <w:r>
        <w:rPr>
          <w:rFonts w:hint="default"/>
          <w:b w:val="0"/>
          <w:bCs w:val="0"/>
          <w:lang w:val="en-US" w:eastAsia="zh-CN"/>
        </w:rPr>
        <w:t>——i声源在T时间段内的运行时间，s；</w:t>
      </w:r>
    </w:p>
    <w:p w14:paraId="12FA153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tj——在T时间内j声源工作时间，s；</w:t>
      </w:r>
    </w:p>
    <w:p w14:paraId="7936D6D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ti——在T时间内®声源工作时间，s；</w:t>
      </w:r>
    </w:p>
    <w:p w14:paraId="7FDD227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T——用于计算等效声级的时间，s；</w:t>
      </w:r>
    </w:p>
    <w:p w14:paraId="21C8A12B">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N——室外声源个数；</w:t>
      </w:r>
    </w:p>
    <w:p w14:paraId="015D581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M——等效室外声源个数。</w:t>
      </w:r>
    </w:p>
    <w:p w14:paraId="594F6A1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本项目各室内声源等效成面声源均采用当r&gt;b/π时的计算公式计算。</w:t>
      </w:r>
    </w:p>
    <w:p w14:paraId="49D42E0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b w:val="0"/>
          <w:bCs w:val="0"/>
          <w:lang w:val="en-US" w:eastAsia="zh-CN"/>
        </w:rPr>
      </w:pPr>
      <w:r>
        <w:rPr>
          <w:rFonts w:hint="default"/>
          <w:b w:val="0"/>
          <w:bCs w:val="0"/>
          <w:lang w:val="en-US" w:eastAsia="zh-CN"/>
        </w:rPr>
        <w:t>对于同一个构筑物内的点声源，本次通过声级叠加的方式计算得出综合噪声源强LA（r0），再通过上述等效面声源公式LA1(r0)=LA(r0)—10lg(b/a)计算得出LA1(r0)，将其等效成面声源，再运用LA(r)=LA1(r0)—20lg(r/r0)计算得出单个声源对厂界的影响贡献值LA®，计算出各噪声源的LA®后再综合计算项目各噪声源对各厂界及周边敏感点的噪声影响贡献值。</w:t>
      </w:r>
    </w:p>
    <w:p w14:paraId="70B7780F">
      <w:pPr>
        <w:bidi w:val="0"/>
        <w:rPr>
          <w:rFonts w:hint="default"/>
          <w:b/>
          <w:bCs/>
          <w:lang w:val="en-US" w:eastAsia="zh-CN"/>
        </w:rPr>
      </w:pPr>
      <w:r>
        <w:rPr>
          <w:rFonts w:hint="default"/>
          <w:b/>
          <w:bCs/>
          <w:lang w:val="en-US" w:eastAsia="zh-CN"/>
        </w:rPr>
        <w:t>6.2.3.2 噪声预测结果</w:t>
      </w:r>
    </w:p>
    <w:p w14:paraId="1B29A9B7">
      <w:pPr>
        <w:bidi w:val="0"/>
        <w:ind w:firstLine="480" w:firstLineChars="200"/>
        <w:rPr>
          <w:rFonts w:hint="default"/>
          <w:b w:val="0"/>
          <w:bCs w:val="0"/>
          <w:lang w:val="en-US" w:eastAsia="zh-CN"/>
        </w:rPr>
      </w:pPr>
      <w:r>
        <w:rPr>
          <w:rFonts w:hint="default"/>
          <w:b w:val="0"/>
          <w:bCs w:val="0"/>
          <w:lang w:val="en-US" w:eastAsia="zh-CN"/>
        </w:rPr>
        <w:t>由于本</w:t>
      </w:r>
      <w:r>
        <w:rPr>
          <w:rFonts w:hint="eastAsia"/>
          <w:b w:val="0"/>
          <w:bCs w:val="0"/>
          <w:lang w:val="en-US" w:eastAsia="zh-CN"/>
        </w:rPr>
        <w:t>次技改</w:t>
      </w:r>
      <w:r>
        <w:rPr>
          <w:rFonts w:hint="default"/>
          <w:b w:val="0"/>
          <w:bCs w:val="0"/>
          <w:lang w:val="en-US" w:eastAsia="zh-CN"/>
        </w:rPr>
        <w:t>项目</w:t>
      </w:r>
      <w:r>
        <w:rPr>
          <w:rFonts w:hint="eastAsia" w:cs="Times New Roman"/>
          <w:color w:val="auto"/>
          <w:lang w:val="en-US" w:eastAsia="zh-CN"/>
        </w:rPr>
        <w:t>在同期拟建“高效太阳能电池片213升级改造项目”、“高效太阳能电池片MAX改造项目”完成的基础上进行建设</w:t>
      </w:r>
      <w:r>
        <w:rPr>
          <w:rFonts w:hint="default"/>
          <w:b w:val="0"/>
          <w:bCs w:val="0"/>
          <w:lang w:val="en-US" w:eastAsia="zh-CN"/>
        </w:rPr>
        <w:t>，因此本</w:t>
      </w:r>
      <w:r>
        <w:rPr>
          <w:rFonts w:hint="eastAsia"/>
          <w:b w:val="0"/>
          <w:bCs w:val="0"/>
          <w:lang w:val="en-US" w:eastAsia="zh-CN"/>
        </w:rPr>
        <w:t>次技改</w:t>
      </w:r>
      <w:r>
        <w:rPr>
          <w:rFonts w:hint="default"/>
          <w:b w:val="0"/>
          <w:bCs w:val="0"/>
          <w:lang w:val="en-US" w:eastAsia="zh-CN"/>
        </w:rPr>
        <w:t>项目</w:t>
      </w:r>
      <w:r>
        <w:rPr>
          <w:rFonts w:hint="eastAsia"/>
          <w:b w:val="0"/>
          <w:bCs w:val="0"/>
          <w:lang w:val="en-US" w:eastAsia="zh-CN"/>
        </w:rPr>
        <w:t>完成</w:t>
      </w:r>
      <w:r>
        <w:rPr>
          <w:rFonts w:hint="default"/>
          <w:b w:val="0"/>
          <w:bCs w:val="0"/>
          <w:lang w:val="en-US" w:eastAsia="zh-CN"/>
        </w:rPr>
        <w:t>后各厂界噪声预测结果见下表。</w:t>
      </w:r>
    </w:p>
    <w:p w14:paraId="29A61B38">
      <w:pPr>
        <w:bidi w:val="0"/>
        <w:jc w:val="center"/>
        <w:rPr>
          <w:rFonts w:hint="default"/>
          <w:b/>
          <w:bCs/>
          <w:lang w:val="en-US" w:eastAsia="zh-CN"/>
        </w:rPr>
      </w:pPr>
      <w:r>
        <w:rPr>
          <w:rFonts w:hint="default"/>
          <w:b/>
          <w:bCs/>
          <w:lang w:val="en-US" w:eastAsia="zh-CN"/>
        </w:rPr>
        <w:t>表6.2.3-2 项目运营期噪声预测结果一览表  单位：dB(A)</w:t>
      </w:r>
    </w:p>
    <w:tbl>
      <w:tblPr>
        <w:tblStyle w:val="17"/>
        <w:tblW w:w="507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1"/>
        <w:gridCol w:w="952"/>
        <w:gridCol w:w="912"/>
        <w:gridCol w:w="1015"/>
        <w:gridCol w:w="923"/>
        <w:gridCol w:w="935"/>
        <w:gridCol w:w="838"/>
        <w:gridCol w:w="875"/>
        <w:gridCol w:w="834"/>
        <w:gridCol w:w="538"/>
        <w:gridCol w:w="552"/>
      </w:tblGrid>
      <w:tr w14:paraId="47B4A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690" w:type="pct"/>
            <w:vMerge w:val="restart"/>
            <w:vAlign w:val="center"/>
          </w:tcPr>
          <w:p w14:paraId="619DA1B4">
            <w:pPr>
              <w:bidi w:val="0"/>
              <w:spacing w:line="240" w:lineRule="auto"/>
              <w:jc w:val="center"/>
              <w:rPr>
                <w:rFonts w:hint="default"/>
                <w:b/>
                <w:bCs/>
                <w:sz w:val="21"/>
                <w:szCs w:val="21"/>
                <w:lang w:val="en-US" w:eastAsia="zh-CN"/>
              </w:rPr>
            </w:pPr>
            <w:r>
              <w:rPr>
                <w:rFonts w:hint="default"/>
                <w:b/>
                <w:bCs/>
                <w:sz w:val="21"/>
                <w:szCs w:val="21"/>
                <w:lang w:val="en-US" w:eastAsia="zh-CN"/>
              </w:rPr>
              <w:t>预测点位</w:t>
            </w:r>
          </w:p>
        </w:tc>
        <w:tc>
          <w:tcPr>
            <w:tcW w:w="959" w:type="pct"/>
            <w:gridSpan w:val="2"/>
            <w:vAlign w:val="center"/>
          </w:tcPr>
          <w:p w14:paraId="5C99793B">
            <w:pPr>
              <w:bidi w:val="0"/>
              <w:spacing w:line="240" w:lineRule="auto"/>
              <w:jc w:val="center"/>
              <w:rPr>
                <w:rFonts w:hint="default"/>
                <w:b/>
                <w:bCs/>
                <w:sz w:val="21"/>
                <w:szCs w:val="21"/>
                <w:lang w:val="en-US" w:eastAsia="zh-CN"/>
              </w:rPr>
            </w:pPr>
            <w:r>
              <w:rPr>
                <w:rFonts w:hint="default"/>
                <w:b/>
                <w:bCs/>
                <w:sz w:val="21"/>
                <w:szCs w:val="21"/>
                <w:lang w:val="en-US" w:eastAsia="zh-CN"/>
              </w:rPr>
              <w:t>本次技改项目贡献值</w:t>
            </w:r>
          </w:p>
        </w:tc>
        <w:tc>
          <w:tcPr>
            <w:tcW w:w="997" w:type="pct"/>
            <w:gridSpan w:val="2"/>
            <w:vAlign w:val="center"/>
          </w:tcPr>
          <w:p w14:paraId="0062253D">
            <w:pPr>
              <w:bidi w:val="0"/>
              <w:spacing w:line="240" w:lineRule="auto"/>
              <w:jc w:val="center"/>
              <w:rPr>
                <w:rFonts w:hint="default"/>
                <w:b/>
                <w:bCs/>
                <w:sz w:val="21"/>
                <w:szCs w:val="21"/>
                <w:lang w:val="en-US" w:eastAsia="zh-CN"/>
              </w:rPr>
            </w:pPr>
            <w:r>
              <w:rPr>
                <w:rFonts w:hint="default"/>
                <w:b/>
                <w:bCs/>
                <w:sz w:val="21"/>
                <w:szCs w:val="21"/>
                <w:lang w:val="en-US" w:eastAsia="zh-CN"/>
              </w:rPr>
              <w:t>同期拟建项目贡献值</w:t>
            </w:r>
          </w:p>
        </w:tc>
        <w:tc>
          <w:tcPr>
            <w:tcW w:w="912" w:type="pct"/>
            <w:gridSpan w:val="2"/>
            <w:vAlign w:val="center"/>
          </w:tcPr>
          <w:p w14:paraId="3325EADF">
            <w:pPr>
              <w:bidi w:val="0"/>
              <w:spacing w:line="240" w:lineRule="auto"/>
              <w:jc w:val="center"/>
              <w:rPr>
                <w:rFonts w:hint="default"/>
                <w:b/>
                <w:bCs/>
                <w:sz w:val="21"/>
                <w:szCs w:val="21"/>
                <w:lang w:val="en-US" w:eastAsia="zh-CN"/>
              </w:rPr>
            </w:pPr>
            <w:r>
              <w:rPr>
                <w:rFonts w:hint="default"/>
                <w:b/>
                <w:bCs/>
                <w:sz w:val="21"/>
                <w:szCs w:val="21"/>
                <w:lang w:val="en-US" w:eastAsia="zh-CN"/>
              </w:rPr>
              <w:t>背景值</w:t>
            </w:r>
          </w:p>
        </w:tc>
        <w:tc>
          <w:tcPr>
            <w:tcW w:w="879" w:type="pct"/>
            <w:gridSpan w:val="2"/>
            <w:vAlign w:val="center"/>
          </w:tcPr>
          <w:p w14:paraId="12AA34B5">
            <w:pPr>
              <w:bidi w:val="0"/>
              <w:spacing w:line="240" w:lineRule="auto"/>
              <w:jc w:val="center"/>
              <w:rPr>
                <w:rFonts w:hint="default"/>
                <w:b/>
                <w:bCs/>
                <w:sz w:val="21"/>
                <w:szCs w:val="21"/>
                <w:lang w:val="en-US" w:eastAsia="zh-CN"/>
              </w:rPr>
            </w:pPr>
            <w:r>
              <w:rPr>
                <w:rFonts w:hint="default"/>
                <w:b/>
                <w:bCs/>
                <w:sz w:val="21"/>
                <w:szCs w:val="21"/>
                <w:lang w:val="en-US" w:eastAsia="zh-CN"/>
              </w:rPr>
              <w:t>预测值</w:t>
            </w:r>
          </w:p>
        </w:tc>
        <w:tc>
          <w:tcPr>
            <w:tcW w:w="561" w:type="pct"/>
            <w:gridSpan w:val="2"/>
            <w:vAlign w:val="center"/>
          </w:tcPr>
          <w:p w14:paraId="4E68C708">
            <w:pPr>
              <w:bidi w:val="0"/>
              <w:spacing w:line="240" w:lineRule="auto"/>
              <w:jc w:val="center"/>
              <w:rPr>
                <w:rFonts w:hint="default"/>
                <w:b/>
                <w:bCs/>
                <w:sz w:val="21"/>
                <w:szCs w:val="21"/>
                <w:lang w:val="en-US" w:eastAsia="zh-CN"/>
              </w:rPr>
            </w:pPr>
            <w:r>
              <w:rPr>
                <w:rFonts w:hint="default"/>
                <w:b/>
                <w:bCs/>
                <w:sz w:val="21"/>
                <w:szCs w:val="21"/>
                <w:lang w:val="en-US" w:eastAsia="zh-CN"/>
              </w:rPr>
              <w:t>标准值</w:t>
            </w:r>
          </w:p>
        </w:tc>
      </w:tr>
      <w:tr w14:paraId="03C5F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690" w:type="pct"/>
            <w:vMerge w:val="continue"/>
            <w:vAlign w:val="center"/>
          </w:tcPr>
          <w:p w14:paraId="1B265B36">
            <w:pPr>
              <w:bidi w:val="0"/>
              <w:spacing w:line="240" w:lineRule="auto"/>
              <w:jc w:val="center"/>
              <w:rPr>
                <w:rFonts w:hint="default"/>
                <w:b/>
                <w:bCs/>
                <w:sz w:val="21"/>
                <w:szCs w:val="21"/>
                <w:lang w:val="en-US" w:eastAsia="zh-CN"/>
              </w:rPr>
            </w:pPr>
          </w:p>
        </w:tc>
        <w:tc>
          <w:tcPr>
            <w:tcW w:w="490" w:type="pct"/>
            <w:vAlign w:val="center"/>
          </w:tcPr>
          <w:p w14:paraId="5389CCCF">
            <w:pPr>
              <w:bidi w:val="0"/>
              <w:spacing w:line="240" w:lineRule="auto"/>
              <w:jc w:val="center"/>
              <w:rPr>
                <w:rFonts w:hint="default"/>
                <w:b/>
                <w:bCs/>
                <w:sz w:val="21"/>
                <w:szCs w:val="21"/>
                <w:lang w:val="en-US" w:eastAsia="zh-CN"/>
              </w:rPr>
            </w:pPr>
            <w:r>
              <w:rPr>
                <w:rFonts w:hint="default"/>
                <w:b/>
                <w:bCs/>
                <w:sz w:val="21"/>
                <w:szCs w:val="21"/>
                <w:lang w:val="en-US" w:eastAsia="zh-CN"/>
              </w:rPr>
              <w:t>昼</w:t>
            </w:r>
          </w:p>
        </w:tc>
        <w:tc>
          <w:tcPr>
            <w:tcW w:w="469" w:type="pct"/>
            <w:vAlign w:val="center"/>
          </w:tcPr>
          <w:p w14:paraId="7015187C">
            <w:pPr>
              <w:bidi w:val="0"/>
              <w:spacing w:line="240" w:lineRule="auto"/>
              <w:jc w:val="center"/>
              <w:rPr>
                <w:rFonts w:hint="default"/>
                <w:b/>
                <w:bCs/>
                <w:sz w:val="21"/>
                <w:szCs w:val="21"/>
                <w:lang w:val="en-US" w:eastAsia="zh-CN"/>
              </w:rPr>
            </w:pPr>
            <w:r>
              <w:rPr>
                <w:rFonts w:hint="default"/>
                <w:b/>
                <w:bCs/>
                <w:sz w:val="21"/>
                <w:szCs w:val="21"/>
                <w:lang w:val="en-US" w:eastAsia="zh-CN"/>
              </w:rPr>
              <w:t>夜</w:t>
            </w:r>
          </w:p>
        </w:tc>
        <w:tc>
          <w:tcPr>
            <w:tcW w:w="522" w:type="pct"/>
            <w:vAlign w:val="center"/>
          </w:tcPr>
          <w:p w14:paraId="3EA6FFE8">
            <w:pPr>
              <w:bidi w:val="0"/>
              <w:spacing w:line="240" w:lineRule="auto"/>
              <w:jc w:val="center"/>
              <w:rPr>
                <w:rFonts w:hint="default"/>
                <w:b/>
                <w:bCs/>
                <w:sz w:val="21"/>
                <w:szCs w:val="21"/>
                <w:lang w:val="en-US" w:eastAsia="zh-CN"/>
              </w:rPr>
            </w:pPr>
            <w:r>
              <w:rPr>
                <w:rFonts w:hint="default"/>
                <w:b/>
                <w:bCs/>
                <w:sz w:val="21"/>
                <w:szCs w:val="21"/>
                <w:lang w:val="en-US" w:eastAsia="zh-CN"/>
              </w:rPr>
              <w:t>昼</w:t>
            </w:r>
          </w:p>
        </w:tc>
        <w:tc>
          <w:tcPr>
            <w:tcW w:w="474" w:type="pct"/>
            <w:vAlign w:val="center"/>
          </w:tcPr>
          <w:p w14:paraId="64B592BC">
            <w:pPr>
              <w:bidi w:val="0"/>
              <w:spacing w:line="240" w:lineRule="auto"/>
              <w:jc w:val="center"/>
              <w:rPr>
                <w:rFonts w:hint="default"/>
                <w:b/>
                <w:bCs/>
                <w:sz w:val="21"/>
                <w:szCs w:val="21"/>
                <w:lang w:val="en-US" w:eastAsia="zh-CN"/>
              </w:rPr>
            </w:pPr>
            <w:r>
              <w:rPr>
                <w:rFonts w:hint="default"/>
                <w:b/>
                <w:bCs/>
                <w:sz w:val="21"/>
                <w:szCs w:val="21"/>
                <w:lang w:val="en-US" w:eastAsia="zh-CN"/>
              </w:rPr>
              <w:t>夜</w:t>
            </w:r>
          </w:p>
        </w:tc>
        <w:tc>
          <w:tcPr>
            <w:tcW w:w="481" w:type="pct"/>
            <w:vAlign w:val="center"/>
          </w:tcPr>
          <w:p w14:paraId="36E4D10E">
            <w:pPr>
              <w:bidi w:val="0"/>
              <w:spacing w:line="240" w:lineRule="auto"/>
              <w:jc w:val="center"/>
              <w:rPr>
                <w:rFonts w:hint="default"/>
                <w:b/>
                <w:bCs/>
                <w:sz w:val="21"/>
                <w:szCs w:val="21"/>
                <w:lang w:val="en-US" w:eastAsia="zh-CN"/>
              </w:rPr>
            </w:pPr>
            <w:r>
              <w:rPr>
                <w:rFonts w:hint="default"/>
                <w:b/>
                <w:bCs/>
                <w:sz w:val="21"/>
                <w:szCs w:val="21"/>
                <w:lang w:val="en-US" w:eastAsia="zh-CN"/>
              </w:rPr>
              <w:t>昼</w:t>
            </w:r>
          </w:p>
        </w:tc>
        <w:tc>
          <w:tcPr>
            <w:tcW w:w="431" w:type="pct"/>
            <w:vAlign w:val="center"/>
          </w:tcPr>
          <w:p w14:paraId="1D70737B">
            <w:pPr>
              <w:bidi w:val="0"/>
              <w:spacing w:line="240" w:lineRule="auto"/>
              <w:jc w:val="center"/>
              <w:rPr>
                <w:rFonts w:hint="default"/>
                <w:b/>
                <w:bCs/>
                <w:sz w:val="21"/>
                <w:szCs w:val="21"/>
                <w:lang w:val="en-US" w:eastAsia="zh-CN"/>
              </w:rPr>
            </w:pPr>
            <w:r>
              <w:rPr>
                <w:rFonts w:hint="default"/>
                <w:b/>
                <w:bCs/>
                <w:sz w:val="21"/>
                <w:szCs w:val="21"/>
                <w:lang w:val="en-US" w:eastAsia="zh-CN"/>
              </w:rPr>
              <w:t>夜</w:t>
            </w:r>
          </w:p>
        </w:tc>
        <w:tc>
          <w:tcPr>
            <w:tcW w:w="450" w:type="pct"/>
            <w:vAlign w:val="center"/>
          </w:tcPr>
          <w:p w14:paraId="19CECFD6">
            <w:pPr>
              <w:bidi w:val="0"/>
              <w:spacing w:line="240" w:lineRule="auto"/>
              <w:jc w:val="center"/>
              <w:rPr>
                <w:rFonts w:hint="default"/>
                <w:b/>
                <w:bCs/>
                <w:sz w:val="21"/>
                <w:szCs w:val="21"/>
                <w:lang w:val="en-US" w:eastAsia="zh-CN"/>
              </w:rPr>
            </w:pPr>
            <w:r>
              <w:rPr>
                <w:rFonts w:hint="default"/>
                <w:b/>
                <w:bCs/>
                <w:sz w:val="21"/>
                <w:szCs w:val="21"/>
                <w:lang w:val="en-US" w:eastAsia="zh-CN"/>
              </w:rPr>
              <w:t>昼</w:t>
            </w:r>
          </w:p>
        </w:tc>
        <w:tc>
          <w:tcPr>
            <w:tcW w:w="429" w:type="pct"/>
            <w:vAlign w:val="center"/>
          </w:tcPr>
          <w:p w14:paraId="67888216">
            <w:pPr>
              <w:bidi w:val="0"/>
              <w:spacing w:line="240" w:lineRule="auto"/>
              <w:jc w:val="center"/>
              <w:rPr>
                <w:rFonts w:hint="default"/>
                <w:b/>
                <w:bCs/>
                <w:sz w:val="21"/>
                <w:szCs w:val="21"/>
                <w:lang w:val="en-US" w:eastAsia="zh-CN"/>
              </w:rPr>
            </w:pPr>
            <w:r>
              <w:rPr>
                <w:rFonts w:hint="default"/>
                <w:b/>
                <w:bCs/>
                <w:sz w:val="21"/>
                <w:szCs w:val="21"/>
                <w:lang w:val="en-US" w:eastAsia="zh-CN"/>
              </w:rPr>
              <w:t>夜</w:t>
            </w:r>
          </w:p>
        </w:tc>
        <w:tc>
          <w:tcPr>
            <w:tcW w:w="277" w:type="pct"/>
            <w:vAlign w:val="center"/>
          </w:tcPr>
          <w:p w14:paraId="01423BCD">
            <w:pPr>
              <w:bidi w:val="0"/>
              <w:spacing w:line="240" w:lineRule="auto"/>
              <w:jc w:val="center"/>
              <w:rPr>
                <w:rFonts w:hint="default"/>
                <w:b/>
                <w:bCs/>
                <w:sz w:val="21"/>
                <w:szCs w:val="21"/>
                <w:lang w:val="en-US" w:eastAsia="zh-CN"/>
              </w:rPr>
            </w:pPr>
            <w:r>
              <w:rPr>
                <w:rFonts w:hint="default"/>
                <w:b/>
                <w:bCs/>
                <w:sz w:val="21"/>
                <w:szCs w:val="21"/>
                <w:lang w:val="en-US" w:eastAsia="zh-CN"/>
              </w:rPr>
              <w:t>昼</w:t>
            </w:r>
          </w:p>
        </w:tc>
        <w:tc>
          <w:tcPr>
            <w:tcW w:w="284" w:type="pct"/>
            <w:vAlign w:val="center"/>
          </w:tcPr>
          <w:p w14:paraId="0386E076">
            <w:pPr>
              <w:bidi w:val="0"/>
              <w:spacing w:line="240" w:lineRule="auto"/>
              <w:jc w:val="center"/>
              <w:rPr>
                <w:rFonts w:hint="default"/>
                <w:b/>
                <w:bCs/>
                <w:sz w:val="21"/>
                <w:szCs w:val="21"/>
                <w:lang w:val="en-US" w:eastAsia="zh-CN"/>
              </w:rPr>
            </w:pPr>
            <w:r>
              <w:rPr>
                <w:rFonts w:hint="default"/>
                <w:b/>
                <w:bCs/>
                <w:sz w:val="21"/>
                <w:szCs w:val="21"/>
                <w:lang w:val="en-US" w:eastAsia="zh-CN"/>
              </w:rPr>
              <w:t>夜</w:t>
            </w:r>
          </w:p>
        </w:tc>
      </w:tr>
      <w:tr w14:paraId="65B1C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0" w:type="pct"/>
            <w:vAlign w:val="center"/>
          </w:tcPr>
          <w:p w14:paraId="55A907E4">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厂界东</w:t>
            </w:r>
          </w:p>
        </w:tc>
        <w:tc>
          <w:tcPr>
            <w:tcW w:w="490" w:type="pct"/>
            <w:shd w:val="clear" w:color="auto" w:fill="auto"/>
            <w:vAlign w:val="center"/>
          </w:tcPr>
          <w:p w14:paraId="0DDBFB5E">
            <w:pPr>
              <w:bidi w:val="0"/>
              <w:spacing w:line="240" w:lineRule="auto"/>
              <w:jc w:val="center"/>
              <w:rPr>
                <w:rFonts w:hint="default" w:ascii="Times New Roman" w:hAnsi="Times New Roman" w:eastAsia="宋体" w:cs="宋体"/>
                <w:b w:val="0"/>
                <w:bCs w:val="0"/>
                <w:sz w:val="21"/>
                <w:szCs w:val="21"/>
                <w:lang w:val="en-US" w:eastAsia="zh-CN" w:bidi="ar-SA"/>
              </w:rPr>
            </w:pPr>
            <w:r>
              <w:rPr>
                <w:rFonts w:hint="default"/>
                <w:b w:val="0"/>
                <w:bCs w:val="0"/>
                <w:sz w:val="21"/>
                <w:szCs w:val="21"/>
                <w:lang w:val="en-US" w:eastAsia="zh-CN"/>
              </w:rPr>
              <w:t>46.2</w:t>
            </w:r>
          </w:p>
        </w:tc>
        <w:tc>
          <w:tcPr>
            <w:tcW w:w="469" w:type="pct"/>
            <w:shd w:val="clear" w:color="auto" w:fill="auto"/>
            <w:vAlign w:val="center"/>
          </w:tcPr>
          <w:p w14:paraId="5224A414">
            <w:pPr>
              <w:bidi w:val="0"/>
              <w:spacing w:line="240" w:lineRule="auto"/>
              <w:jc w:val="center"/>
              <w:rPr>
                <w:rFonts w:hint="default" w:ascii="Times New Roman" w:hAnsi="Times New Roman" w:eastAsia="宋体" w:cs="宋体"/>
                <w:b w:val="0"/>
                <w:bCs w:val="0"/>
                <w:sz w:val="21"/>
                <w:szCs w:val="21"/>
                <w:lang w:val="en-US" w:eastAsia="zh-CN" w:bidi="ar-SA"/>
              </w:rPr>
            </w:pPr>
            <w:r>
              <w:rPr>
                <w:rFonts w:hint="default"/>
                <w:b w:val="0"/>
                <w:bCs w:val="0"/>
                <w:sz w:val="21"/>
                <w:szCs w:val="21"/>
                <w:lang w:val="en-US" w:eastAsia="zh-CN"/>
              </w:rPr>
              <w:t>46.2</w:t>
            </w:r>
          </w:p>
        </w:tc>
        <w:tc>
          <w:tcPr>
            <w:tcW w:w="522" w:type="pct"/>
            <w:vAlign w:val="center"/>
          </w:tcPr>
          <w:p w14:paraId="4E9C661A">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47.5</w:t>
            </w:r>
          </w:p>
        </w:tc>
        <w:tc>
          <w:tcPr>
            <w:tcW w:w="474" w:type="pct"/>
            <w:vAlign w:val="center"/>
          </w:tcPr>
          <w:p w14:paraId="658BD8D1">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47.5</w:t>
            </w:r>
          </w:p>
        </w:tc>
        <w:tc>
          <w:tcPr>
            <w:tcW w:w="481" w:type="pct"/>
            <w:shd w:val="clear" w:color="auto" w:fill="auto"/>
            <w:vAlign w:val="center"/>
          </w:tcPr>
          <w:p w14:paraId="4E3C983A">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53</w:t>
            </w:r>
          </w:p>
        </w:tc>
        <w:tc>
          <w:tcPr>
            <w:tcW w:w="431" w:type="pct"/>
            <w:shd w:val="clear" w:color="auto" w:fill="auto"/>
            <w:vAlign w:val="center"/>
          </w:tcPr>
          <w:p w14:paraId="738E206E">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50</w:t>
            </w:r>
          </w:p>
        </w:tc>
        <w:tc>
          <w:tcPr>
            <w:tcW w:w="450" w:type="pct"/>
            <w:vAlign w:val="center"/>
          </w:tcPr>
          <w:p w14:paraId="33E15976">
            <w:pPr>
              <w:bidi w:val="0"/>
              <w:spacing w:line="240" w:lineRule="auto"/>
              <w:jc w:val="center"/>
              <w:rPr>
                <w:rFonts w:hint="default"/>
                <w:b w:val="0"/>
                <w:bCs w:val="0"/>
                <w:sz w:val="21"/>
                <w:szCs w:val="21"/>
                <w:lang w:val="en-US" w:eastAsia="zh-CN"/>
              </w:rPr>
            </w:pPr>
            <w:r>
              <w:rPr>
                <w:rFonts w:hint="eastAsia"/>
                <w:b w:val="0"/>
                <w:bCs w:val="0"/>
                <w:sz w:val="21"/>
                <w:szCs w:val="21"/>
                <w:lang w:val="en-US" w:eastAsia="zh-CN"/>
              </w:rPr>
              <w:t>53.2</w:t>
            </w:r>
          </w:p>
        </w:tc>
        <w:tc>
          <w:tcPr>
            <w:tcW w:w="429" w:type="pct"/>
            <w:vAlign w:val="center"/>
          </w:tcPr>
          <w:p w14:paraId="640FAC4E">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w:t>
            </w:r>
            <w:r>
              <w:rPr>
                <w:rFonts w:hint="eastAsia"/>
                <w:b w:val="0"/>
                <w:bCs w:val="0"/>
                <w:sz w:val="21"/>
                <w:szCs w:val="21"/>
                <w:lang w:val="en-US" w:eastAsia="zh-CN"/>
              </w:rPr>
              <w:t>0</w:t>
            </w:r>
            <w:r>
              <w:rPr>
                <w:rFonts w:hint="default"/>
                <w:b w:val="0"/>
                <w:bCs w:val="0"/>
                <w:sz w:val="21"/>
                <w:szCs w:val="21"/>
                <w:lang w:val="en-US" w:eastAsia="zh-CN"/>
              </w:rPr>
              <w:t>.2</w:t>
            </w:r>
          </w:p>
        </w:tc>
        <w:tc>
          <w:tcPr>
            <w:tcW w:w="277" w:type="pct"/>
            <w:vMerge w:val="restart"/>
            <w:vAlign w:val="center"/>
          </w:tcPr>
          <w:p w14:paraId="7AC44FA5">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65</w:t>
            </w:r>
          </w:p>
        </w:tc>
        <w:tc>
          <w:tcPr>
            <w:tcW w:w="284" w:type="pct"/>
            <w:vMerge w:val="restart"/>
            <w:vAlign w:val="center"/>
          </w:tcPr>
          <w:p w14:paraId="252770AD">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55</w:t>
            </w:r>
          </w:p>
        </w:tc>
      </w:tr>
      <w:tr w14:paraId="2F906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0" w:type="pct"/>
            <w:vAlign w:val="center"/>
          </w:tcPr>
          <w:p w14:paraId="41968195">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厂界南</w:t>
            </w:r>
          </w:p>
        </w:tc>
        <w:tc>
          <w:tcPr>
            <w:tcW w:w="490" w:type="pct"/>
            <w:shd w:val="clear" w:color="auto" w:fill="auto"/>
            <w:vAlign w:val="center"/>
          </w:tcPr>
          <w:p w14:paraId="6B8738F9">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3</w:t>
            </w:r>
            <w:r>
              <w:rPr>
                <w:rFonts w:hint="default"/>
                <w:b w:val="0"/>
                <w:bCs w:val="0"/>
                <w:sz w:val="21"/>
                <w:szCs w:val="21"/>
                <w:lang w:val="en-US" w:eastAsia="zh-CN"/>
              </w:rPr>
              <w:t>8.3</w:t>
            </w:r>
          </w:p>
        </w:tc>
        <w:tc>
          <w:tcPr>
            <w:tcW w:w="469" w:type="pct"/>
            <w:shd w:val="clear" w:color="auto" w:fill="auto"/>
            <w:vAlign w:val="center"/>
          </w:tcPr>
          <w:p w14:paraId="3D5CFFBD">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3</w:t>
            </w:r>
            <w:r>
              <w:rPr>
                <w:rFonts w:hint="default"/>
                <w:b w:val="0"/>
                <w:bCs w:val="0"/>
                <w:sz w:val="21"/>
                <w:szCs w:val="21"/>
                <w:lang w:val="en-US" w:eastAsia="zh-CN"/>
              </w:rPr>
              <w:t>8.3</w:t>
            </w:r>
          </w:p>
        </w:tc>
        <w:tc>
          <w:tcPr>
            <w:tcW w:w="522" w:type="pct"/>
            <w:vAlign w:val="center"/>
          </w:tcPr>
          <w:p w14:paraId="594B88D5">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45.3</w:t>
            </w:r>
          </w:p>
        </w:tc>
        <w:tc>
          <w:tcPr>
            <w:tcW w:w="474" w:type="pct"/>
            <w:vAlign w:val="center"/>
          </w:tcPr>
          <w:p w14:paraId="7F13E0B5">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45.3</w:t>
            </w:r>
          </w:p>
        </w:tc>
        <w:tc>
          <w:tcPr>
            <w:tcW w:w="481" w:type="pct"/>
            <w:shd w:val="clear" w:color="auto" w:fill="auto"/>
            <w:vAlign w:val="center"/>
          </w:tcPr>
          <w:p w14:paraId="7F09273A">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56</w:t>
            </w:r>
          </w:p>
        </w:tc>
        <w:tc>
          <w:tcPr>
            <w:tcW w:w="431" w:type="pct"/>
            <w:shd w:val="clear" w:color="auto" w:fill="auto"/>
            <w:vAlign w:val="center"/>
          </w:tcPr>
          <w:p w14:paraId="767453A1">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52</w:t>
            </w:r>
          </w:p>
        </w:tc>
        <w:tc>
          <w:tcPr>
            <w:tcW w:w="450" w:type="pct"/>
            <w:vAlign w:val="center"/>
          </w:tcPr>
          <w:p w14:paraId="6DC65E56">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56.</w:t>
            </w:r>
            <w:r>
              <w:rPr>
                <w:rFonts w:hint="eastAsia"/>
                <w:b w:val="0"/>
                <w:bCs w:val="0"/>
                <w:sz w:val="21"/>
                <w:szCs w:val="21"/>
                <w:lang w:val="en-US" w:eastAsia="zh-CN"/>
              </w:rPr>
              <w:t>1</w:t>
            </w:r>
          </w:p>
        </w:tc>
        <w:tc>
          <w:tcPr>
            <w:tcW w:w="429" w:type="pct"/>
            <w:vAlign w:val="center"/>
          </w:tcPr>
          <w:p w14:paraId="42924812">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w:t>
            </w:r>
            <w:r>
              <w:rPr>
                <w:rFonts w:hint="eastAsia"/>
                <w:b w:val="0"/>
                <w:bCs w:val="0"/>
                <w:sz w:val="21"/>
                <w:szCs w:val="21"/>
                <w:lang w:val="en-US" w:eastAsia="zh-CN"/>
              </w:rPr>
              <w:t>2.1</w:t>
            </w:r>
          </w:p>
        </w:tc>
        <w:tc>
          <w:tcPr>
            <w:tcW w:w="277" w:type="pct"/>
            <w:vMerge w:val="continue"/>
            <w:vAlign w:val="center"/>
          </w:tcPr>
          <w:p w14:paraId="2358A5B3">
            <w:pPr>
              <w:bidi w:val="0"/>
              <w:spacing w:line="240" w:lineRule="auto"/>
              <w:rPr>
                <w:rFonts w:hint="default"/>
                <w:b w:val="0"/>
                <w:bCs w:val="0"/>
                <w:sz w:val="21"/>
                <w:szCs w:val="21"/>
                <w:lang w:val="en-US" w:eastAsia="zh-CN"/>
              </w:rPr>
            </w:pPr>
          </w:p>
        </w:tc>
        <w:tc>
          <w:tcPr>
            <w:tcW w:w="284" w:type="pct"/>
            <w:vMerge w:val="continue"/>
            <w:vAlign w:val="center"/>
          </w:tcPr>
          <w:p w14:paraId="59EF19F8">
            <w:pPr>
              <w:bidi w:val="0"/>
              <w:spacing w:line="240" w:lineRule="auto"/>
              <w:rPr>
                <w:rFonts w:hint="default"/>
                <w:b w:val="0"/>
                <w:bCs w:val="0"/>
                <w:sz w:val="21"/>
                <w:szCs w:val="21"/>
                <w:lang w:val="en-US" w:eastAsia="zh-CN"/>
              </w:rPr>
            </w:pPr>
          </w:p>
        </w:tc>
      </w:tr>
      <w:tr w14:paraId="4B824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0" w:type="pct"/>
            <w:vAlign w:val="center"/>
          </w:tcPr>
          <w:p w14:paraId="7DCC3DAA">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厂界西</w:t>
            </w:r>
          </w:p>
        </w:tc>
        <w:tc>
          <w:tcPr>
            <w:tcW w:w="490" w:type="pct"/>
            <w:shd w:val="clear" w:color="auto" w:fill="auto"/>
            <w:vAlign w:val="center"/>
          </w:tcPr>
          <w:p w14:paraId="5C81766E">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47</w:t>
            </w:r>
            <w:r>
              <w:rPr>
                <w:rFonts w:hint="default"/>
                <w:b w:val="0"/>
                <w:bCs w:val="0"/>
                <w:sz w:val="21"/>
                <w:szCs w:val="21"/>
                <w:lang w:val="en-US" w:eastAsia="zh-CN"/>
              </w:rPr>
              <w:t>.0</w:t>
            </w:r>
          </w:p>
        </w:tc>
        <w:tc>
          <w:tcPr>
            <w:tcW w:w="469" w:type="pct"/>
            <w:shd w:val="clear" w:color="auto" w:fill="auto"/>
            <w:vAlign w:val="center"/>
          </w:tcPr>
          <w:p w14:paraId="5051AECB">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47</w:t>
            </w:r>
            <w:r>
              <w:rPr>
                <w:rFonts w:hint="default"/>
                <w:b w:val="0"/>
                <w:bCs w:val="0"/>
                <w:sz w:val="21"/>
                <w:szCs w:val="21"/>
                <w:lang w:val="en-US" w:eastAsia="zh-CN"/>
              </w:rPr>
              <w:t>.0</w:t>
            </w:r>
          </w:p>
        </w:tc>
        <w:tc>
          <w:tcPr>
            <w:tcW w:w="522" w:type="pct"/>
            <w:vAlign w:val="center"/>
          </w:tcPr>
          <w:p w14:paraId="2820ED75">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39.5</w:t>
            </w:r>
          </w:p>
        </w:tc>
        <w:tc>
          <w:tcPr>
            <w:tcW w:w="474" w:type="pct"/>
            <w:vAlign w:val="center"/>
          </w:tcPr>
          <w:p w14:paraId="543C036F">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39.5</w:t>
            </w:r>
          </w:p>
        </w:tc>
        <w:tc>
          <w:tcPr>
            <w:tcW w:w="481" w:type="pct"/>
            <w:shd w:val="clear" w:color="auto" w:fill="auto"/>
            <w:vAlign w:val="center"/>
          </w:tcPr>
          <w:p w14:paraId="4AB00192">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57</w:t>
            </w:r>
          </w:p>
        </w:tc>
        <w:tc>
          <w:tcPr>
            <w:tcW w:w="431" w:type="pct"/>
            <w:shd w:val="clear" w:color="auto" w:fill="auto"/>
            <w:vAlign w:val="center"/>
          </w:tcPr>
          <w:p w14:paraId="69293FA0">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54</w:t>
            </w:r>
          </w:p>
        </w:tc>
        <w:tc>
          <w:tcPr>
            <w:tcW w:w="450" w:type="pct"/>
            <w:vAlign w:val="center"/>
          </w:tcPr>
          <w:p w14:paraId="68A6C59F">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57.</w:t>
            </w:r>
            <w:r>
              <w:rPr>
                <w:rFonts w:hint="eastAsia"/>
                <w:b w:val="0"/>
                <w:bCs w:val="0"/>
                <w:sz w:val="21"/>
                <w:szCs w:val="21"/>
                <w:lang w:val="en-US" w:eastAsia="zh-CN"/>
              </w:rPr>
              <w:t>2</w:t>
            </w:r>
          </w:p>
        </w:tc>
        <w:tc>
          <w:tcPr>
            <w:tcW w:w="429" w:type="pct"/>
            <w:vAlign w:val="center"/>
          </w:tcPr>
          <w:p w14:paraId="1F9F49B8">
            <w:pPr>
              <w:bidi w:val="0"/>
              <w:spacing w:line="240" w:lineRule="auto"/>
              <w:jc w:val="center"/>
              <w:rPr>
                <w:rFonts w:hint="default"/>
                <w:b w:val="0"/>
                <w:bCs w:val="0"/>
                <w:sz w:val="21"/>
                <w:szCs w:val="21"/>
                <w:lang w:val="en-US" w:eastAsia="zh-CN"/>
              </w:rPr>
            </w:pPr>
            <w:r>
              <w:rPr>
                <w:rFonts w:hint="eastAsia"/>
                <w:b w:val="0"/>
                <w:bCs w:val="0"/>
                <w:sz w:val="21"/>
                <w:szCs w:val="21"/>
                <w:lang w:val="en-US" w:eastAsia="zh-CN"/>
              </w:rPr>
              <w:t>54.2</w:t>
            </w:r>
          </w:p>
        </w:tc>
        <w:tc>
          <w:tcPr>
            <w:tcW w:w="277" w:type="pct"/>
            <w:vMerge w:val="continue"/>
            <w:vAlign w:val="center"/>
          </w:tcPr>
          <w:p w14:paraId="50AC8E97">
            <w:pPr>
              <w:bidi w:val="0"/>
              <w:spacing w:line="240" w:lineRule="auto"/>
              <w:rPr>
                <w:rFonts w:hint="default"/>
                <w:b w:val="0"/>
                <w:bCs w:val="0"/>
                <w:sz w:val="21"/>
                <w:szCs w:val="21"/>
                <w:lang w:val="en-US" w:eastAsia="zh-CN"/>
              </w:rPr>
            </w:pPr>
          </w:p>
        </w:tc>
        <w:tc>
          <w:tcPr>
            <w:tcW w:w="284" w:type="pct"/>
            <w:vMerge w:val="continue"/>
            <w:vAlign w:val="center"/>
          </w:tcPr>
          <w:p w14:paraId="46CB4A52">
            <w:pPr>
              <w:bidi w:val="0"/>
              <w:spacing w:line="240" w:lineRule="auto"/>
              <w:rPr>
                <w:rFonts w:hint="default"/>
                <w:b w:val="0"/>
                <w:bCs w:val="0"/>
                <w:sz w:val="21"/>
                <w:szCs w:val="21"/>
                <w:lang w:val="en-US" w:eastAsia="zh-CN"/>
              </w:rPr>
            </w:pPr>
          </w:p>
        </w:tc>
      </w:tr>
      <w:tr w14:paraId="5ECA7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90" w:type="pct"/>
            <w:vAlign w:val="center"/>
          </w:tcPr>
          <w:p w14:paraId="46436F39">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厂界北</w:t>
            </w:r>
          </w:p>
        </w:tc>
        <w:tc>
          <w:tcPr>
            <w:tcW w:w="490" w:type="pct"/>
            <w:vAlign w:val="center"/>
          </w:tcPr>
          <w:p w14:paraId="0BEC58A5">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w:t>
            </w:r>
            <w:r>
              <w:rPr>
                <w:rFonts w:hint="eastAsia"/>
                <w:b w:val="0"/>
                <w:bCs w:val="0"/>
                <w:sz w:val="21"/>
                <w:szCs w:val="21"/>
                <w:lang w:val="en-US" w:eastAsia="zh-CN"/>
              </w:rPr>
              <w:t>9</w:t>
            </w:r>
            <w:r>
              <w:rPr>
                <w:rFonts w:hint="default"/>
                <w:b w:val="0"/>
                <w:bCs w:val="0"/>
                <w:sz w:val="21"/>
                <w:szCs w:val="21"/>
                <w:lang w:val="en-US" w:eastAsia="zh-CN"/>
              </w:rPr>
              <w:t>.5</w:t>
            </w:r>
          </w:p>
        </w:tc>
        <w:tc>
          <w:tcPr>
            <w:tcW w:w="469" w:type="pct"/>
            <w:vAlign w:val="center"/>
          </w:tcPr>
          <w:p w14:paraId="77676D07">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w:t>
            </w:r>
            <w:r>
              <w:rPr>
                <w:rFonts w:hint="eastAsia"/>
                <w:b w:val="0"/>
                <w:bCs w:val="0"/>
                <w:sz w:val="21"/>
                <w:szCs w:val="21"/>
                <w:lang w:val="en-US" w:eastAsia="zh-CN"/>
              </w:rPr>
              <w:t>9</w:t>
            </w:r>
            <w:r>
              <w:rPr>
                <w:rFonts w:hint="default"/>
                <w:b w:val="0"/>
                <w:bCs w:val="0"/>
                <w:sz w:val="21"/>
                <w:szCs w:val="21"/>
                <w:lang w:val="en-US" w:eastAsia="zh-CN"/>
              </w:rPr>
              <w:t>.5</w:t>
            </w:r>
          </w:p>
        </w:tc>
        <w:tc>
          <w:tcPr>
            <w:tcW w:w="522" w:type="pct"/>
            <w:vAlign w:val="center"/>
          </w:tcPr>
          <w:p w14:paraId="42A71FBD">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48.0</w:t>
            </w:r>
          </w:p>
        </w:tc>
        <w:tc>
          <w:tcPr>
            <w:tcW w:w="474" w:type="pct"/>
            <w:vAlign w:val="center"/>
          </w:tcPr>
          <w:p w14:paraId="43255DFC">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48.0</w:t>
            </w:r>
          </w:p>
        </w:tc>
        <w:tc>
          <w:tcPr>
            <w:tcW w:w="481" w:type="pct"/>
            <w:shd w:val="clear" w:color="auto" w:fill="auto"/>
            <w:vAlign w:val="center"/>
          </w:tcPr>
          <w:p w14:paraId="70DEB35D">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59</w:t>
            </w:r>
          </w:p>
        </w:tc>
        <w:tc>
          <w:tcPr>
            <w:tcW w:w="431" w:type="pct"/>
            <w:shd w:val="clear" w:color="auto" w:fill="auto"/>
            <w:vAlign w:val="center"/>
          </w:tcPr>
          <w:p w14:paraId="3CB459BB">
            <w:pPr>
              <w:bidi w:val="0"/>
              <w:spacing w:line="240" w:lineRule="auto"/>
              <w:jc w:val="center"/>
              <w:rPr>
                <w:rFonts w:hint="default" w:ascii="Times New Roman" w:hAnsi="Times New Roman" w:eastAsia="宋体" w:cs="宋体"/>
                <w:b w:val="0"/>
                <w:bCs w:val="0"/>
                <w:sz w:val="21"/>
                <w:szCs w:val="21"/>
                <w:lang w:val="en-US" w:eastAsia="zh-CN" w:bidi="ar-SA"/>
              </w:rPr>
            </w:pPr>
            <w:r>
              <w:rPr>
                <w:rFonts w:hint="eastAsia"/>
                <w:b w:val="0"/>
                <w:bCs w:val="0"/>
                <w:sz w:val="21"/>
                <w:szCs w:val="21"/>
                <w:lang w:val="en-US" w:eastAsia="zh-CN"/>
              </w:rPr>
              <w:t>53</w:t>
            </w:r>
          </w:p>
        </w:tc>
        <w:tc>
          <w:tcPr>
            <w:tcW w:w="450" w:type="pct"/>
            <w:vAlign w:val="center"/>
          </w:tcPr>
          <w:p w14:paraId="0B734275">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59.</w:t>
            </w:r>
            <w:r>
              <w:rPr>
                <w:rFonts w:hint="eastAsia"/>
                <w:b w:val="0"/>
                <w:bCs w:val="0"/>
                <w:sz w:val="21"/>
                <w:szCs w:val="21"/>
                <w:lang w:val="en-US" w:eastAsia="zh-CN"/>
              </w:rPr>
              <w:t>3</w:t>
            </w:r>
          </w:p>
        </w:tc>
        <w:tc>
          <w:tcPr>
            <w:tcW w:w="429" w:type="pct"/>
            <w:vAlign w:val="center"/>
          </w:tcPr>
          <w:p w14:paraId="68BB4389">
            <w:pPr>
              <w:bidi w:val="0"/>
              <w:spacing w:line="240" w:lineRule="auto"/>
              <w:jc w:val="center"/>
              <w:rPr>
                <w:rFonts w:hint="default"/>
                <w:b w:val="0"/>
                <w:bCs w:val="0"/>
                <w:sz w:val="21"/>
                <w:szCs w:val="21"/>
                <w:lang w:val="en-US" w:eastAsia="zh-CN"/>
              </w:rPr>
            </w:pPr>
            <w:r>
              <w:rPr>
                <w:rFonts w:hint="default"/>
                <w:b w:val="0"/>
                <w:bCs w:val="0"/>
                <w:sz w:val="21"/>
                <w:szCs w:val="21"/>
                <w:lang w:val="en-US" w:eastAsia="zh-CN"/>
              </w:rPr>
              <w:t>53.</w:t>
            </w:r>
            <w:r>
              <w:rPr>
                <w:rFonts w:hint="eastAsia"/>
                <w:b w:val="0"/>
                <w:bCs w:val="0"/>
                <w:sz w:val="21"/>
                <w:szCs w:val="21"/>
                <w:lang w:val="en-US" w:eastAsia="zh-CN"/>
              </w:rPr>
              <w:t>3</w:t>
            </w:r>
          </w:p>
        </w:tc>
        <w:tc>
          <w:tcPr>
            <w:tcW w:w="277" w:type="pct"/>
            <w:vMerge w:val="continue"/>
            <w:vAlign w:val="center"/>
          </w:tcPr>
          <w:p w14:paraId="0B85B246">
            <w:pPr>
              <w:bidi w:val="0"/>
              <w:spacing w:line="240" w:lineRule="auto"/>
              <w:rPr>
                <w:rFonts w:hint="default"/>
                <w:b w:val="0"/>
                <w:bCs w:val="0"/>
                <w:sz w:val="21"/>
                <w:szCs w:val="21"/>
                <w:lang w:val="en-US" w:eastAsia="zh-CN"/>
              </w:rPr>
            </w:pPr>
          </w:p>
        </w:tc>
        <w:tc>
          <w:tcPr>
            <w:tcW w:w="284" w:type="pct"/>
            <w:vMerge w:val="continue"/>
            <w:vAlign w:val="center"/>
          </w:tcPr>
          <w:p w14:paraId="0355D0D0">
            <w:pPr>
              <w:bidi w:val="0"/>
              <w:spacing w:line="240" w:lineRule="auto"/>
              <w:rPr>
                <w:rFonts w:hint="default"/>
                <w:b w:val="0"/>
                <w:bCs w:val="0"/>
                <w:sz w:val="21"/>
                <w:szCs w:val="21"/>
                <w:lang w:val="en-US" w:eastAsia="zh-CN"/>
              </w:rPr>
            </w:pPr>
          </w:p>
        </w:tc>
      </w:tr>
    </w:tbl>
    <w:p w14:paraId="12D1B99F">
      <w:pPr>
        <w:bidi w:val="0"/>
        <w:ind w:firstLine="480" w:firstLineChars="200"/>
        <w:rPr>
          <w:rFonts w:hint="default"/>
          <w:b w:val="0"/>
          <w:bCs w:val="0"/>
          <w:lang w:val="en-US" w:eastAsia="zh-CN"/>
        </w:rPr>
        <w:sectPr>
          <w:pgSz w:w="11905" w:h="16838"/>
          <w:pgMar w:top="1417" w:right="1134" w:bottom="1134" w:left="1417" w:header="851" w:footer="992" w:gutter="0"/>
          <w:pgNumType w:fmt="decimal"/>
          <w:cols w:space="0" w:num="1"/>
          <w:rtlGutter w:val="0"/>
          <w:docGrid w:type="lines" w:linePitch="346" w:charSpace="0"/>
        </w:sectPr>
      </w:pPr>
      <w:r>
        <w:rPr>
          <w:rFonts w:hint="default"/>
          <w:b w:val="0"/>
          <w:bCs w:val="0"/>
          <w:lang w:val="en-US" w:eastAsia="zh-CN"/>
        </w:rPr>
        <w:t>预测结果表明，项目建成运行后，厂界噪声预测值均满足《工业企业厂界环境噪声排放标准》</w:t>
      </w:r>
      <w:r>
        <w:rPr>
          <w:rFonts w:hint="eastAsia"/>
          <w:b w:val="0"/>
          <w:bCs w:val="0"/>
          <w:lang w:val="en-US" w:eastAsia="zh-CN"/>
        </w:rPr>
        <w:t>（</w:t>
      </w:r>
      <w:r>
        <w:rPr>
          <w:rFonts w:hint="default"/>
          <w:b w:val="0"/>
          <w:bCs w:val="0"/>
          <w:lang w:val="en-US" w:eastAsia="zh-CN"/>
        </w:rPr>
        <w:t>GB12348-2008</w:t>
      </w:r>
      <w:r>
        <w:rPr>
          <w:rFonts w:hint="eastAsia"/>
          <w:b w:val="0"/>
          <w:bCs w:val="0"/>
          <w:lang w:val="en-US" w:eastAsia="zh-CN"/>
        </w:rPr>
        <w:t>）</w:t>
      </w:r>
      <w:r>
        <w:rPr>
          <w:rFonts w:hint="default"/>
          <w:b w:val="0"/>
          <w:bCs w:val="0"/>
          <w:lang w:val="en-US" w:eastAsia="zh-CN"/>
        </w:rPr>
        <w:t>3类标准要求。因此，本评价认为，本项目建设对区域声环境造成的不利影响较小。</w:t>
      </w:r>
    </w:p>
    <w:p w14:paraId="0D7A9E5F">
      <w:pPr>
        <w:bidi w:val="0"/>
        <w:rPr>
          <w:rFonts w:hint="default"/>
          <w:b/>
          <w:bCs/>
          <w:lang w:val="en-US" w:eastAsia="zh-CN"/>
        </w:rPr>
      </w:pPr>
      <w:r>
        <w:rPr>
          <w:rFonts w:hint="default"/>
          <w:b/>
          <w:bCs/>
          <w:lang w:val="en-US" w:eastAsia="zh-CN"/>
        </w:rPr>
        <w:fldChar w:fldCharType="begin"/>
      </w:r>
      <w:r>
        <w:rPr>
          <w:rFonts w:hint="default"/>
          <w:b/>
          <w:bCs/>
          <w:lang w:val="en-US" w:eastAsia="zh-CN"/>
        </w:rPr>
        <w:instrText xml:space="preserve"> HYPERLINK \l "_Toc371587816" </w:instrText>
      </w:r>
      <w:r>
        <w:rPr>
          <w:rFonts w:hint="default"/>
          <w:b/>
          <w:bCs/>
          <w:lang w:val="en-US" w:eastAsia="zh-CN"/>
        </w:rPr>
        <w:fldChar w:fldCharType="separate"/>
      </w:r>
      <w:bookmarkStart w:id="94" w:name="_Toc34310337"/>
      <w:r>
        <w:rPr>
          <w:rFonts w:hint="default"/>
          <w:b/>
          <w:bCs/>
          <w:lang w:val="en-US" w:eastAsia="zh-CN"/>
        </w:rPr>
        <w:t>6.2.4 地下水环境影响</w:t>
      </w:r>
      <w:bookmarkEnd w:id="94"/>
      <w:r>
        <w:rPr>
          <w:rFonts w:hint="default"/>
          <w:b/>
          <w:bCs/>
          <w:lang w:val="en-US" w:eastAsia="zh-CN"/>
        </w:rPr>
        <w:t>预测与评价</w:t>
      </w:r>
      <w:r>
        <w:rPr>
          <w:rFonts w:hint="default"/>
          <w:b/>
          <w:bCs/>
          <w:lang w:val="en-US" w:eastAsia="zh-CN"/>
        </w:rPr>
        <w:fldChar w:fldCharType="end"/>
      </w:r>
    </w:p>
    <w:p w14:paraId="472B17D8">
      <w:pPr>
        <w:bidi w:val="0"/>
        <w:rPr>
          <w:rFonts w:hint="default"/>
          <w:b/>
          <w:bCs/>
          <w:lang w:val="en-US" w:eastAsia="zh-CN"/>
        </w:rPr>
      </w:pPr>
      <w:r>
        <w:rPr>
          <w:rFonts w:hint="eastAsia"/>
          <w:b/>
          <w:bCs/>
          <w:lang w:val="en-US" w:eastAsia="zh-CN"/>
        </w:rPr>
        <w:t>6</w:t>
      </w:r>
      <w:r>
        <w:rPr>
          <w:rFonts w:hint="default"/>
          <w:b/>
          <w:bCs/>
          <w:lang w:val="en-US" w:eastAsia="zh-CN"/>
        </w:rPr>
        <w:t>.2.</w:t>
      </w:r>
      <w:r>
        <w:rPr>
          <w:rFonts w:hint="eastAsia"/>
          <w:b/>
          <w:bCs/>
          <w:lang w:val="en-US" w:eastAsia="zh-CN"/>
        </w:rPr>
        <w:t>4</w:t>
      </w:r>
      <w:r>
        <w:rPr>
          <w:rFonts w:hint="default"/>
          <w:b/>
          <w:bCs/>
          <w:lang w:val="en-US" w:eastAsia="zh-CN"/>
        </w:rPr>
        <w:t>.1 地下水环境影响分析</w:t>
      </w:r>
    </w:p>
    <w:p w14:paraId="3DDA7295">
      <w:pPr>
        <w:bidi w:val="0"/>
        <w:rPr>
          <w:rFonts w:hint="default"/>
          <w:b/>
          <w:bCs/>
          <w:lang w:val="en-US" w:eastAsia="zh-CN"/>
        </w:rPr>
      </w:pPr>
      <w:r>
        <w:rPr>
          <w:rFonts w:hint="eastAsia"/>
          <w:b/>
          <w:bCs/>
          <w:lang w:val="en-US" w:eastAsia="zh-CN"/>
        </w:rPr>
        <w:t>6</w:t>
      </w:r>
      <w:r>
        <w:rPr>
          <w:rFonts w:hint="default"/>
          <w:b/>
          <w:bCs/>
          <w:lang w:val="en-US" w:eastAsia="zh-CN"/>
        </w:rPr>
        <w:t>.2.</w:t>
      </w:r>
      <w:r>
        <w:rPr>
          <w:rFonts w:hint="eastAsia"/>
          <w:b/>
          <w:bCs/>
          <w:lang w:val="en-US" w:eastAsia="zh-CN"/>
        </w:rPr>
        <w:t>4</w:t>
      </w:r>
      <w:r>
        <w:rPr>
          <w:rFonts w:hint="default"/>
          <w:b/>
          <w:bCs/>
          <w:lang w:val="en-US" w:eastAsia="zh-CN"/>
        </w:rPr>
        <w:t>.1.1 区域地质条件</w:t>
      </w:r>
    </w:p>
    <w:p w14:paraId="271D48D0">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1、地质构造</w:t>
      </w:r>
    </w:p>
    <w:p w14:paraId="4FB23F9C">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合肥地区属于下扬子海槽和淮阳古陆边缘地带。震旦纪前，该地为烟波浩淼的海浸区，吕梁造山运动，产生了淮阳高地与古大别山。白垩纪的燕山运动，江淮间出现皱褶，形成了江淮丘陵。第四纪的喜马拉雅运动，地壳升降、断裂、波折，出现西东走向的江淮分水岭，形成江淮分水格局。评价区位于江淮台隆南部。根据《1：20万合肥、定远幅区域地质调查报告》安徽省区域地质调查队（1970年），距评价区较近的断裂有：肥中断裂（F1）、五里井-肥西断裂（F6）、大新庄-丙子铺断裂（F7）、桥头集-东关断裂（F9）、朱巷断层（F10）。</w:t>
      </w:r>
    </w:p>
    <w:p w14:paraId="49A8226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2 、地层岩性</w:t>
      </w:r>
    </w:p>
    <w:p w14:paraId="12E4D06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合肥市属华北地层区鲁西地层分区的长丰小区（中新生代沉积区）为巨厚的中、新生代陆源碎屑岩堆积区。地表绝大部分为第四纪棕黄、褐黄色粘土、亚粘土所覆盖，在河流中下游有近代冲积层分布。前第四纪地层主要有中生代侏罗纪晚世周公山组（J3z），白垩纪早世新庄组（K1x），白垩纪晚世下符桥组（K2xf））、张桥组（K2z）及新生代第三纪定远组（Edn）。</w:t>
      </w:r>
    </w:p>
    <w:p w14:paraId="4E6155C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区域地层基本特征由老至新描述如下：</w:t>
      </w:r>
    </w:p>
    <w:p w14:paraId="08D79EA0">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（1）前第四纪地层</w:t>
      </w:r>
    </w:p>
    <w:p w14:paraId="6211F27B">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①侏罗纪晚世周公山组（J3z），分布于合肥市中西部，岩性为一套紫红、灰紫、灰白色薄-厚层细中粒长石石英砂岩、含铁、钙石英粉砂岩和含砾中细粒、中粗粒石英砂岩，厚＞762m。</w:t>
      </w:r>
    </w:p>
    <w:p w14:paraId="57CDE32C">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②白垩纪早世新庄组（K1x），自下而上可分为四段：</w:t>
      </w:r>
    </w:p>
    <w:p w14:paraId="1D4ACC6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一段（K1x1）：棕红、褐色粉砂质泥岩，含砾泥岩与紫红、棕红色粉砂质泥岩、泥岩互层，夹褐色、灰黑色细砂岩、粉砂岩。厚200-300m。</w:t>
      </w:r>
    </w:p>
    <w:p w14:paraId="27CE6D4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二段（K1x2）：棕褐、紫红色粉砂质泥岩、钙质泥岩与灰色细砂岩、粉砂岩互层，局部含石膏。厚300-700m。</w:t>
      </w:r>
    </w:p>
    <w:p w14:paraId="40121C6F">
      <w:pPr>
        <w:bidi w:val="0"/>
        <w:ind w:firstLine="480" w:firstLineChars="200"/>
        <w:rPr>
          <w:rFonts w:hint="default"/>
          <w:lang w:val="en-US" w:eastAsia="zh-CN"/>
        </w:rPr>
      </w:pPr>
      <w:r>
        <w:rPr>
          <w:rFonts w:hint="default"/>
          <w:lang w:val="en-US" w:eastAsia="zh-CN"/>
        </w:rPr>
        <w:t>三段（K1x3）：棕褐色粉砂质泥岩与棕红色中粗砂岩互层，夹砂砾岩、砾岩，局部含石膏。长丰县双墩一带为棕红色砂岩、长石石英砂岩夹粉砂质泥岩、泥质粉砂岩和灰绿色页岩。厚170~300m。</w:t>
      </w:r>
    </w:p>
    <w:p w14:paraId="00748851">
      <w:pPr>
        <w:bidi w:val="0"/>
        <w:ind w:firstLine="480" w:firstLineChars="200"/>
        <w:rPr>
          <w:rFonts w:hint="default"/>
          <w:lang w:val="en-US" w:eastAsia="zh-CN"/>
        </w:rPr>
      </w:pPr>
      <w:r>
        <w:rPr>
          <w:rFonts w:hint="default"/>
          <w:lang w:val="en-US" w:eastAsia="zh-CN"/>
        </w:rPr>
        <w:t>四段（K1x4）：棕褐、紫褐色粉砂质泥岩与浅棕、灰色细砂岩、粉砂岩互层，夹含砾砂岩、泥岩，含石膏。厚100-600m。</w:t>
      </w:r>
    </w:p>
    <w:p w14:paraId="7945443B">
      <w:pPr>
        <w:bidi w:val="0"/>
        <w:ind w:firstLine="480" w:firstLineChars="200"/>
        <w:rPr>
          <w:rFonts w:hint="default"/>
          <w:lang w:val="en-US" w:eastAsia="zh-CN"/>
        </w:rPr>
      </w:pPr>
      <w:r>
        <w:rPr>
          <w:rFonts w:hint="default"/>
          <w:lang w:val="en-US" w:eastAsia="zh-CN"/>
        </w:rPr>
        <w:t>③白垩纪晚世下符桥组（K2xf），分布于合肥西部，其岩性为棕红、紫红、暗紫色薄-中厚层砾岩、砂砾岩、砂岩、凝灰质砾岩、含砾砂岩、铁钙质粉砂岩、砂岩。厚度大于838m。</w:t>
      </w:r>
    </w:p>
    <w:p w14:paraId="4C22E6B2">
      <w:pPr>
        <w:bidi w:val="0"/>
        <w:ind w:firstLine="480" w:firstLineChars="200"/>
        <w:rPr>
          <w:rFonts w:hint="default"/>
          <w:lang w:val="en-US" w:eastAsia="zh-CN"/>
        </w:rPr>
      </w:pPr>
      <w:r>
        <w:rPr>
          <w:rFonts w:hint="default"/>
          <w:lang w:val="en-US" w:eastAsia="zh-CN"/>
        </w:rPr>
        <w:t>④白垩纪晚世张桥组（K2z），分布于合肥西北部。其岩性为一套砖红、棕红、棕褐色细粒长石砂岩、石英粉砂岩夹中细粒砂岩、泥岩及少量泥质粉砂岩、粉砂质泥岩。厚＞996m。其砂岩组份较高，且多这钙质胶结。</w:t>
      </w:r>
    </w:p>
    <w:p w14:paraId="665D1544">
      <w:pPr>
        <w:bidi w:val="0"/>
        <w:ind w:firstLine="480" w:firstLineChars="200"/>
        <w:rPr>
          <w:rFonts w:hint="default"/>
          <w:lang w:val="en-US" w:eastAsia="zh-CN"/>
        </w:rPr>
      </w:pPr>
      <w:r>
        <w:rPr>
          <w:rFonts w:hint="default"/>
          <w:lang w:val="en-US" w:eastAsia="zh-CN"/>
        </w:rPr>
        <w:t>⑤第三纪定远组（Edn），为一套含石膏、岩盐的红色碎屑岩，主要分布于合肥东部。可分为四段：</w:t>
      </w:r>
    </w:p>
    <w:p w14:paraId="1EC26336">
      <w:pPr>
        <w:bidi w:val="0"/>
        <w:ind w:firstLine="480" w:firstLineChars="200"/>
        <w:rPr>
          <w:rFonts w:hint="default"/>
          <w:lang w:val="en-US" w:eastAsia="zh-CN"/>
        </w:rPr>
      </w:pPr>
      <w:r>
        <w:rPr>
          <w:rFonts w:hint="default"/>
          <w:lang w:val="en-US" w:eastAsia="zh-CN"/>
        </w:rPr>
        <w:t>一段为棕红、灰红色砂砾岩、含砾砂岩、中细砂岩夹粉砂岩和粉砂质泥岩。厚250~350m。</w:t>
      </w:r>
    </w:p>
    <w:p w14:paraId="39B93FEE">
      <w:pPr>
        <w:bidi w:val="0"/>
        <w:ind w:firstLine="480" w:firstLineChars="200"/>
        <w:rPr>
          <w:rFonts w:hint="default"/>
          <w:lang w:val="en-US" w:eastAsia="zh-CN"/>
        </w:rPr>
      </w:pPr>
      <w:r>
        <w:rPr>
          <w:rFonts w:hint="default"/>
          <w:lang w:val="en-US" w:eastAsia="zh-CN"/>
        </w:rPr>
        <w:t>二段为棕褐色粉砂质泥岩、泥质粉砂岩与棕灰色细砂岩互层，夹灰绿色粉砂质泥岩、泥质粉砂岩、含石膏和芒硝。厚325m。</w:t>
      </w:r>
    </w:p>
    <w:p w14:paraId="237B4361">
      <w:pPr>
        <w:bidi w:val="0"/>
        <w:ind w:firstLine="480" w:firstLineChars="200"/>
        <w:rPr>
          <w:rFonts w:hint="default"/>
          <w:lang w:val="en-US" w:eastAsia="zh-CN"/>
        </w:rPr>
      </w:pPr>
      <w:r>
        <w:rPr>
          <w:rFonts w:hint="default"/>
          <w:lang w:val="en-US" w:eastAsia="zh-CN"/>
        </w:rPr>
        <w:t>三段为棕褐、棕灰、青灰、黑色泥岩，粉砂质泥岩和芒硝、石膏泥岩，厚700m以上。</w:t>
      </w:r>
    </w:p>
    <w:p w14:paraId="52E474E5">
      <w:pPr>
        <w:bidi w:val="0"/>
        <w:ind w:firstLine="480" w:firstLineChars="200"/>
        <w:rPr>
          <w:rFonts w:hint="default"/>
          <w:lang w:val="en-US" w:eastAsia="zh-CN"/>
        </w:rPr>
      </w:pPr>
      <w:r>
        <w:rPr>
          <w:rFonts w:hint="default"/>
          <w:lang w:val="en-US" w:eastAsia="zh-CN"/>
        </w:rPr>
        <w:t>四段为棕灰、棕红、青灰色砂砾岩岩、砂岩夹粉砂质泥岩、泥质粉砂岩、泥岩和少量泥灰岩，厚76m。</w:t>
      </w:r>
    </w:p>
    <w:p w14:paraId="4C1D46E5">
      <w:pPr>
        <w:bidi w:val="0"/>
        <w:ind w:firstLine="480" w:firstLineChars="200"/>
        <w:rPr>
          <w:rFonts w:hint="default"/>
          <w:lang w:val="en-US" w:eastAsia="zh-CN"/>
        </w:rPr>
      </w:pPr>
      <w:r>
        <w:rPr>
          <w:rFonts w:hint="default"/>
          <w:lang w:val="en-US" w:eastAsia="zh-CN"/>
        </w:rPr>
        <w:t>（2）第四纪地层</w:t>
      </w:r>
    </w:p>
    <w:p w14:paraId="2192F7F3">
      <w:pPr>
        <w:bidi w:val="0"/>
        <w:ind w:firstLine="480" w:firstLineChars="200"/>
        <w:rPr>
          <w:rFonts w:hint="default"/>
          <w:lang w:val="en-US" w:eastAsia="zh-CN"/>
        </w:rPr>
      </w:pPr>
      <w:r>
        <w:rPr>
          <w:rFonts w:hint="default"/>
          <w:lang w:val="en-US" w:eastAsia="zh-CN"/>
        </w:rPr>
        <w:t>①晚更新世下蜀组（Q3x）区内该地层广泛分布，成因为冲积，残坡积。岩性为土黄、褐黄、青黄杂色粘土、亚粘土、含小球状铁锰结核及白色钙质结核。垂向裂隙较发育，具良好的粘、塑性。该组厚度自北向南东递增，北西部厚度多在10m以内，南部大多小于20m。下蜀组大多呈不整合或假整合超覆于基岩之上。</w:t>
      </w:r>
    </w:p>
    <w:p w14:paraId="4E247B08">
      <w:pPr>
        <w:bidi w:val="0"/>
        <w:ind w:firstLine="480" w:firstLineChars="200"/>
        <w:rPr>
          <w:rFonts w:hint="default"/>
          <w:lang w:val="en-US" w:eastAsia="zh-CN"/>
        </w:rPr>
      </w:pPr>
      <w:r>
        <w:rPr>
          <w:rFonts w:hint="default"/>
          <w:lang w:val="en-US" w:eastAsia="zh-CN"/>
        </w:rPr>
        <w:t>②全新世南淝河组（Q4n）</w:t>
      </w:r>
    </w:p>
    <w:p w14:paraId="10C8B57F">
      <w:pPr>
        <w:bidi w:val="0"/>
        <w:ind w:firstLine="480" w:firstLineChars="200"/>
        <w:rPr>
          <w:rFonts w:hint="default"/>
          <w:lang w:val="en-US" w:eastAsia="zh-CN"/>
        </w:rPr>
      </w:pPr>
      <w:r>
        <w:rPr>
          <w:rFonts w:hint="default"/>
          <w:lang w:val="en-US" w:eastAsia="zh-CN"/>
        </w:rPr>
        <w:t>该组是以南淝河为代表的现代河流的近期松散堆积物。按岩性组合及所组成的地貌单元分为三段：下段：主要分布于南淝河等河流及其支流的两侧。岩性可分上、下两部分。下部：浅黄、棕黄色细砂、砂上，砂砾层；上部：浅灰、灰黑、灰黄、浅棕黄色粉粘土、粘性土、含铁锰结核及炭质碎片。该段厚度自河谷上游向下游增厚，厚10~30m。</w:t>
      </w:r>
    </w:p>
    <w:p w14:paraId="492BA5D9">
      <w:pPr>
        <w:bidi w:val="0"/>
        <w:ind w:firstLine="480" w:firstLineChars="200"/>
        <w:rPr>
          <w:rFonts w:hint="default"/>
          <w:lang w:val="en-US" w:eastAsia="zh-CN"/>
        </w:rPr>
      </w:pPr>
      <w:r>
        <w:rPr>
          <w:rFonts w:hint="default"/>
          <w:lang w:val="en-US" w:eastAsia="zh-CN"/>
        </w:rPr>
        <w:t>中段：分布于河流中下游的河床两侧及河口附近湖岸地带，组成低缓的河湖漫滩。岩性分上、下两部分。下部：灰、青灰、灰黄色粉土、粉细砂，结构松散，局部含淤泥质；上部：灰、灰黄、青灰色粉土、粘性土，含铁锰结核。该段厚度在河流上游及支流地区一般小于3m，向下游逐渐增厚，可达13m。上段：分布于现代河床底部及边滩，水下三角洲等，属不稳定的现代堆积。堆积物岩性为灰、灰黄、淡黄色砂、粉土、粘性土。</w:t>
      </w:r>
    </w:p>
    <w:p w14:paraId="55D8CBA3">
      <w:pPr>
        <w:bidi w:val="0"/>
        <w:rPr>
          <w:rFonts w:hint="default"/>
          <w:b/>
          <w:bCs/>
          <w:lang w:val="en-US" w:eastAsia="zh-CN"/>
        </w:rPr>
      </w:pPr>
      <w:r>
        <w:rPr>
          <w:rFonts w:hint="eastAsia"/>
          <w:b/>
          <w:bCs/>
          <w:lang w:val="en-US" w:eastAsia="zh-CN"/>
        </w:rPr>
        <w:t>6</w:t>
      </w:r>
      <w:r>
        <w:rPr>
          <w:rFonts w:hint="default"/>
          <w:b/>
          <w:bCs/>
          <w:lang w:val="en-US" w:eastAsia="zh-CN"/>
        </w:rPr>
        <w:t>.2.</w:t>
      </w:r>
      <w:r>
        <w:rPr>
          <w:rFonts w:hint="eastAsia"/>
          <w:b/>
          <w:bCs/>
          <w:lang w:val="en-US" w:eastAsia="zh-CN"/>
        </w:rPr>
        <w:t>4</w:t>
      </w:r>
      <w:r>
        <w:rPr>
          <w:rFonts w:hint="default"/>
          <w:b/>
          <w:bCs/>
          <w:lang w:val="en-US" w:eastAsia="zh-CN"/>
        </w:rPr>
        <w:t>.1.2 区域水文地质条件</w:t>
      </w:r>
    </w:p>
    <w:p w14:paraId="7CE049CC">
      <w:pPr>
        <w:bidi w:val="0"/>
        <w:ind w:firstLine="480" w:firstLineChars="200"/>
        <w:rPr>
          <w:rFonts w:hint="default"/>
          <w:b w:val="0"/>
          <w:bCs w:val="0"/>
          <w:lang w:val="en-US" w:eastAsia="zh-CN"/>
        </w:rPr>
      </w:pPr>
      <w:r>
        <w:rPr>
          <w:rFonts w:hint="default"/>
          <w:b w:val="0"/>
          <w:bCs w:val="0"/>
          <w:lang w:val="en-US" w:eastAsia="zh-CN"/>
        </w:rPr>
        <w:t>1、地下水类型及富水特征</w:t>
      </w:r>
    </w:p>
    <w:p w14:paraId="657DA501">
      <w:pPr>
        <w:bidi w:val="0"/>
        <w:ind w:firstLine="480" w:firstLineChars="200"/>
        <w:rPr>
          <w:rFonts w:hint="default"/>
          <w:lang w:val="en-US" w:eastAsia="zh-CN"/>
        </w:rPr>
      </w:pPr>
      <w:r>
        <w:rPr>
          <w:rFonts w:hint="default"/>
          <w:lang w:val="en-US" w:eastAsia="zh-CN"/>
        </w:rPr>
        <w:t>根据地下水的赋存条件、水力性质及地层岩性组合特征，本区的含水岩组可划分为松散岩类孔隙水含水岩组和碎屑岩裂隙孔隙水含水岩组。</w:t>
      </w:r>
    </w:p>
    <w:p w14:paraId="0BF1C30F">
      <w:pPr>
        <w:bidi w:val="0"/>
        <w:ind w:firstLine="480" w:firstLineChars="200"/>
        <w:rPr>
          <w:rFonts w:hint="default"/>
          <w:lang w:val="en-US" w:eastAsia="zh-CN"/>
        </w:rPr>
      </w:pPr>
      <w:r>
        <w:rPr>
          <w:rFonts w:hint="default"/>
          <w:lang w:val="en-US" w:eastAsia="zh-CN"/>
        </w:rPr>
        <w:t>（1）第四系松散岩类孔隙水含水岩组</w:t>
      </w:r>
    </w:p>
    <w:p w14:paraId="45EF0BDE">
      <w:pPr>
        <w:bidi w:val="0"/>
        <w:ind w:firstLine="480" w:firstLineChars="200"/>
        <w:rPr>
          <w:rFonts w:hint="default"/>
          <w:lang w:val="en-US" w:eastAsia="zh-CN"/>
        </w:rPr>
      </w:pPr>
      <w:r>
        <w:rPr>
          <w:rFonts w:hint="default"/>
          <w:lang w:val="en-US" w:eastAsia="zh-CN"/>
        </w:rPr>
        <w:t>①第四系全新统（Q4）</w:t>
      </w:r>
    </w:p>
    <w:p w14:paraId="7595D80A">
      <w:pPr>
        <w:bidi w:val="0"/>
        <w:ind w:firstLine="480" w:firstLineChars="200"/>
        <w:rPr>
          <w:rFonts w:hint="default"/>
          <w:lang w:val="en-US" w:eastAsia="zh-CN"/>
        </w:rPr>
      </w:pPr>
      <w:r>
        <w:rPr>
          <w:rFonts w:hint="default"/>
          <w:lang w:val="en-US" w:eastAsia="zh-CN"/>
        </w:rPr>
        <w:t>冲积孔隙含水岩组：主要分布在河流的河漫滩平原。含水岩组岩性主要为粉细砂、中细砂、含砾中粗砂和砂砾石层。上覆比较稳定的亚粘土层，顶板埋深一般在8~18m，1~4层。水位埋深一般在1~3m，具有承压性，含水层厚度一般3~7m。含水层粒度从上游到下游、由河床向两侧、自上而下均具有颗粒由粗变细的分选特征。含水砂层孔隙度大，连通性好，导水性强。单井涌水量一般在100~500m</w:t>
      </w:r>
      <w:r>
        <w:rPr>
          <w:rFonts w:hint="default"/>
          <w:vertAlign w:val="superscript"/>
          <w:lang w:val="en-US" w:eastAsia="zh-CN"/>
        </w:rPr>
        <w:t>3</w:t>
      </w:r>
      <w:r>
        <w:rPr>
          <w:rFonts w:hint="default"/>
          <w:lang w:val="en-US" w:eastAsia="zh-CN"/>
        </w:rPr>
        <w:t>/d，局部含水砂层厚度大，含水颗粒粗的地方，可大于500m</w:t>
      </w:r>
      <w:r>
        <w:rPr>
          <w:rFonts w:hint="default"/>
          <w:vertAlign w:val="superscript"/>
          <w:lang w:val="en-US" w:eastAsia="zh-CN"/>
        </w:rPr>
        <w:t>3</w:t>
      </w:r>
      <w:r>
        <w:rPr>
          <w:rFonts w:hint="default"/>
          <w:lang w:val="en-US" w:eastAsia="zh-CN"/>
        </w:rPr>
        <w:t>/d。水化学类型主要为HCO</w:t>
      </w:r>
      <w:r>
        <w:rPr>
          <w:rFonts w:hint="default"/>
          <w:vertAlign w:val="subscript"/>
          <w:lang w:val="en-US" w:eastAsia="zh-CN"/>
        </w:rPr>
        <w:t>3</w:t>
      </w:r>
      <w:r>
        <w:rPr>
          <w:rFonts w:hint="default"/>
          <w:lang w:val="en-US" w:eastAsia="zh-CN"/>
        </w:rPr>
        <w:t>-Ca、HCO</w:t>
      </w:r>
      <w:r>
        <w:rPr>
          <w:rFonts w:hint="default"/>
          <w:vertAlign w:val="subscript"/>
          <w:lang w:val="en-US" w:eastAsia="zh-CN"/>
        </w:rPr>
        <w:t>3</w:t>
      </w:r>
      <w:r>
        <w:rPr>
          <w:rFonts w:hint="default"/>
          <w:lang w:val="en-US" w:eastAsia="zh-CN"/>
        </w:rPr>
        <w:t>-Ca·Na和HCO</w:t>
      </w:r>
      <w:r>
        <w:rPr>
          <w:rFonts w:hint="default"/>
          <w:vertAlign w:val="subscript"/>
          <w:lang w:val="en-US" w:eastAsia="zh-CN"/>
        </w:rPr>
        <w:t>3</w:t>
      </w:r>
      <w:r>
        <w:rPr>
          <w:rFonts w:hint="default"/>
          <w:lang w:val="en-US" w:eastAsia="zh-CN"/>
        </w:rPr>
        <w:t>-Na·Ca型，矿化度一般小于1000mg/L。</w:t>
      </w:r>
    </w:p>
    <w:p w14:paraId="4504BDA5">
      <w:pPr>
        <w:bidi w:val="0"/>
        <w:ind w:firstLine="480" w:firstLineChars="200"/>
        <w:rPr>
          <w:rFonts w:hint="default"/>
          <w:lang w:val="en-US" w:eastAsia="zh-CN"/>
        </w:rPr>
      </w:pPr>
      <w:r>
        <w:rPr>
          <w:rFonts w:hint="default"/>
          <w:lang w:val="en-US" w:eastAsia="zh-CN"/>
        </w:rPr>
        <w:t>②第四系上更新统（Q3）</w:t>
      </w:r>
    </w:p>
    <w:p w14:paraId="180474B5">
      <w:pPr>
        <w:bidi w:val="0"/>
        <w:ind w:firstLine="480" w:firstLineChars="200"/>
        <w:rPr>
          <w:rFonts w:hint="default"/>
          <w:lang w:val="en-US" w:eastAsia="zh-CN"/>
        </w:rPr>
      </w:pPr>
      <w:r>
        <w:rPr>
          <w:rFonts w:hint="default"/>
          <w:lang w:val="en-US" w:eastAsia="zh-CN"/>
        </w:rPr>
        <w:t>冲洪积层孔隙裂隙含水岩组：主要分布在河间一级阶地和山间的波状平原。岩性主要为粘性土，含水岩组岩性主要为粘性土中的孔隙、柱状裂隙。上更新统粘性土多不整合在下伏的基岩之上，其厚度变化受古地貌的控制，即下伏基岩埋深大，则厚度相应就大，反之厚度相应较小。本区厚度有一般在20~40m。地下水水位埋深一般5~7m，季节性变化较大，年变幅一般不小于5m，干旱季节水位埋藏很深，甚至无水，以潜水或上层滞水的形式存在。单井涌水量一般在2~10m</w:t>
      </w:r>
      <w:r>
        <w:rPr>
          <w:rFonts w:hint="default"/>
          <w:vertAlign w:val="superscript"/>
          <w:lang w:val="en-US" w:eastAsia="zh-CN"/>
        </w:rPr>
        <w:t>3</w:t>
      </w:r>
      <w:r>
        <w:rPr>
          <w:rFonts w:hint="default"/>
          <w:lang w:val="en-US" w:eastAsia="zh-CN"/>
        </w:rPr>
        <w:t>/d，仅在局部，有良好的补给和储存条件下，水量可以达到30~50m</w:t>
      </w:r>
      <w:r>
        <w:rPr>
          <w:rFonts w:hint="default"/>
          <w:vertAlign w:val="superscript"/>
          <w:lang w:val="en-US" w:eastAsia="zh-CN"/>
        </w:rPr>
        <w:t>3</w:t>
      </w:r>
      <w:r>
        <w:rPr>
          <w:rFonts w:hint="default"/>
          <w:lang w:val="en-US" w:eastAsia="zh-CN"/>
        </w:rPr>
        <w:t>/d。水化学类型主要以HCO</w:t>
      </w:r>
      <w:r>
        <w:rPr>
          <w:rFonts w:hint="default"/>
          <w:vertAlign w:val="subscript"/>
          <w:lang w:val="en-US" w:eastAsia="zh-CN"/>
        </w:rPr>
        <w:t>3</w:t>
      </w:r>
      <w:r>
        <w:rPr>
          <w:rFonts w:hint="default"/>
          <w:lang w:val="en-US" w:eastAsia="zh-CN"/>
        </w:rPr>
        <w:t>-Ca、HCO</w:t>
      </w:r>
      <w:r>
        <w:rPr>
          <w:rFonts w:hint="default"/>
          <w:vertAlign w:val="subscript"/>
          <w:lang w:val="en-US" w:eastAsia="zh-CN"/>
        </w:rPr>
        <w:t>3</w:t>
      </w:r>
      <w:r>
        <w:rPr>
          <w:rFonts w:hint="default"/>
          <w:lang w:val="en-US" w:eastAsia="zh-CN"/>
        </w:rPr>
        <w:t>-Ca·Na型为主，矿化度一般小于1000mg/L。</w:t>
      </w:r>
    </w:p>
    <w:p w14:paraId="46C6C52A">
      <w:pPr>
        <w:bidi w:val="0"/>
        <w:jc w:val="center"/>
      </w:pPr>
      <w:r>
        <w:drawing>
          <wp:inline distT="0" distB="0" distL="0" distR="0">
            <wp:extent cx="5927725" cy="3526790"/>
            <wp:effectExtent l="0" t="0" r="15875" b="16510"/>
            <wp:docPr id="132" name="IM 132"/>
            <wp:cNvGraphicFramePr/>
            <a:graphic xmlns:a="http://schemas.openxmlformats.org/drawingml/2006/main">
              <a:graphicData uri="http://schemas.openxmlformats.org/drawingml/2006/picture">
                <pic:pic xmlns:pic="http://schemas.openxmlformats.org/drawingml/2006/picture">
                  <pic:nvPicPr>
                    <pic:cNvPr id="132" name="IM 132"/>
                    <pic:cNvPicPr/>
                  </pic:nvPicPr>
                  <pic:blipFill>
                    <a:blip r:embed="rId26"/>
                    <a:stretch>
                      <a:fillRect/>
                    </a:stretch>
                  </pic:blipFill>
                  <pic:spPr>
                    <a:xfrm>
                      <a:off x="0" y="0"/>
                      <a:ext cx="5927725" cy="3526790"/>
                    </a:xfrm>
                    <a:prstGeom prst="rect">
                      <a:avLst/>
                    </a:prstGeom>
                  </pic:spPr>
                </pic:pic>
              </a:graphicData>
            </a:graphic>
          </wp:inline>
        </w:drawing>
      </w:r>
    </w:p>
    <w:p w14:paraId="744AFA5C">
      <w:pPr>
        <w:bidi w:val="0"/>
        <w:jc w:val="center"/>
        <w:rPr>
          <w:rFonts w:hint="default"/>
          <w:b/>
          <w:bCs/>
          <w:lang w:val="en-US" w:eastAsia="zh-CN"/>
        </w:rPr>
      </w:pPr>
      <w:r>
        <w:rPr>
          <w:rFonts w:hint="default"/>
          <w:b/>
          <w:bCs/>
          <w:lang w:val="en-US" w:eastAsia="zh-CN"/>
        </w:rPr>
        <w:t>图</w:t>
      </w:r>
      <w:r>
        <w:rPr>
          <w:rFonts w:hint="eastAsia"/>
          <w:b/>
          <w:bCs/>
          <w:lang w:val="en-US" w:eastAsia="zh-CN"/>
        </w:rPr>
        <w:t>6</w:t>
      </w:r>
      <w:r>
        <w:rPr>
          <w:rFonts w:hint="default"/>
          <w:b/>
          <w:bCs/>
          <w:lang w:val="en-US" w:eastAsia="zh-CN"/>
        </w:rPr>
        <w:t>.2.</w:t>
      </w:r>
      <w:r>
        <w:rPr>
          <w:rFonts w:hint="eastAsia"/>
          <w:b/>
          <w:bCs/>
          <w:lang w:val="en-US" w:eastAsia="zh-CN"/>
        </w:rPr>
        <w:t>4</w:t>
      </w:r>
      <w:r>
        <w:rPr>
          <w:rFonts w:hint="default"/>
          <w:b/>
          <w:bCs/>
          <w:lang w:val="en-US" w:eastAsia="zh-CN"/>
        </w:rPr>
        <w:t>-1 区域水文地质图</w:t>
      </w:r>
    </w:p>
    <w:p w14:paraId="7CFCF38F">
      <w:pPr>
        <w:bidi w:val="0"/>
        <w:ind w:firstLine="480" w:firstLineChars="200"/>
        <w:rPr>
          <w:rFonts w:hint="default"/>
          <w:b w:val="0"/>
          <w:bCs w:val="0"/>
          <w:lang w:val="en-US" w:eastAsia="zh-CN"/>
        </w:rPr>
      </w:pPr>
      <w:r>
        <w:rPr>
          <w:rFonts w:hint="default"/>
          <w:b w:val="0"/>
          <w:bCs w:val="0"/>
          <w:lang w:val="en-US" w:eastAsia="zh-CN"/>
        </w:rPr>
        <w:t>（2）碎屑岩裂隙孔隙水含水岩组</w:t>
      </w:r>
    </w:p>
    <w:p w14:paraId="43E957FD">
      <w:pPr>
        <w:bidi w:val="0"/>
        <w:ind w:firstLine="480" w:firstLineChars="200"/>
        <w:rPr>
          <w:rFonts w:hint="default"/>
          <w:lang w:val="en-US" w:eastAsia="zh-CN"/>
        </w:rPr>
      </w:pPr>
      <w:r>
        <w:rPr>
          <w:rFonts w:hint="default"/>
          <w:lang w:val="en-US" w:eastAsia="zh-CN"/>
        </w:rPr>
        <w:t>本区广泛分布由中、新生界一套红色内陆湖湘沉积的侏罗系、白垩系、下第三系的砂砾岩、中粗砂岩、粉细砂岩、泥质砂岩、砂质泥岩及泥岩等碎屑岩组成的含水岩组，部分岩组在不同程度上含有可溶盐和易溶盐成分，如方解石、石膏、芒硝、钙芒硝等，常以柱状、晶族状、团块状、条带状、似层状或以胶结物的形式分布，充填于岩层及碎屑物中。地层产状平缓，倾向15°~30°。区内被第四系全部覆盖。区内含水岩组主要由下第三系定远群（Edn1）和白垩系上统张桥组（K2z）的中细砂岩、中粗砂岩、含砾砂岩组成。其中定远群第一段岩层中富含碳酸盐成分或未泥钙质、钙质胶结，结构较疏松，裂隙发育。在富钙层位中，由于水的交替作用，钙质体经溶蚀形成小溶孔、溶洞，类似碳酸盐岩中的</w:t>
      </w:r>
      <w:r>
        <w:rPr>
          <w:rFonts w:hint="eastAsia"/>
          <w:lang w:val="en-US" w:eastAsia="zh-CN"/>
        </w:rPr>
        <w:t>“</w:t>
      </w:r>
      <w:r>
        <w:rPr>
          <w:rFonts w:hint="default"/>
          <w:lang w:val="en-US" w:eastAsia="zh-CN"/>
        </w:rPr>
        <w:t>岩溶</w:t>
      </w:r>
      <w:r>
        <w:rPr>
          <w:rFonts w:hint="eastAsia"/>
          <w:lang w:val="en-US" w:eastAsia="zh-CN"/>
        </w:rPr>
        <w:t>”</w:t>
      </w:r>
      <w:r>
        <w:rPr>
          <w:rFonts w:hint="default"/>
          <w:lang w:val="en-US" w:eastAsia="zh-CN"/>
        </w:rPr>
        <w:t>。水的交替作用沟通和扩大了岩层中原有的裂隙孔隙，构成蜂窝状的储水空间，张桥组岩层一般松散，无异于第四系松散砂层，其透水性和连通性良好，有利于地下水的运移和富集。上述富钙和松散的粗屑岩层，其补给条件优越，为富水性较强的含水层。水位埋深一般小于20m，具承压性质，在有利的地质构造和补给条件下，可以自留。抽水试验表明，单井涌水量一般在100~500m</w:t>
      </w:r>
      <w:r>
        <w:rPr>
          <w:rFonts w:hint="default"/>
          <w:vertAlign w:val="superscript"/>
          <w:lang w:val="en-US" w:eastAsia="zh-CN"/>
        </w:rPr>
        <w:t>3</w:t>
      </w:r>
      <w:r>
        <w:rPr>
          <w:rFonts w:hint="default"/>
          <w:lang w:val="en-US" w:eastAsia="zh-CN"/>
        </w:rPr>
        <w:t>/d，在有利的构造断裂部位，地下水的补给、连通、储存条件良好，水量可以接近1000m</w:t>
      </w:r>
      <w:r>
        <w:rPr>
          <w:rFonts w:hint="default"/>
          <w:vertAlign w:val="superscript"/>
          <w:lang w:val="en-US" w:eastAsia="zh-CN"/>
        </w:rPr>
        <w:t>3</w:t>
      </w:r>
      <w:r>
        <w:rPr>
          <w:rFonts w:hint="default"/>
          <w:lang w:val="en-US" w:eastAsia="zh-CN"/>
        </w:rPr>
        <w:t>/d水化学类型主要以HCO</w:t>
      </w:r>
      <w:r>
        <w:rPr>
          <w:rFonts w:hint="default"/>
          <w:vertAlign w:val="subscript"/>
          <w:lang w:val="en-US" w:eastAsia="zh-CN"/>
        </w:rPr>
        <w:t>3</w:t>
      </w:r>
      <w:r>
        <w:rPr>
          <w:rFonts w:hint="default"/>
          <w:lang w:val="en-US" w:eastAsia="zh-CN"/>
        </w:rPr>
        <w:t>-Ca、HCO</w:t>
      </w:r>
      <w:r>
        <w:rPr>
          <w:rFonts w:hint="default"/>
          <w:vertAlign w:val="subscript"/>
          <w:lang w:val="en-US" w:eastAsia="zh-CN"/>
        </w:rPr>
        <w:t>3</w:t>
      </w:r>
      <w:r>
        <w:rPr>
          <w:rFonts w:hint="default"/>
          <w:lang w:val="en-US" w:eastAsia="zh-CN"/>
        </w:rPr>
        <w:t>-Na型为主，矿化度一般小于1000mg/L。</w:t>
      </w:r>
    </w:p>
    <w:p w14:paraId="311D99B1">
      <w:pPr>
        <w:bidi w:val="0"/>
        <w:ind w:firstLine="480" w:firstLineChars="200"/>
        <w:rPr>
          <w:rFonts w:hint="default"/>
          <w:b w:val="0"/>
          <w:bCs w:val="0"/>
          <w:lang w:val="en-US" w:eastAsia="zh-CN"/>
        </w:rPr>
      </w:pPr>
      <w:r>
        <w:rPr>
          <w:rFonts w:hint="default"/>
          <w:b w:val="0"/>
          <w:bCs w:val="0"/>
          <w:lang w:val="en-US" w:eastAsia="zh-CN"/>
        </w:rPr>
        <w:t>2、地下水补给、径、排条件及动态</w:t>
      </w:r>
    </w:p>
    <w:p w14:paraId="39EBBC08">
      <w:pPr>
        <w:bidi w:val="0"/>
        <w:ind w:firstLine="480" w:firstLineChars="200"/>
        <w:rPr>
          <w:rFonts w:hint="default"/>
          <w:lang w:val="en-US" w:eastAsia="zh-CN"/>
        </w:rPr>
      </w:pPr>
      <w:r>
        <w:rPr>
          <w:rFonts w:hint="default"/>
          <w:lang w:val="en-US" w:eastAsia="zh-CN"/>
        </w:rPr>
        <w:t>（1）第四系松散岩类孔隙水含水岩组</w:t>
      </w:r>
    </w:p>
    <w:p w14:paraId="3FF57F5F">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①第四系全新统（Q4）冲积孔隙含水岩组</w:t>
      </w:r>
    </w:p>
    <w:p w14:paraId="1AD8CEE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含水岩组主要分布在河漫滩地带，地形平坦，组成地层岩性为全新统冲积粉土质亚粘土、亚砂土及砂砾石层，结构松散，孔隙性大，连通性好。地下水的主要补给来源是：大气降水的入渗补给、河谷两侧及上游阶地地表径流渗入补给和山前基岩裂隙水的侧向径流补给。受地形的控制，通过河床和漫滩松散堆积物孔隙从上游至下游径流，水力坡度较小，一般 1/1000~2/1000 ，径流迟缓，径流量不大。径流排泄、向河流排泄和开采排泄是其主要的排泄方式。地下水的动态受降水影响十分明显，雨季补给充足，地下水水位上升，旱季补给减少，地下水水位明显下降，一般年变幅在3~5m。</w:t>
      </w:r>
    </w:p>
    <w:p w14:paraId="7BB72C5A">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②第四系上更新统（Q3）冲洪积层孔隙裂隙含水岩组</w:t>
      </w:r>
    </w:p>
    <w:p w14:paraId="573710F8">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含水岩组主要分布在河间一级阶地和山间的波状平原。岩性主要为粘性土，其柱状裂隙发育，地下水的主要补给来源是大气降水入渗补给，部分有山前地表径流渗入补给。由于岩性不含水，降水或地表径流沿粘性土的柱状裂隙渗入，形成包气带中的上层滞水，当包气带被地下水饱和后才有可能在重力的作用下补给下伏含水层。同时垂直裂隙组成了水平方向上得隔水边界，基本不产生水平方向上得地下水径流，从而构成了渗入—蒸发型为特征的循环方式。蒸发排泄和开采排泄是其主要排泄途径。根据长期观测资料，地下水的动态主要受降水影响，其变化规律与降水是相符合的，一般年变幅在5~7m。</w:t>
      </w:r>
    </w:p>
    <w:p w14:paraId="6D8FCCFB">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（2）碎屑岩裂隙孔隙水含水岩组</w:t>
      </w:r>
    </w:p>
    <w:p w14:paraId="3796DDA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区由侏罗系、白垩系、下第三系的砂砾岩、中粗砂岩、粉细砂岩、泥质砂岩、砂质泥岩及泥岩等碎屑岩组成的含水岩组，全部被第四系覆盖。其地下水循环方式一般不受气象因素的直接控制和影响，与上覆含水层在无构造作用或其它条件造成相互连通的情况下，两者地下水的动态变化在时间上也不具有同一性。</w:t>
      </w:r>
    </w:p>
    <w:p w14:paraId="786F0448">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（3）地下水补、径、排条件</w:t>
      </w:r>
    </w:p>
    <w:p w14:paraId="47C0AD2A">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①地下水补给</w:t>
      </w:r>
    </w:p>
    <w:p w14:paraId="2F37450F">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区大气降水较丰沛，是地下水的主要补给来源。在广大的波状平原区，地形坡度不大，较利于降水补给，但本区大都被不透水的上更新统厚层粘性土覆盖，地下水位埋深较大，一般大于10m，影响了降水的补给，一般降水时间短、降水量小的雨水很难补给地下水，只能形成粘性土层中的包气带水。由于地形起伏，在降雨时间短、雨量集中时，大部分降水形成地表径流流失，补给地下水的部分很少，但是降雨量较大、时间较长的细雨，特别是夏初的</w:t>
      </w:r>
      <w:r>
        <w:rPr>
          <w:rFonts w:hint="eastAsia"/>
          <w:lang w:val="en-US" w:eastAsia="zh-CN"/>
        </w:rPr>
        <w:t>“</w:t>
      </w:r>
      <w:r>
        <w:rPr>
          <w:rFonts w:hint="default"/>
          <w:lang w:val="en-US" w:eastAsia="zh-CN"/>
        </w:rPr>
        <w:t>连绵细雨</w:t>
      </w:r>
      <w:r>
        <w:rPr>
          <w:rFonts w:hint="eastAsia"/>
          <w:lang w:val="en-US" w:eastAsia="zh-CN"/>
        </w:rPr>
        <w:t>”</w:t>
      </w:r>
      <w:r>
        <w:rPr>
          <w:rFonts w:hint="default"/>
          <w:lang w:val="en-US" w:eastAsia="zh-CN"/>
        </w:rPr>
        <w:t>，在重力作用下对地下水有显著的补给作用，雨后地下水位有明显的上升，所以本区地下水的主要补给来源仍是大气降水。地下径流和水库、塘、灌渠水也能补给地下水，故靠近地表水体附近的民井水位往往较高。另外，河流在丰水季节对地下水也有补给作用。</w:t>
      </w:r>
    </w:p>
    <w:p w14:paraId="1F74D3C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②地下水迳流</w:t>
      </w:r>
    </w:p>
    <w:p w14:paraId="47020A42">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地下水迳流方向与地表水流方向基本一致，由西北到东南。</w:t>
      </w:r>
    </w:p>
    <w:p w14:paraId="78D6618B">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③地下水排泄</w:t>
      </w:r>
    </w:p>
    <w:p w14:paraId="585955AA">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由于地下水位埋深较大，蒸发作用己不明显，排泄形式一般为季节性补给河水，大部分埋藏较深的地下水以极缓慢的地下径流形式向区外排泄；另一排泄方式为人工开采利用。松散岩类孔隙水和碎屑岩裂隙水一般不直接发生水力联系，两者之间有良好的隔水层。</w:t>
      </w:r>
    </w:p>
    <w:p w14:paraId="748F02A5">
      <w:pPr>
        <w:bidi w:val="0"/>
        <w:rPr>
          <w:rFonts w:hint="default"/>
          <w:b/>
          <w:bCs/>
          <w:lang w:val="en-US" w:eastAsia="zh-CN"/>
        </w:rPr>
      </w:pPr>
      <w:r>
        <w:rPr>
          <w:rFonts w:hint="eastAsia"/>
          <w:b/>
          <w:bCs/>
          <w:lang w:val="en-US" w:eastAsia="zh-CN"/>
        </w:rPr>
        <w:t>6.2.4</w:t>
      </w:r>
      <w:r>
        <w:rPr>
          <w:rFonts w:hint="default"/>
          <w:b/>
          <w:bCs/>
          <w:lang w:val="en-US" w:eastAsia="zh-CN"/>
        </w:rPr>
        <w:t>.2 地下水环境影响预测评价</w:t>
      </w:r>
    </w:p>
    <w:p w14:paraId="4EFA70B5">
      <w:pPr>
        <w:ind w:firstLine="480"/>
        <w:rPr>
          <w:color w:val="auto"/>
        </w:rPr>
      </w:pPr>
      <w:r>
        <w:rPr>
          <w:rFonts w:hint="eastAsia"/>
          <w:color w:val="auto"/>
        </w:rPr>
        <w:t>1、</w:t>
      </w:r>
      <w:r>
        <w:rPr>
          <w:color w:val="auto"/>
        </w:rPr>
        <w:t>正常工况对地下水影响分析</w:t>
      </w:r>
    </w:p>
    <w:p w14:paraId="1072EA32">
      <w:pPr>
        <w:ind w:firstLine="480"/>
        <w:rPr>
          <w:bCs/>
          <w:color w:val="auto"/>
          <w:szCs w:val="22"/>
          <w:lang w:val="en-GB"/>
        </w:rPr>
      </w:pPr>
      <w:r>
        <w:rPr>
          <w:color w:val="auto"/>
          <w:szCs w:val="22"/>
        </w:rPr>
        <w:t>本项目计划坚持</w:t>
      </w:r>
      <w:r>
        <w:rPr>
          <w:rFonts w:hint="eastAsia"/>
          <w:color w:val="auto"/>
          <w:szCs w:val="22"/>
          <w:lang w:eastAsia="zh-CN"/>
        </w:rPr>
        <w:t>“</w:t>
      </w:r>
      <w:r>
        <w:rPr>
          <w:color w:val="auto"/>
          <w:szCs w:val="22"/>
        </w:rPr>
        <w:t>源头控制、末端防治、污染监控、应急响应</w:t>
      </w:r>
      <w:r>
        <w:rPr>
          <w:rFonts w:hint="eastAsia"/>
          <w:color w:val="auto"/>
          <w:szCs w:val="22"/>
          <w:lang w:eastAsia="zh-CN"/>
        </w:rPr>
        <w:t>”</w:t>
      </w:r>
      <w:r>
        <w:rPr>
          <w:color w:val="auto"/>
          <w:szCs w:val="22"/>
        </w:rPr>
        <w:t>相结合的原则，采取主动控制和被动控制相结合的措施。正常工况下，</w:t>
      </w:r>
      <w:r>
        <w:rPr>
          <w:rFonts w:hint="eastAsia"/>
          <w:color w:val="auto"/>
          <w:szCs w:val="22"/>
        </w:rPr>
        <w:t>废水</w:t>
      </w:r>
      <w:r>
        <w:rPr>
          <w:color w:val="auto"/>
          <w:szCs w:val="22"/>
        </w:rPr>
        <w:t>收集设施和</w:t>
      </w:r>
      <w:r>
        <w:rPr>
          <w:rFonts w:hint="eastAsia"/>
          <w:color w:val="auto"/>
          <w:szCs w:val="22"/>
        </w:rPr>
        <w:t>处理</w:t>
      </w:r>
      <w:r>
        <w:rPr>
          <w:color w:val="auto"/>
          <w:szCs w:val="22"/>
        </w:rPr>
        <w:t>池等必须采取防渗处理，同时设有完善的监控系统。</w:t>
      </w:r>
      <w:r>
        <w:rPr>
          <w:rFonts w:hint="eastAsia" w:hAnsi="宋体"/>
          <w:color w:val="auto"/>
          <w:szCs w:val="22"/>
        </w:rPr>
        <w:t>其他厂区构筑物，如</w:t>
      </w:r>
      <w:r>
        <w:rPr>
          <w:rFonts w:hint="eastAsia"/>
          <w:bCs/>
          <w:color w:val="auto"/>
          <w:szCs w:val="22"/>
          <w:lang w:val="en-GB"/>
        </w:rPr>
        <w:t>污水收集管线</w:t>
      </w:r>
      <w:r>
        <w:rPr>
          <w:bCs/>
          <w:color w:val="auto"/>
          <w:szCs w:val="22"/>
          <w:lang w:val="en-GB"/>
        </w:rPr>
        <w:t>、</w:t>
      </w:r>
      <w:r>
        <w:rPr>
          <w:rFonts w:hint="eastAsia"/>
          <w:bCs/>
          <w:color w:val="auto"/>
          <w:szCs w:val="22"/>
          <w:lang w:val="en-GB"/>
        </w:rPr>
        <w:t>固废</w:t>
      </w:r>
      <w:r>
        <w:rPr>
          <w:rFonts w:hint="eastAsia"/>
          <w:bCs/>
          <w:color w:val="auto"/>
          <w:szCs w:val="22"/>
        </w:rPr>
        <w:t>贮存</w:t>
      </w:r>
      <w:r>
        <w:rPr>
          <w:rFonts w:hint="eastAsia"/>
          <w:bCs/>
          <w:color w:val="auto"/>
          <w:szCs w:val="22"/>
          <w:lang w:val="en-GB"/>
        </w:rPr>
        <w:t>区域</w:t>
      </w:r>
      <w:r>
        <w:rPr>
          <w:bCs/>
          <w:color w:val="auto"/>
          <w:szCs w:val="22"/>
          <w:lang w:val="en-GB"/>
        </w:rPr>
        <w:t>等采取有效的防雨、防渗漏、防溢流措施，并加强对废物的管理</w:t>
      </w:r>
      <w:r>
        <w:rPr>
          <w:rFonts w:hint="eastAsia"/>
          <w:bCs/>
          <w:color w:val="auto"/>
          <w:szCs w:val="22"/>
          <w:lang w:val="en-GB"/>
        </w:rPr>
        <w:t>，</w:t>
      </w:r>
      <w:r>
        <w:rPr>
          <w:color w:val="auto"/>
          <w:szCs w:val="22"/>
        </w:rPr>
        <w:t>根据同类项目多年的运行管理经验，</w:t>
      </w:r>
      <w:r>
        <w:rPr>
          <w:rFonts w:hint="eastAsia" w:hAnsi="宋体"/>
          <w:color w:val="auto"/>
          <w:szCs w:val="22"/>
        </w:rPr>
        <w:t>正常状态下运营期</w:t>
      </w:r>
      <w:r>
        <w:rPr>
          <w:bCs/>
          <w:color w:val="auto"/>
          <w:szCs w:val="22"/>
          <w:lang w:val="en-GB"/>
        </w:rPr>
        <w:t>不会对地下水环境质量造成显著的不利影响。</w:t>
      </w:r>
    </w:p>
    <w:p w14:paraId="250FE32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eastAsia"/>
          <w:color w:val="auto"/>
        </w:rPr>
        <w:t>2、非正常工况地下水环境影响预测与评价</w:t>
      </w:r>
    </w:p>
    <w:p w14:paraId="5DD59998">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eastAsia" w:cs="Times New Roman"/>
          <w:color w:val="auto"/>
          <w:lang w:val="en-US" w:eastAsia="zh-CN"/>
        </w:rPr>
        <w:t>本次技改项目新增废水主要有铝舟及周托清洗废水、激光划片废水、纯水制备浓水、废气治理设施废水等。其中铝舟及周托清洗废水进入浓碱废水收集池；激光划片废水和废气治理设施废水进入稀碱废水收集池；依托厂区现有除氟系统处理后，与纯水制备浓水一起排入市政污水管网接入合肥循环经济示范园第二污水处理厂集中处理</w:t>
      </w:r>
      <w:r>
        <w:rPr>
          <w:rFonts w:hint="eastAsia"/>
          <w:lang w:val="en-US" w:eastAsia="zh-CN"/>
        </w:rPr>
        <w:t>。</w:t>
      </w:r>
      <w:r>
        <w:rPr>
          <w:rFonts w:hint="eastAsia" w:cs="Times New Roman"/>
          <w:color w:val="auto"/>
          <w:lang w:val="en-US" w:eastAsia="zh-CN"/>
        </w:rPr>
        <w:t>本次技改项目新增废水不涉及氟化物，不加重厂区</w:t>
      </w:r>
      <w:r>
        <w:rPr>
          <w:rFonts w:hint="default"/>
          <w:lang w:val="en-US" w:eastAsia="zh-CN"/>
        </w:rPr>
        <w:t>污水污水处理站</w:t>
      </w:r>
      <w:r>
        <w:rPr>
          <w:rFonts w:hint="eastAsia"/>
          <w:lang w:val="en-US" w:eastAsia="zh-CN"/>
        </w:rPr>
        <w:t>除氟系统负荷，</w:t>
      </w:r>
      <w:r>
        <w:rPr>
          <w:rFonts w:hint="default"/>
          <w:lang w:val="en-US" w:eastAsia="zh-CN"/>
        </w:rPr>
        <w:t>采用类比法进行地下水环境影响分析及评价。</w:t>
      </w:r>
    </w:p>
    <w:p w14:paraId="2A1B5E7B">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类比现有工程环评报告</w:t>
      </w:r>
      <w:r>
        <w:rPr>
          <w:rFonts w:hint="eastAsia"/>
          <w:lang w:val="en-US" w:eastAsia="zh-CN"/>
        </w:rPr>
        <w:t>地下水预测</w:t>
      </w:r>
      <w:r>
        <w:rPr>
          <w:rFonts w:hint="default"/>
          <w:lang w:val="en-US" w:eastAsia="zh-CN"/>
        </w:rPr>
        <w:t>可知，非正常情况下，氟化物在100天，1000天和20年最大迁移距离分别为178m、754m和3332m，超标范围分别为18178m</w:t>
      </w:r>
      <w:r>
        <w:rPr>
          <w:rFonts w:hint="default"/>
          <w:vertAlign w:val="superscript"/>
          <w:lang w:val="en-US" w:eastAsia="zh-CN"/>
        </w:rPr>
        <w:t>2</w:t>
      </w:r>
      <w:r>
        <w:rPr>
          <w:rFonts w:hint="default"/>
          <w:lang w:val="en-US" w:eastAsia="zh-CN"/>
        </w:rPr>
        <w:t>、193335.5m</w:t>
      </w:r>
      <w:r>
        <w:rPr>
          <w:rFonts w:hint="default"/>
          <w:vertAlign w:val="superscript"/>
          <w:lang w:val="en-US" w:eastAsia="zh-CN"/>
        </w:rPr>
        <w:t>2</w:t>
      </w:r>
      <w:r>
        <w:rPr>
          <w:rFonts w:hint="default"/>
          <w:lang w:val="en-US" w:eastAsia="zh-CN"/>
        </w:rPr>
        <w:t>和1942218.9m</w:t>
      </w:r>
      <w:r>
        <w:rPr>
          <w:rFonts w:hint="default"/>
          <w:vertAlign w:val="superscript"/>
          <w:lang w:val="en-US" w:eastAsia="zh-CN"/>
        </w:rPr>
        <w:t>2</w:t>
      </w:r>
      <w:r>
        <w:rPr>
          <w:rFonts w:hint="default"/>
          <w:lang w:val="en-US" w:eastAsia="zh-CN"/>
        </w:rPr>
        <w:t>。对项目区内浅层地下水产生影响。因此在非正常状况发生后，及时采取应急措施，并设置有效的地下水监控措施，可以使此状况下对周边地下水的影响降至最小。</w:t>
      </w:r>
    </w:p>
    <w:p w14:paraId="0A4C661E">
      <w:pPr>
        <w:bidi w:val="0"/>
        <w:rPr>
          <w:rFonts w:hint="default"/>
          <w:b/>
          <w:bCs/>
          <w:lang w:val="en-US" w:eastAsia="zh-CN"/>
        </w:rPr>
      </w:pPr>
      <w:r>
        <w:rPr>
          <w:rFonts w:hint="eastAsia"/>
          <w:b/>
          <w:bCs/>
          <w:lang w:val="en-US" w:eastAsia="zh-CN"/>
        </w:rPr>
        <w:t>6.2.4</w:t>
      </w:r>
      <w:r>
        <w:rPr>
          <w:rFonts w:hint="default"/>
          <w:b/>
          <w:bCs/>
          <w:lang w:val="en-US" w:eastAsia="zh-CN"/>
        </w:rPr>
        <w:t>.3 小结</w:t>
      </w:r>
    </w:p>
    <w:p w14:paraId="03B0FF28">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在正常状况下，池底经防渗处理，污染物从源头和末端均得到控制，在正常状况下对地下水环境影响较小。</w:t>
      </w:r>
    </w:p>
    <w:p w14:paraId="54527EE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在非正常状况发生后，在该地区的水文地质条件下，污染物运移距离较小，但短期内可能出现影响超标范围，因此在设定的检漏周期内，应及时采取应急措施，对污染源防渗进行修复截断污染源，并设置有效的地下水监控措施，使此状况下污染物泄漏对周边地下水的影响降至最小。</w:t>
      </w:r>
    </w:p>
    <w:p w14:paraId="2FB5DC68">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根据地下水环境现状监测结果显示，监测期间，区域内地下水监测点中各监测因子均达到《地下水质量标准》</w:t>
      </w:r>
      <w:r>
        <w:rPr>
          <w:rFonts w:hint="eastAsia"/>
          <w:lang w:val="en-US" w:eastAsia="zh-CN"/>
        </w:rPr>
        <w:t>（</w:t>
      </w:r>
      <w:r>
        <w:rPr>
          <w:rFonts w:hint="default"/>
          <w:lang w:val="en-US" w:eastAsia="zh-CN"/>
        </w:rPr>
        <w:t>GB/T14848-2017</w:t>
      </w:r>
      <w:r>
        <w:rPr>
          <w:rFonts w:hint="eastAsia"/>
          <w:lang w:val="en-US" w:eastAsia="zh-CN"/>
        </w:rPr>
        <w:t>）</w:t>
      </w:r>
      <w:r>
        <w:rPr>
          <w:rFonts w:hint="default"/>
          <w:lang w:val="en-US" w:eastAsia="zh-CN"/>
        </w:rPr>
        <w:t>中的Ⅲ类标准，地下水环境较好。本项目采取地下水防渗措施，开展跟踪监测，根据《排污许可证申请与核发技术规范 电池工业》（HJ967-2018），开展运营期环境监测计划，从而减少项目地对地下水环境的影响。</w:t>
      </w:r>
    </w:p>
    <w:p w14:paraId="71D8AC8D">
      <w:pPr>
        <w:bidi w:val="0"/>
        <w:ind w:firstLine="480" w:firstLineChars="200"/>
        <w:rPr>
          <w:rFonts w:hint="default"/>
          <w:lang w:val="en-US" w:eastAsia="zh-CN"/>
        </w:rPr>
      </w:pPr>
      <w:r>
        <w:rPr>
          <w:rFonts w:hint="default"/>
          <w:lang w:val="en-US" w:eastAsia="zh-CN"/>
        </w:rPr>
        <w:t>根据《环境影响评价技术导则 地下水环境》（HJ 610-2016）中在建设项目实施的某个阶段，采取地下水防渗措施后，可满足《地下水环境质量标准》（GB/T14848-201 7）中Ⅲ类标准要求，建设项目是可行的。</w:t>
      </w:r>
    </w:p>
    <w:p w14:paraId="2EFDB4E4">
      <w:pPr>
        <w:bidi w:val="0"/>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7E2E5A61">
      <w:pPr>
        <w:bidi w:val="0"/>
        <w:rPr>
          <w:rFonts w:hint="default"/>
          <w:b/>
          <w:bCs/>
          <w:lang w:val="en-US" w:eastAsia="zh-CN"/>
        </w:rPr>
      </w:pPr>
      <w:r>
        <w:rPr>
          <w:rFonts w:hint="default"/>
          <w:b/>
          <w:bCs/>
          <w:lang w:val="en-US" w:eastAsia="zh-CN"/>
        </w:rPr>
        <w:t>6.2.5 固废环境影响分析</w:t>
      </w:r>
    </w:p>
    <w:p w14:paraId="56C2370F">
      <w:pPr>
        <w:rPr>
          <w:b/>
          <w:bCs/>
          <w:color w:val="auto"/>
        </w:rPr>
      </w:pPr>
      <w:r>
        <w:rPr>
          <w:rFonts w:hint="eastAsia"/>
          <w:b/>
          <w:bCs/>
          <w:color w:val="auto"/>
        </w:rPr>
        <w:t>6</w:t>
      </w:r>
      <w:r>
        <w:rPr>
          <w:rFonts w:hint="eastAsia"/>
          <w:b/>
          <w:bCs/>
          <w:color w:val="auto"/>
          <w:lang w:val="en-US" w:eastAsia="zh-CN"/>
        </w:rPr>
        <w:t>.2.5.1</w:t>
      </w:r>
      <w:r>
        <w:rPr>
          <w:b/>
          <w:bCs/>
          <w:color w:val="auto"/>
        </w:rPr>
        <w:t xml:space="preserve"> 固废污染源</w:t>
      </w:r>
    </w:p>
    <w:p w14:paraId="7BF7F390">
      <w:pPr>
        <w:ind w:firstLine="480" w:firstLineChars="200"/>
        <w:rPr>
          <w:rFonts w:cs="Times New Roman"/>
          <w:color w:val="auto"/>
          <w:lang w:bidi="ar"/>
        </w:rPr>
      </w:pPr>
      <w:r>
        <w:rPr>
          <w:rFonts w:hint="eastAsia"/>
          <w:color w:val="auto"/>
          <w:lang w:val="en-US" w:eastAsia="zh-CN"/>
        </w:rPr>
        <w:t>本次技改项目新增废活性炭等危险废物依托现有危废暂存间临时贮存后定期委托有资质单位处置，现有工程危废暂存间位于厂区中部，面积为297m</w:t>
      </w:r>
      <w:r>
        <w:rPr>
          <w:rFonts w:hint="eastAsia"/>
          <w:color w:val="auto"/>
          <w:vertAlign w:val="superscript"/>
          <w:lang w:val="en-US" w:eastAsia="zh-CN"/>
        </w:rPr>
        <w:t>2</w:t>
      </w:r>
      <w:r>
        <w:rPr>
          <w:rFonts w:hint="eastAsia"/>
          <w:color w:val="auto"/>
          <w:lang w:val="en-US" w:eastAsia="zh-CN"/>
        </w:rPr>
        <w:t>；</w:t>
      </w:r>
      <w:r>
        <w:rPr>
          <w:rFonts w:hint="eastAsia"/>
          <w:b w:val="0"/>
          <w:bCs w:val="0"/>
          <w:color w:val="auto"/>
          <w:lang w:val="en-US" w:eastAsia="zh-CN"/>
        </w:rPr>
        <w:t>碎电池片、喷砂碎屑、废玻璃砂、废布袋、布袋除尘器收集到的粉尘、废活性炭、废包装材料</w:t>
      </w:r>
      <w:r>
        <w:rPr>
          <w:rFonts w:hint="eastAsia"/>
          <w:color w:val="auto"/>
          <w:lang w:val="en-US" w:eastAsia="zh-CN"/>
        </w:rPr>
        <w:t>等一般固废依托现有一般固废仓库暂存后委托回收单位回收利用，现有工程一般固废仓库位于厂区中部，面积约设置887.96m</w:t>
      </w:r>
      <w:r>
        <w:rPr>
          <w:rFonts w:hint="eastAsia"/>
          <w:color w:val="auto"/>
          <w:vertAlign w:val="superscript"/>
          <w:lang w:val="en-US" w:eastAsia="zh-CN"/>
        </w:rPr>
        <w:t>2</w:t>
      </w:r>
      <w:r>
        <w:rPr>
          <w:rFonts w:hint="eastAsia" w:cs="Times New Roman"/>
          <w:color w:val="auto"/>
          <w:lang w:bidi="ar"/>
        </w:rPr>
        <w:t>。</w:t>
      </w:r>
      <w:r>
        <w:rPr>
          <w:rFonts w:cs="Times New Roman"/>
          <w:color w:val="auto"/>
          <w:lang w:bidi="ar"/>
        </w:rPr>
        <w:t>项目固体废物产生及处置情况见下表。</w:t>
      </w:r>
    </w:p>
    <w:p w14:paraId="39D5F861">
      <w:pPr>
        <w:jc w:val="center"/>
        <w:rPr>
          <w:b/>
          <w:bCs/>
          <w:color w:val="auto"/>
        </w:rPr>
      </w:pPr>
      <w:r>
        <w:rPr>
          <w:rFonts w:hint="eastAsia"/>
          <w:b/>
          <w:bCs/>
          <w:color w:val="auto"/>
        </w:rPr>
        <w:t>表6</w:t>
      </w:r>
      <w:r>
        <w:rPr>
          <w:rFonts w:hint="eastAsia"/>
          <w:b/>
          <w:bCs/>
          <w:color w:val="auto"/>
          <w:lang w:val="en-US" w:eastAsia="zh-CN"/>
        </w:rPr>
        <w:t>.2.5</w:t>
      </w:r>
      <w:r>
        <w:rPr>
          <w:b/>
          <w:bCs/>
          <w:color w:val="auto"/>
        </w:rPr>
        <w:t>-1 项目固体废物</w:t>
      </w:r>
      <w:r>
        <w:rPr>
          <w:rFonts w:hint="eastAsia"/>
          <w:b/>
          <w:bCs/>
          <w:color w:val="auto"/>
        </w:rPr>
        <w:t>产生及处置方式</w:t>
      </w:r>
      <w:r>
        <w:rPr>
          <w:b/>
          <w:bCs/>
          <w:color w:val="auto"/>
        </w:rPr>
        <w:t>信息</w:t>
      </w:r>
      <w:r>
        <w:rPr>
          <w:rFonts w:hint="eastAsia"/>
          <w:b/>
          <w:bCs/>
          <w:color w:val="auto"/>
        </w:rPr>
        <w:t>一览表</w:t>
      </w:r>
    </w:p>
    <w:tbl>
      <w:tblPr>
        <w:tblStyle w:val="17"/>
        <w:tblW w:w="5000" w:type="pct"/>
        <w:tblInd w:w="0" w:type="dxa"/>
        <w:tblLayout w:type="fixed"/>
        <w:tblCellMar>
          <w:top w:w="0" w:type="dxa"/>
          <w:left w:w="0" w:type="dxa"/>
          <w:bottom w:w="0" w:type="dxa"/>
          <w:right w:w="0" w:type="dxa"/>
        </w:tblCellMar>
      </w:tblPr>
      <w:tblGrid>
        <w:gridCol w:w="467"/>
        <w:gridCol w:w="993"/>
        <w:gridCol w:w="954"/>
        <w:gridCol w:w="934"/>
        <w:gridCol w:w="505"/>
        <w:gridCol w:w="811"/>
        <w:gridCol w:w="787"/>
        <w:gridCol w:w="443"/>
        <w:gridCol w:w="585"/>
        <w:gridCol w:w="586"/>
        <w:gridCol w:w="535"/>
        <w:gridCol w:w="1249"/>
        <w:gridCol w:w="528"/>
      </w:tblGrid>
      <w:tr w14:paraId="2171407D">
        <w:tblPrEx>
          <w:tblCellMar>
            <w:top w:w="0" w:type="dxa"/>
            <w:left w:w="0" w:type="dxa"/>
            <w:bottom w:w="0" w:type="dxa"/>
            <w:right w:w="0" w:type="dxa"/>
          </w:tblCellMar>
        </w:tblPrEx>
        <w:trPr>
          <w:trHeight w:val="871"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B51DD48">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序号</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A4A05A3">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产生环节</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FE19C8D">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固体废</w:t>
            </w:r>
          </w:p>
          <w:p w14:paraId="075E9FFF">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物名称</w:t>
            </w:r>
          </w:p>
        </w:tc>
        <w:tc>
          <w:tcPr>
            <w:tcW w:w="142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E45F15C">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固体废</w:t>
            </w:r>
          </w:p>
          <w:p w14:paraId="571176A6">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物属性</w:t>
            </w: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D428449">
            <w:pPr>
              <w:widowControl/>
              <w:spacing w:line="240" w:lineRule="auto"/>
              <w:jc w:val="center"/>
              <w:textAlignment w:val="center"/>
              <w:rPr>
                <w:rFonts w:hint="default" w:ascii="Times New Roman" w:hAnsi="Times New Roman" w:cs="Times New Roman"/>
                <w:b/>
                <w:bCs/>
                <w:color w:val="auto"/>
                <w:kern w:val="0"/>
                <w:sz w:val="21"/>
                <w:szCs w:val="21"/>
                <w:lang w:eastAsia="zh-CN" w:bidi="ar"/>
              </w:rPr>
            </w:pPr>
            <w:r>
              <w:rPr>
                <w:rFonts w:hint="default" w:ascii="Times New Roman" w:hAnsi="Times New Roman" w:cs="Times New Roman"/>
                <w:b/>
                <w:bCs/>
                <w:color w:val="auto"/>
                <w:kern w:val="0"/>
                <w:sz w:val="21"/>
                <w:szCs w:val="21"/>
                <w:lang w:eastAsia="zh-CN" w:bidi="ar"/>
              </w:rPr>
              <w:t>废物</w:t>
            </w:r>
          </w:p>
          <w:p w14:paraId="35F8D24D">
            <w:pPr>
              <w:widowControl/>
              <w:spacing w:line="240" w:lineRule="auto"/>
              <w:jc w:val="center"/>
              <w:textAlignment w:val="center"/>
              <w:rPr>
                <w:rFonts w:hint="default" w:ascii="Times New Roman" w:hAnsi="Times New Roman" w:eastAsia="宋体" w:cs="Times New Roman"/>
                <w:b/>
                <w:bCs/>
                <w:color w:val="auto"/>
                <w:kern w:val="0"/>
                <w:sz w:val="21"/>
                <w:szCs w:val="21"/>
                <w:lang w:eastAsia="zh-CN" w:bidi="ar"/>
              </w:rPr>
            </w:pPr>
            <w:r>
              <w:rPr>
                <w:rFonts w:hint="default" w:ascii="Times New Roman" w:hAnsi="Times New Roman" w:cs="Times New Roman"/>
                <w:b/>
                <w:bCs/>
                <w:color w:val="auto"/>
                <w:kern w:val="0"/>
                <w:sz w:val="21"/>
                <w:szCs w:val="21"/>
                <w:lang w:eastAsia="zh-CN" w:bidi="ar"/>
              </w:rPr>
              <w:t>类别</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131ABC1">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固废代码</w:t>
            </w:r>
          </w:p>
        </w:tc>
        <w:tc>
          <w:tcPr>
            <w:tcW w:w="120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F42F177">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主要有毒有害物质</w:t>
            </w:r>
          </w:p>
        </w:tc>
        <w:tc>
          <w:tcPr>
            <w:tcW w:w="67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5F8DDBD">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物理</w:t>
            </w:r>
          </w:p>
          <w:p w14:paraId="384C06DC">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性状</w:t>
            </w:r>
          </w:p>
        </w:tc>
        <w:tc>
          <w:tcPr>
            <w:tcW w:w="892" w:type="dxa"/>
            <w:tcBorders>
              <w:top w:val="single" w:color="000000" w:sz="4" w:space="0"/>
              <w:left w:val="single" w:color="auto" w:sz="4" w:space="0"/>
              <w:bottom w:val="single" w:color="000000" w:sz="4" w:space="0"/>
              <w:right w:val="single" w:color="000000" w:sz="4" w:space="0"/>
            </w:tcBorders>
            <w:noWrap w:val="0"/>
            <w:tcMar>
              <w:top w:w="12" w:type="dxa"/>
              <w:left w:w="12" w:type="dxa"/>
              <w:right w:w="12" w:type="dxa"/>
            </w:tcMar>
            <w:vAlign w:val="center"/>
          </w:tcPr>
          <w:p w14:paraId="5EDC90E3">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环境</w:t>
            </w:r>
          </w:p>
          <w:p w14:paraId="093521B6">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危险性</w:t>
            </w:r>
          </w:p>
        </w:tc>
        <w:tc>
          <w:tcPr>
            <w:tcW w:w="89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03EEB38F">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产生量（t/a）</w:t>
            </w:r>
          </w:p>
        </w:tc>
        <w:tc>
          <w:tcPr>
            <w:tcW w:w="817"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239F306F">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贮存</w:t>
            </w:r>
          </w:p>
          <w:p w14:paraId="0EA8202D">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方式</w:t>
            </w:r>
          </w:p>
        </w:tc>
        <w:tc>
          <w:tcPr>
            <w:tcW w:w="19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33726845">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处置/利用</w:t>
            </w:r>
          </w:p>
          <w:p w14:paraId="64FCCDA2">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方式</w:t>
            </w:r>
          </w:p>
        </w:tc>
        <w:tc>
          <w:tcPr>
            <w:tcW w:w="8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139AD681">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利用/处置量（t/a）</w:t>
            </w:r>
          </w:p>
        </w:tc>
      </w:tr>
      <w:tr w14:paraId="3B43D1B3">
        <w:tblPrEx>
          <w:tblCellMar>
            <w:top w:w="0" w:type="dxa"/>
            <w:left w:w="0" w:type="dxa"/>
            <w:bottom w:w="0" w:type="dxa"/>
            <w:right w:w="0" w:type="dxa"/>
          </w:tblCellMar>
        </w:tblPrEx>
        <w:trPr>
          <w:trHeight w:val="305"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146B74E">
            <w:pPr>
              <w:widowControl/>
              <w:spacing w:line="240" w:lineRule="auto"/>
              <w:jc w:val="center"/>
              <w:textAlignment w:val="center"/>
              <w:rPr>
                <w:rFonts w:hint="default" w:ascii="Times New Roman" w:hAnsi="Times New Roman" w:cs="Times New Roman"/>
                <w:color w:val="auto"/>
                <w:sz w:val="21"/>
                <w:szCs w:val="21"/>
              </w:rPr>
            </w:pPr>
            <w:r>
              <w:rPr>
                <w:rFonts w:hint="default" w:ascii="Times New Roman" w:hAnsi="Times New Roman" w:cs="Times New Roman"/>
                <w:color w:val="auto"/>
                <w:kern w:val="0"/>
                <w:sz w:val="21"/>
                <w:szCs w:val="21"/>
                <w:lang w:bidi="ar"/>
              </w:rPr>
              <w:t>1</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E2B1004">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default" w:ascii="Times New Roman" w:hAnsi="Times New Roman" w:eastAsia="宋体" w:cs="宋体"/>
                <w:b w:val="0"/>
                <w:bCs w:val="0"/>
                <w:color w:val="auto"/>
                <w:sz w:val="21"/>
                <w:szCs w:val="21"/>
                <w:lang w:val="en-US" w:eastAsia="zh-CN" w:bidi="ar-SA"/>
              </w:rPr>
              <w:t>ME激光开模、激光划片、四分片钝化</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E7E0E31">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报废电池片</w:t>
            </w:r>
          </w:p>
        </w:tc>
        <w:tc>
          <w:tcPr>
            <w:tcW w:w="1425" w:type="dxa"/>
            <w:vMerge w:val="restart"/>
            <w:tcBorders>
              <w:top w:val="single" w:color="auto" w:sz="4" w:space="0"/>
              <w:left w:val="single" w:color="auto" w:sz="4" w:space="0"/>
              <w:right w:val="single" w:color="auto" w:sz="4" w:space="0"/>
            </w:tcBorders>
            <w:shd w:val="clear" w:color="auto" w:fill="auto"/>
            <w:noWrap w:val="0"/>
            <w:tcMar>
              <w:top w:w="12" w:type="dxa"/>
              <w:left w:w="12" w:type="dxa"/>
              <w:right w:w="12" w:type="dxa"/>
            </w:tcMar>
            <w:vAlign w:val="center"/>
          </w:tcPr>
          <w:p w14:paraId="0F18CB70">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一般固废</w:t>
            </w: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B2F4AE9">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538F7A7">
            <w:pPr>
              <w:adjustRightInd w:val="0"/>
              <w:snapToGrid w:val="0"/>
              <w:spacing w:line="240" w:lineRule="auto"/>
              <w:jc w:val="center"/>
              <w:rPr>
                <w:rFonts w:hint="default" w:ascii="Times New Roman" w:hAnsi="Times New Roman" w:eastAsia="宋体" w:cs="Times New Roman"/>
                <w:color w:val="auto"/>
                <w:sz w:val="21"/>
                <w:szCs w:val="21"/>
                <w:lang w:val="en-US" w:eastAsia="zh-CN" w:bidi="ar-SA"/>
              </w:rPr>
            </w:pPr>
            <w:r>
              <w:rPr>
                <w:rFonts w:hint="eastAsia"/>
                <w:color w:val="auto"/>
                <w:kern w:val="0"/>
                <w:sz w:val="21"/>
                <w:szCs w:val="21"/>
                <w:lang w:val="en-US" w:eastAsia="zh-CN" w:bidi="ar"/>
              </w:rPr>
              <w:t>382-001-</w:t>
            </w:r>
            <w:r>
              <w:rPr>
                <w:color w:val="auto"/>
                <w:kern w:val="0"/>
                <w:sz w:val="21"/>
                <w:szCs w:val="21"/>
                <w:lang w:bidi="ar"/>
              </w:rPr>
              <w:t>14</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6CE050C">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C8E95C0">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1F13BC54">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1397DEC6">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w:t>
            </w:r>
          </w:p>
        </w:tc>
        <w:tc>
          <w:tcPr>
            <w:tcW w:w="817" w:type="dxa"/>
            <w:vMerge w:val="restart"/>
            <w:tcBorders>
              <w:top w:val="single" w:color="000000" w:sz="4" w:space="0"/>
              <w:left w:val="single" w:color="000000" w:sz="4" w:space="0"/>
              <w:right w:val="single" w:color="000000" w:sz="4" w:space="0"/>
            </w:tcBorders>
            <w:noWrap w:val="0"/>
            <w:tcMar>
              <w:top w:w="12" w:type="dxa"/>
              <w:left w:w="12" w:type="dxa"/>
              <w:right w:w="12" w:type="dxa"/>
            </w:tcMar>
            <w:vAlign w:val="center"/>
          </w:tcPr>
          <w:p w14:paraId="0DDDAC49">
            <w:pPr>
              <w:widowControl/>
              <w:spacing w:line="240" w:lineRule="auto"/>
              <w:jc w:val="center"/>
              <w:textAlignment w:val="center"/>
              <w:rPr>
                <w:rFonts w:hint="eastAsia"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rPr>
              <w:t>贮存在一般固废</w:t>
            </w:r>
            <w:r>
              <w:rPr>
                <w:rFonts w:hint="eastAsia" w:ascii="Times New Roman" w:hAnsi="Times New Roman" w:cs="Times New Roman"/>
                <w:color w:val="auto"/>
                <w:sz w:val="21"/>
                <w:szCs w:val="21"/>
                <w:lang w:eastAsia="zh-CN"/>
              </w:rPr>
              <w:t>仓库</w:t>
            </w:r>
          </w:p>
        </w:tc>
        <w:tc>
          <w:tcPr>
            <w:tcW w:w="1906" w:type="dxa"/>
            <w:vMerge w:val="restart"/>
            <w:tcBorders>
              <w:top w:val="single" w:color="000000" w:sz="4" w:space="0"/>
              <w:left w:val="single" w:color="000000" w:sz="4" w:space="0"/>
              <w:right w:val="single" w:color="auto" w:sz="4" w:space="0"/>
            </w:tcBorders>
            <w:noWrap w:val="0"/>
            <w:tcMar>
              <w:top w:w="12" w:type="dxa"/>
              <w:left w:w="12" w:type="dxa"/>
              <w:right w:w="12" w:type="dxa"/>
            </w:tcMar>
            <w:vAlign w:val="center"/>
          </w:tcPr>
          <w:p w14:paraId="1CD86E97">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eastAsia="zh-CN"/>
              </w:rPr>
              <w:t>回收单位</w:t>
            </w:r>
            <w:r>
              <w:rPr>
                <w:rFonts w:hint="default" w:ascii="Times New Roman" w:hAnsi="Times New Roman" w:cs="Times New Roman"/>
                <w:color w:val="auto"/>
                <w:sz w:val="21"/>
                <w:szCs w:val="21"/>
              </w:rPr>
              <w:t>回收利用</w:t>
            </w: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0E68DCE4">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5</w:t>
            </w:r>
          </w:p>
        </w:tc>
      </w:tr>
      <w:tr w14:paraId="6700034A">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EF8CDB3">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2</w:t>
            </w:r>
          </w:p>
        </w:tc>
        <w:tc>
          <w:tcPr>
            <w:tcW w:w="1516" w:type="dxa"/>
            <w:vMerge w:val="restart"/>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5B2CE5F">
            <w:pPr>
              <w:widowControl w:val="0"/>
              <w:spacing w:line="240" w:lineRule="auto"/>
              <w:jc w:val="center"/>
              <w:rPr>
                <w:rFonts w:hint="default"/>
                <w:b w:val="0"/>
                <w:bCs w:val="0"/>
                <w:color w:val="auto"/>
                <w:sz w:val="21"/>
                <w:szCs w:val="21"/>
                <w:lang w:val="en-US" w:eastAsia="zh-CN"/>
              </w:rPr>
            </w:pPr>
            <w:r>
              <w:rPr>
                <w:rFonts w:hint="default"/>
                <w:b w:val="0"/>
                <w:bCs w:val="0"/>
                <w:color w:val="auto"/>
                <w:sz w:val="21"/>
                <w:szCs w:val="21"/>
                <w:lang w:val="en-US" w:eastAsia="zh-CN"/>
              </w:rPr>
              <w:t>四分片钝化铝板、真空泵清洗</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486E952">
            <w:pPr>
              <w:widowControl w:val="0"/>
              <w:spacing w:line="240" w:lineRule="auto"/>
              <w:jc w:val="center"/>
              <w:rPr>
                <w:rFonts w:hint="eastAsia"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喷砂碎屑</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2887AEEB">
            <w:pPr>
              <w:widowControl/>
              <w:spacing w:line="240" w:lineRule="auto"/>
              <w:jc w:val="center"/>
              <w:textAlignment w:val="center"/>
              <w:rPr>
                <w:rFonts w:hint="eastAsia" w:ascii="Times New Roman" w:hAnsi="Times New Roman"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5BB8DF2">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F2D1D36">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8317322">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75E6451">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59868A2F">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17659C5D">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0.2</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2745C361">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5F130027">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18D58650">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0.2</w:t>
            </w:r>
          </w:p>
        </w:tc>
      </w:tr>
      <w:tr w14:paraId="6B3E10B1">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C11E0E5">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3</w:t>
            </w:r>
          </w:p>
        </w:tc>
        <w:tc>
          <w:tcPr>
            <w:tcW w:w="1516" w:type="dxa"/>
            <w:vMerge w:val="continue"/>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91E54E0">
            <w:pPr>
              <w:widowControl w:val="0"/>
              <w:spacing w:line="240" w:lineRule="auto"/>
              <w:jc w:val="center"/>
              <w:rPr>
                <w:rFonts w:hint="default"/>
                <w:b w:val="0"/>
                <w:bCs w:val="0"/>
                <w:color w:val="auto"/>
                <w:sz w:val="21"/>
                <w:szCs w:val="21"/>
                <w:lang w:val="en-US" w:eastAsia="zh-CN"/>
              </w:rPr>
            </w:pP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B97C0EB">
            <w:pPr>
              <w:widowControl w:val="0"/>
              <w:spacing w:line="240" w:lineRule="auto"/>
              <w:jc w:val="center"/>
              <w:rPr>
                <w:rFonts w:hint="eastAsia"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废玻璃砂</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08B95164">
            <w:pPr>
              <w:widowControl/>
              <w:spacing w:line="240" w:lineRule="auto"/>
              <w:jc w:val="center"/>
              <w:textAlignment w:val="center"/>
              <w:rPr>
                <w:rFonts w:hint="eastAsia" w:ascii="Times New Roman" w:hAnsi="Times New Roman"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184A233">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5AB8374">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4865DC1">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01A7548">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11425BFC">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73651B8D">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0D68C5E4">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4D7106F0">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7D45F153">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3</w:t>
            </w:r>
          </w:p>
        </w:tc>
      </w:tr>
      <w:tr w14:paraId="7C1588D9">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CE4997E">
            <w:pPr>
              <w:widowControl/>
              <w:spacing w:line="240" w:lineRule="auto"/>
              <w:jc w:val="center"/>
              <w:textAlignment w:val="center"/>
              <w:rPr>
                <w:rFonts w:hint="default" w:cs="Times New Roman"/>
                <w:color w:val="auto"/>
                <w:kern w:val="0"/>
                <w:sz w:val="21"/>
                <w:szCs w:val="21"/>
                <w:lang w:val="en-US" w:eastAsia="zh-CN" w:bidi="ar"/>
              </w:rPr>
            </w:pPr>
            <w:r>
              <w:rPr>
                <w:rFonts w:hint="eastAsia" w:cs="Times New Roman"/>
                <w:color w:val="auto"/>
                <w:kern w:val="0"/>
                <w:sz w:val="21"/>
                <w:szCs w:val="21"/>
                <w:lang w:val="en-US" w:eastAsia="zh-CN" w:bidi="ar"/>
              </w:rPr>
              <w:t>4</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030388E">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53B3863">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color w:val="auto"/>
                <w:spacing w:val="0"/>
                <w:w w:val="100"/>
                <w:position w:val="0"/>
                <w:sz w:val="21"/>
                <w:szCs w:val="21"/>
                <w:lang w:val="en-US" w:eastAsia="zh-CN"/>
              </w:rPr>
              <w:t>废布袋</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16532BC3">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07588DC">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6D629E7">
            <w:pPr>
              <w:adjustRightInd w:val="0"/>
              <w:snapToGrid w:val="0"/>
              <w:spacing w:line="240" w:lineRule="auto"/>
              <w:jc w:val="center"/>
              <w:rPr>
                <w:rFonts w:hint="eastAsia" w:ascii="Times New Roman" w:hAnsi="Times New Roman" w:eastAsia="宋体" w:cs="Times New Roman"/>
                <w:color w:val="auto"/>
                <w:sz w:val="21"/>
                <w:szCs w:val="21"/>
                <w:lang w:val="en-US" w:eastAsia="zh-CN" w:bidi="ar-SA"/>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4F41D6A">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E0A7B2C">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145FFBEE">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0C0EAD3F">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0.7</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4A79D259">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529003CC">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6819C16A">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0.7</w:t>
            </w:r>
          </w:p>
        </w:tc>
      </w:tr>
      <w:tr w14:paraId="28E8162C">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76282FC">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5</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49E5AAA">
            <w:pPr>
              <w:widowControl w:val="0"/>
              <w:spacing w:line="240" w:lineRule="auto"/>
              <w:jc w:val="center"/>
              <w:rPr>
                <w:rFonts w:hint="default"/>
                <w:b w:val="0"/>
                <w:bCs w:val="0"/>
                <w:color w:val="auto"/>
                <w:sz w:val="21"/>
                <w:szCs w:val="21"/>
                <w:lang w:val="en-US" w:eastAsia="zh-CN"/>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A4CAFF2">
            <w:pPr>
              <w:widowControl w:val="0"/>
              <w:spacing w:line="240" w:lineRule="auto"/>
              <w:jc w:val="center"/>
              <w:rPr>
                <w:rFonts w:hint="eastAsia"/>
                <w:b w:val="0"/>
                <w:bCs w:val="0"/>
                <w:color w:val="auto"/>
                <w:sz w:val="21"/>
                <w:szCs w:val="21"/>
                <w:lang w:val="en-US" w:eastAsia="zh-CN"/>
              </w:rPr>
            </w:pPr>
            <w:r>
              <w:rPr>
                <w:rFonts w:hint="eastAsia"/>
                <w:b w:val="0"/>
                <w:bCs w:val="0"/>
                <w:color w:val="auto"/>
                <w:sz w:val="21"/>
                <w:szCs w:val="21"/>
                <w:lang w:val="en-US" w:eastAsia="zh-CN"/>
              </w:rPr>
              <w:t>除尘器收集粉尘</w:t>
            </w:r>
          </w:p>
        </w:tc>
        <w:tc>
          <w:tcPr>
            <w:tcW w:w="1425" w:type="dxa"/>
            <w:vMerge w:val="continue"/>
            <w:tcBorders>
              <w:left w:val="single" w:color="auto" w:sz="4" w:space="0"/>
              <w:right w:val="single" w:color="auto" w:sz="4" w:space="0"/>
            </w:tcBorders>
            <w:noWrap w:val="0"/>
            <w:tcMar>
              <w:top w:w="12" w:type="dxa"/>
              <w:left w:w="12" w:type="dxa"/>
              <w:right w:w="12" w:type="dxa"/>
            </w:tcMar>
            <w:vAlign w:val="center"/>
          </w:tcPr>
          <w:p w14:paraId="5AD9FE56">
            <w:pPr>
              <w:widowControl/>
              <w:spacing w:line="240" w:lineRule="auto"/>
              <w:jc w:val="center"/>
              <w:textAlignment w:val="center"/>
              <w:rPr>
                <w:rFonts w:hint="default" w:ascii="Times New Roman" w:hAnsi="Times New Roman" w:cs="Times New Roman"/>
                <w:color w:val="auto"/>
                <w:sz w:val="21"/>
                <w:szCs w:val="21"/>
              </w:rPr>
            </w:pP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0164520">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37E88E2">
            <w:pPr>
              <w:adjustRightInd w:val="0"/>
              <w:snapToGrid w:val="0"/>
              <w:spacing w:line="240" w:lineRule="auto"/>
              <w:jc w:val="center"/>
              <w:rPr>
                <w:rFonts w:hint="default" w:ascii="Times New Roman" w:hAnsi="Times New Roman" w:eastAsia="宋体" w:cs="Times New Roman"/>
                <w:color w:val="auto"/>
                <w:sz w:val="21"/>
                <w:szCs w:val="21"/>
                <w:lang w:val="en-US" w:eastAsia="zh-CN"/>
              </w:rPr>
            </w:pPr>
            <w:r>
              <w:rPr>
                <w:rFonts w:hint="eastAsia"/>
                <w:color w:val="auto"/>
                <w:kern w:val="0"/>
                <w:sz w:val="21"/>
                <w:szCs w:val="21"/>
                <w:lang w:val="en-US" w:eastAsia="zh-CN" w:bidi="ar"/>
              </w:rPr>
              <w:t>382-001-</w:t>
            </w:r>
            <w:r>
              <w:rPr>
                <w:color w:val="auto"/>
                <w:kern w:val="0"/>
                <w:sz w:val="21"/>
                <w:szCs w:val="21"/>
                <w:lang w:bidi="ar"/>
              </w:rPr>
              <w:t>66</w:t>
            </w:r>
          </w:p>
        </w:tc>
        <w:tc>
          <w:tcPr>
            <w:tcW w:w="120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D5930C2">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7A20540">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153D535">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AD8147A">
            <w:pPr>
              <w:widowControl/>
              <w:spacing w:line="240" w:lineRule="auto"/>
              <w:jc w:val="center"/>
              <w:textAlignment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4.982</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16E7C8BC">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02DF5EBE">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91C0228">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sz w:val="21"/>
                <w:szCs w:val="21"/>
                <w:lang w:val="en-US" w:eastAsia="zh-CN" w:bidi="ar-SA"/>
              </w:rPr>
              <w:t>4.982</w:t>
            </w:r>
          </w:p>
        </w:tc>
      </w:tr>
      <w:tr w14:paraId="2599874D">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6D3DB03">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6</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01F584A">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AC印刷</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E7DB4C2">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color w:val="auto"/>
                <w:spacing w:val="0"/>
                <w:w w:val="100"/>
                <w:position w:val="0"/>
                <w:sz w:val="21"/>
                <w:szCs w:val="21"/>
                <w:lang w:val="en-US" w:eastAsia="zh-CN"/>
              </w:rPr>
              <w:t>废包装桶（银包铜浆料）</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6D26053F">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B30A6D0">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82F387D">
            <w:pPr>
              <w:adjustRightInd w:val="0"/>
              <w:spacing w:line="240" w:lineRule="auto"/>
              <w:jc w:val="center"/>
              <w:rPr>
                <w:rFonts w:hint="eastAsia" w:ascii="Times New Roman" w:hAnsi="Times New Roman" w:eastAsia="宋体" w:cs="Times New Roman"/>
                <w:snapToGrid w:val="0"/>
                <w:color w:val="auto"/>
                <w:sz w:val="21"/>
                <w:szCs w:val="21"/>
                <w:lang w:val="en-US" w:eastAsia="zh-CN" w:bidi="ar-SA"/>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A486D4D">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6046169">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789F428">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5B73F24">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2</w:t>
            </w:r>
          </w:p>
        </w:tc>
        <w:tc>
          <w:tcPr>
            <w:tcW w:w="817" w:type="dxa"/>
            <w:vMerge w:val="continue"/>
            <w:tcBorders>
              <w:left w:val="single" w:color="000000" w:sz="4" w:space="0"/>
              <w:right w:val="single" w:color="000000" w:sz="4" w:space="0"/>
            </w:tcBorders>
            <w:shd w:val="clear" w:color="auto" w:fill="auto"/>
            <w:noWrap w:val="0"/>
            <w:tcMar>
              <w:top w:w="12" w:type="dxa"/>
              <w:left w:w="12" w:type="dxa"/>
              <w:right w:w="12" w:type="dxa"/>
            </w:tcMar>
            <w:vAlign w:val="center"/>
          </w:tcPr>
          <w:p w14:paraId="7055A446">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p>
        </w:tc>
        <w:tc>
          <w:tcPr>
            <w:tcW w:w="1906" w:type="dxa"/>
            <w:vMerge w:val="continue"/>
            <w:tcBorders>
              <w:left w:val="single" w:color="000000" w:sz="4" w:space="0"/>
              <w:bottom w:val="single" w:color="auto" w:sz="4" w:space="0"/>
              <w:right w:val="single" w:color="auto" w:sz="4" w:space="0"/>
            </w:tcBorders>
            <w:shd w:val="clear" w:color="auto" w:fill="auto"/>
            <w:noWrap w:val="0"/>
            <w:tcMar>
              <w:top w:w="12" w:type="dxa"/>
              <w:left w:w="12" w:type="dxa"/>
              <w:right w:w="12" w:type="dxa"/>
            </w:tcMar>
            <w:vAlign w:val="center"/>
          </w:tcPr>
          <w:p w14:paraId="2083852D">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CDBA1AC">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2</w:t>
            </w:r>
          </w:p>
        </w:tc>
      </w:tr>
      <w:tr w14:paraId="3FBB47F5">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EA0AB78">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7</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18B9A59">
            <w:pPr>
              <w:widowControl w:val="0"/>
              <w:spacing w:line="240" w:lineRule="auto"/>
              <w:jc w:val="center"/>
              <w:rPr>
                <w:rFonts w:hint="eastAsia"/>
                <w:b w:val="0"/>
                <w:bCs w:val="0"/>
                <w:color w:val="auto"/>
                <w:sz w:val="21"/>
                <w:szCs w:val="21"/>
                <w:lang w:val="en-US" w:eastAsia="zh-CN"/>
              </w:rPr>
            </w:pPr>
            <w:r>
              <w:rPr>
                <w:rFonts w:hint="eastAsia"/>
                <w:b w:val="0"/>
                <w:bCs w:val="0"/>
                <w:color w:val="auto"/>
                <w:sz w:val="21"/>
                <w:szCs w:val="21"/>
                <w:lang w:val="en-US" w:eastAsia="zh-CN"/>
              </w:rPr>
              <w:t>AC印刷</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80E72DE">
            <w:pPr>
              <w:widowControl w:val="0"/>
              <w:spacing w:line="240" w:lineRule="auto"/>
              <w:jc w:val="center"/>
              <w:rPr>
                <w:rFonts w:hint="default"/>
                <w:b w:val="0"/>
                <w:bCs w:val="0"/>
                <w:color w:val="auto"/>
                <w:sz w:val="21"/>
                <w:szCs w:val="21"/>
                <w:lang w:val="en-US" w:eastAsia="zh-CN"/>
              </w:rPr>
            </w:pPr>
            <w:r>
              <w:rPr>
                <w:rFonts w:hint="eastAsia"/>
                <w:b w:val="0"/>
                <w:bCs w:val="0"/>
                <w:color w:val="auto"/>
                <w:sz w:val="21"/>
                <w:szCs w:val="21"/>
                <w:lang w:val="en-US" w:eastAsia="zh-CN"/>
              </w:rPr>
              <w:t>废印刷网版</w:t>
            </w:r>
          </w:p>
        </w:tc>
        <w:tc>
          <w:tcPr>
            <w:tcW w:w="1425" w:type="dxa"/>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14:paraId="5A763A01">
            <w:pPr>
              <w:widowControl/>
              <w:spacing w:line="240" w:lineRule="auto"/>
              <w:jc w:val="center"/>
              <w:textAlignment w:val="center"/>
              <w:rPr>
                <w:rFonts w:hint="default" w:ascii="Times New Roman" w:hAnsi="Times New Roman" w:cs="Times New Roman"/>
                <w:color w:val="auto"/>
                <w:sz w:val="21"/>
                <w:szCs w:val="21"/>
              </w:rPr>
            </w:pP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7438EE5">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E025CF2">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34214BE">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67BEBD8">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C24ACA4">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0DC7B5D">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8</w:t>
            </w:r>
          </w:p>
        </w:tc>
        <w:tc>
          <w:tcPr>
            <w:tcW w:w="817" w:type="dxa"/>
            <w:vMerge w:val="continue"/>
            <w:tcBorders>
              <w:left w:val="single" w:color="000000" w:sz="4" w:space="0"/>
              <w:bottom w:val="single" w:color="auto" w:sz="4" w:space="0"/>
              <w:right w:val="single" w:color="000000" w:sz="4" w:space="0"/>
            </w:tcBorders>
            <w:noWrap w:val="0"/>
            <w:tcMar>
              <w:top w:w="12" w:type="dxa"/>
              <w:left w:w="12" w:type="dxa"/>
              <w:right w:w="12" w:type="dxa"/>
            </w:tcMar>
            <w:vAlign w:val="center"/>
          </w:tcPr>
          <w:p w14:paraId="7C3A7585">
            <w:pPr>
              <w:widowControl/>
              <w:spacing w:line="240" w:lineRule="auto"/>
              <w:jc w:val="center"/>
              <w:textAlignment w:val="center"/>
              <w:rPr>
                <w:rFonts w:hint="default" w:ascii="Times New Roman" w:hAnsi="Times New Roman" w:cs="Times New Roman"/>
                <w:color w:val="auto"/>
                <w:sz w:val="21"/>
                <w:szCs w:val="21"/>
              </w:rPr>
            </w:pPr>
          </w:p>
        </w:tc>
        <w:tc>
          <w:tcPr>
            <w:tcW w:w="190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DD30C4E">
            <w:pPr>
              <w:widowControl/>
              <w:spacing w:line="240" w:lineRule="auto"/>
              <w:jc w:val="center"/>
              <w:textAlignment w:val="center"/>
              <w:rPr>
                <w:rFonts w:hint="eastAsia" w:ascii="Times New Roman" w:hAnsi="Times New Roman" w:cs="Times New Roman"/>
                <w:color w:val="auto"/>
                <w:sz w:val="21"/>
                <w:szCs w:val="21"/>
                <w:lang w:eastAsia="zh-CN"/>
              </w:rPr>
            </w:pPr>
            <w:r>
              <w:rPr>
                <w:rFonts w:hint="eastAsia"/>
                <w:sz w:val="21"/>
                <w:szCs w:val="21"/>
                <w:lang w:val="en-US" w:eastAsia="zh-CN"/>
              </w:rPr>
              <w:t>交由厂家回收利用</w:t>
            </w: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A40E3EB">
            <w:pPr>
              <w:widowControl/>
              <w:spacing w:line="240" w:lineRule="auto"/>
              <w:jc w:val="center"/>
              <w:textAlignment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8</w:t>
            </w:r>
          </w:p>
        </w:tc>
      </w:tr>
      <w:tr w14:paraId="55134BDC">
        <w:tblPrEx>
          <w:tblCellMar>
            <w:top w:w="0" w:type="dxa"/>
            <w:left w:w="0" w:type="dxa"/>
            <w:bottom w:w="0" w:type="dxa"/>
            <w:right w:w="0" w:type="dxa"/>
          </w:tblCellMar>
        </w:tblPrEx>
        <w:trPr>
          <w:trHeight w:val="305"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D937555">
            <w:pPr>
              <w:widowControl/>
              <w:spacing w:line="240" w:lineRule="auto"/>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8</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66305E2">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76C399A">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b w:val="0"/>
                <w:bCs w:val="0"/>
                <w:color w:val="auto"/>
                <w:sz w:val="21"/>
                <w:szCs w:val="21"/>
                <w:lang w:val="en-US" w:eastAsia="zh-CN"/>
              </w:rPr>
              <w:t>废活性炭</w:t>
            </w:r>
          </w:p>
        </w:tc>
        <w:tc>
          <w:tcPr>
            <w:tcW w:w="142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72A9560">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危险废物</w:t>
            </w: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271C782">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eastAsia" w:ascii="Times New Roman" w:hAnsi="Times New Roman" w:eastAsia="宋体" w:cs="Times New Roman"/>
                <w:bCs/>
                <w:color w:val="auto"/>
                <w:kern w:val="0"/>
                <w:sz w:val="21"/>
                <w:szCs w:val="21"/>
                <w:lang w:val="en-US" w:eastAsia="zh-CN"/>
              </w:rPr>
              <w:t>HW49</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88DED44">
            <w:pPr>
              <w:adjustRightInd w:val="0"/>
              <w:snapToGrid w:val="0"/>
              <w:spacing w:line="240" w:lineRule="auto"/>
              <w:jc w:val="center"/>
              <w:rPr>
                <w:rFonts w:hint="default" w:ascii="Times New Roman" w:hAnsi="Times New Roman" w:eastAsia="宋体" w:cs="Times New Roman"/>
                <w:color w:val="auto"/>
                <w:sz w:val="21"/>
                <w:szCs w:val="21"/>
                <w:lang w:val="en-US" w:eastAsia="zh-CN" w:bidi="ar-SA"/>
              </w:rPr>
            </w:pPr>
            <w:r>
              <w:rPr>
                <w:rFonts w:ascii="Times New Roman" w:hAnsi="Times New Roman" w:eastAsia="宋体" w:cs="Times New Roman"/>
                <w:snapToGrid w:val="0"/>
                <w:color w:val="auto"/>
                <w:sz w:val="21"/>
                <w:szCs w:val="21"/>
              </w:rPr>
              <w:t>900-0</w:t>
            </w:r>
            <w:r>
              <w:rPr>
                <w:rFonts w:hint="eastAsia" w:cs="Times New Roman"/>
                <w:snapToGrid w:val="0"/>
                <w:color w:val="auto"/>
                <w:sz w:val="21"/>
                <w:szCs w:val="21"/>
                <w:lang w:val="en-US" w:eastAsia="zh-CN"/>
              </w:rPr>
              <w:t>39</w:t>
            </w:r>
            <w:r>
              <w:rPr>
                <w:rFonts w:ascii="Times New Roman" w:hAnsi="Times New Roman" w:eastAsia="宋体" w:cs="Times New Roman"/>
                <w:snapToGrid w:val="0"/>
                <w:color w:val="auto"/>
                <w:sz w:val="21"/>
                <w:szCs w:val="21"/>
              </w:rPr>
              <w:t>-49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2D307A7">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eastAsia" w:ascii="Times New Roman" w:hAnsi="Times New Roman" w:eastAsia="宋体" w:cs="Times New Roman"/>
                <w:snapToGrid w:val="0"/>
                <w:color w:val="auto"/>
                <w:sz w:val="21"/>
                <w:szCs w:val="21"/>
                <w:lang w:val="en-US" w:eastAsia="zh-CN"/>
              </w:rPr>
              <w:t>有机物</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032D89B">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5E0FEAF">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color w:val="auto"/>
                <w:kern w:val="0"/>
                <w:sz w:val="21"/>
                <w:szCs w:val="21"/>
                <w:lang w:bidi="ar"/>
              </w:rPr>
              <w:t>T/In</w:t>
            </w:r>
          </w:p>
        </w:tc>
        <w:tc>
          <w:tcPr>
            <w:tcW w:w="895"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06205BC">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sz w:val="21"/>
                <w:szCs w:val="21"/>
                <w:lang w:val="en-US" w:eastAsia="zh-CN" w:bidi="ar-SA"/>
              </w:rPr>
              <w:t>3</w:t>
            </w:r>
          </w:p>
        </w:tc>
        <w:tc>
          <w:tcPr>
            <w:tcW w:w="81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FD894BC">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贮存在危险废物暂存</w:t>
            </w:r>
            <w:r>
              <w:rPr>
                <w:rFonts w:hint="default" w:ascii="Times New Roman" w:hAnsi="Times New Roman" w:cs="Times New Roman"/>
                <w:color w:val="auto"/>
                <w:sz w:val="21"/>
                <w:szCs w:val="21"/>
                <w:lang w:val="en-US" w:eastAsia="zh-CN"/>
              </w:rPr>
              <w:t>间</w:t>
            </w:r>
          </w:p>
        </w:tc>
        <w:tc>
          <w:tcPr>
            <w:tcW w:w="190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BF57FEC">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委托相关资质单位处置</w:t>
            </w: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EBAAF93">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sz w:val="21"/>
                <w:szCs w:val="21"/>
                <w:lang w:val="en-US" w:eastAsia="zh-CN" w:bidi="ar-SA"/>
              </w:rPr>
              <w:t>3</w:t>
            </w:r>
          </w:p>
        </w:tc>
      </w:tr>
    </w:tbl>
    <w:p w14:paraId="3F1EDBE3">
      <w:pPr>
        <w:bidi w:val="0"/>
        <w:ind w:firstLine="480" w:firstLineChars="200"/>
        <w:rPr>
          <w:rFonts w:hint="default" w:eastAsia="宋体"/>
          <w:lang w:val="en-US" w:eastAsia="zh-CN"/>
        </w:rPr>
      </w:pPr>
      <w:r>
        <w:rPr>
          <w:rFonts w:hint="eastAsia"/>
          <w:color w:val="auto"/>
          <w:lang w:val="en-US" w:eastAsia="zh-CN"/>
        </w:rPr>
        <w:t>现有工程危废暂存间位于厂区中部，面积为297m</w:t>
      </w:r>
      <w:r>
        <w:rPr>
          <w:rFonts w:hint="eastAsia"/>
          <w:color w:val="auto"/>
          <w:vertAlign w:val="superscript"/>
          <w:lang w:val="en-US" w:eastAsia="zh-CN"/>
        </w:rPr>
        <w:t>2</w:t>
      </w:r>
      <w:r>
        <w:rPr>
          <w:rFonts w:hint="eastAsia"/>
          <w:color w:val="auto"/>
          <w:vertAlign w:val="baseline"/>
          <w:lang w:val="en-US" w:eastAsia="zh-CN"/>
        </w:rPr>
        <w:t>，</w:t>
      </w:r>
      <w:r>
        <w:rPr>
          <w:rFonts w:hint="eastAsia"/>
          <w:lang w:val="en-US" w:eastAsia="zh-CN"/>
        </w:rPr>
        <w:t>基本情况如下。</w:t>
      </w:r>
    </w:p>
    <w:p w14:paraId="0334C21B">
      <w:pPr>
        <w:jc w:val="center"/>
        <w:rPr>
          <w:b/>
          <w:bCs/>
          <w:color w:val="auto"/>
        </w:rPr>
      </w:pPr>
      <w:r>
        <w:rPr>
          <w:b/>
          <w:bCs/>
          <w:color w:val="auto"/>
        </w:rPr>
        <w:t>表</w:t>
      </w:r>
      <w:r>
        <w:rPr>
          <w:rFonts w:hint="eastAsia"/>
          <w:b/>
          <w:bCs/>
          <w:color w:val="auto"/>
        </w:rPr>
        <w:t>6</w:t>
      </w:r>
      <w:r>
        <w:rPr>
          <w:rFonts w:hint="eastAsia"/>
          <w:b/>
          <w:bCs/>
          <w:color w:val="auto"/>
          <w:lang w:val="en-US" w:eastAsia="zh-CN"/>
        </w:rPr>
        <w:t>.2.5</w:t>
      </w:r>
      <w:r>
        <w:rPr>
          <w:b/>
          <w:bCs/>
          <w:color w:val="auto"/>
        </w:rPr>
        <w:t xml:space="preserve">-2 </w:t>
      </w:r>
      <w:r>
        <w:rPr>
          <w:rFonts w:hint="eastAsia"/>
          <w:b/>
          <w:bCs/>
          <w:color w:val="auto"/>
          <w:lang w:val="en-US" w:eastAsia="zh-CN"/>
        </w:rPr>
        <w:t>现有工程</w:t>
      </w:r>
      <w:r>
        <w:rPr>
          <w:b/>
          <w:bCs/>
          <w:color w:val="auto"/>
        </w:rPr>
        <w:t>危险废物贮存场所基本情况</w:t>
      </w:r>
      <w:r>
        <w:rPr>
          <w:rFonts w:hint="eastAsia"/>
          <w:b/>
          <w:bCs/>
          <w:color w:val="auto"/>
        </w:rPr>
        <w:t>一览表</w:t>
      </w:r>
    </w:p>
    <w:tbl>
      <w:tblPr>
        <w:tblStyle w:val="17"/>
        <w:tblW w:w="49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5"/>
        <w:gridCol w:w="870"/>
        <w:gridCol w:w="1512"/>
        <w:gridCol w:w="2520"/>
        <w:gridCol w:w="805"/>
        <w:gridCol w:w="861"/>
        <w:gridCol w:w="780"/>
        <w:gridCol w:w="729"/>
        <w:gridCol w:w="793"/>
      </w:tblGrid>
      <w:tr w14:paraId="31156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04" w:type="pct"/>
            <w:vAlign w:val="center"/>
          </w:tcPr>
          <w:p w14:paraId="4E691E4B">
            <w:pPr>
              <w:topLinePunct/>
              <w:adjustRightInd w:val="0"/>
              <w:spacing w:line="240" w:lineRule="auto"/>
              <w:jc w:val="center"/>
              <w:rPr>
                <w:rFonts w:cs="Times New Roman"/>
                <w:b/>
                <w:color w:val="auto"/>
                <w:sz w:val="21"/>
                <w:szCs w:val="21"/>
              </w:rPr>
            </w:pPr>
            <w:r>
              <w:rPr>
                <w:rFonts w:cs="Times New Roman"/>
                <w:b/>
                <w:color w:val="auto"/>
                <w:sz w:val="21"/>
                <w:szCs w:val="21"/>
              </w:rPr>
              <w:t>序号</w:t>
            </w:r>
          </w:p>
        </w:tc>
        <w:tc>
          <w:tcPr>
            <w:tcW w:w="460" w:type="pct"/>
            <w:vAlign w:val="center"/>
          </w:tcPr>
          <w:p w14:paraId="56027690">
            <w:pPr>
              <w:topLinePunct/>
              <w:adjustRightInd w:val="0"/>
              <w:spacing w:line="240" w:lineRule="auto"/>
              <w:jc w:val="center"/>
              <w:rPr>
                <w:rFonts w:cs="Times New Roman"/>
                <w:b/>
                <w:color w:val="auto"/>
                <w:sz w:val="21"/>
                <w:szCs w:val="21"/>
              </w:rPr>
            </w:pPr>
            <w:r>
              <w:rPr>
                <w:rFonts w:cs="Times New Roman"/>
                <w:b/>
                <w:color w:val="auto"/>
                <w:sz w:val="21"/>
                <w:szCs w:val="21"/>
              </w:rPr>
              <w:t>贮存场所名称</w:t>
            </w:r>
          </w:p>
        </w:tc>
        <w:tc>
          <w:tcPr>
            <w:tcW w:w="800" w:type="pct"/>
            <w:vAlign w:val="center"/>
          </w:tcPr>
          <w:p w14:paraId="3BE1C04F">
            <w:pPr>
              <w:topLinePunct/>
              <w:adjustRightInd w:val="0"/>
              <w:spacing w:line="240" w:lineRule="auto"/>
              <w:jc w:val="center"/>
              <w:rPr>
                <w:rFonts w:cs="Times New Roman"/>
                <w:b/>
                <w:color w:val="auto"/>
                <w:sz w:val="21"/>
                <w:szCs w:val="21"/>
              </w:rPr>
            </w:pPr>
            <w:r>
              <w:rPr>
                <w:rFonts w:cs="Times New Roman"/>
                <w:b/>
                <w:color w:val="auto"/>
                <w:sz w:val="21"/>
                <w:szCs w:val="21"/>
              </w:rPr>
              <w:t>危险废物名称</w:t>
            </w:r>
          </w:p>
        </w:tc>
        <w:tc>
          <w:tcPr>
            <w:tcW w:w="1334" w:type="pct"/>
            <w:vAlign w:val="center"/>
          </w:tcPr>
          <w:p w14:paraId="6DB9A203">
            <w:pPr>
              <w:topLinePunct/>
              <w:adjustRightInd w:val="0"/>
              <w:spacing w:line="240" w:lineRule="auto"/>
              <w:jc w:val="center"/>
              <w:rPr>
                <w:rFonts w:cs="Times New Roman"/>
                <w:b/>
                <w:color w:val="auto"/>
                <w:sz w:val="21"/>
                <w:szCs w:val="21"/>
              </w:rPr>
            </w:pPr>
            <w:r>
              <w:rPr>
                <w:rFonts w:cs="Times New Roman"/>
                <w:b/>
                <w:color w:val="auto"/>
                <w:sz w:val="21"/>
                <w:szCs w:val="21"/>
              </w:rPr>
              <w:t>危险废物类别</w:t>
            </w:r>
            <w:r>
              <w:rPr>
                <w:rFonts w:hint="eastAsia" w:cs="Times New Roman"/>
                <w:b/>
                <w:color w:val="auto"/>
                <w:sz w:val="21"/>
                <w:szCs w:val="21"/>
                <w:lang w:val="en-US" w:eastAsia="zh-CN"/>
              </w:rPr>
              <w:t>/代码</w:t>
            </w:r>
          </w:p>
        </w:tc>
        <w:tc>
          <w:tcPr>
            <w:tcW w:w="426" w:type="pct"/>
            <w:vAlign w:val="center"/>
          </w:tcPr>
          <w:p w14:paraId="0C309BF3">
            <w:pPr>
              <w:topLinePunct/>
              <w:adjustRightInd w:val="0"/>
              <w:spacing w:line="240" w:lineRule="auto"/>
              <w:jc w:val="center"/>
              <w:rPr>
                <w:rFonts w:cs="Times New Roman"/>
                <w:b/>
                <w:color w:val="auto"/>
                <w:sz w:val="21"/>
                <w:szCs w:val="21"/>
              </w:rPr>
            </w:pPr>
            <w:r>
              <w:rPr>
                <w:rFonts w:cs="Times New Roman"/>
                <w:b/>
                <w:color w:val="auto"/>
                <w:sz w:val="21"/>
                <w:szCs w:val="21"/>
              </w:rPr>
              <w:t>位置</w:t>
            </w:r>
          </w:p>
        </w:tc>
        <w:tc>
          <w:tcPr>
            <w:tcW w:w="455" w:type="pct"/>
            <w:vAlign w:val="center"/>
          </w:tcPr>
          <w:p w14:paraId="6A7A86BF">
            <w:pPr>
              <w:topLinePunct/>
              <w:adjustRightInd w:val="0"/>
              <w:spacing w:line="240" w:lineRule="auto"/>
              <w:jc w:val="center"/>
              <w:rPr>
                <w:rFonts w:cs="Times New Roman"/>
                <w:b/>
                <w:color w:val="auto"/>
                <w:sz w:val="21"/>
                <w:szCs w:val="21"/>
              </w:rPr>
            </w:pPr>
            <w:r>
              <w:rPr>
                <w:rFonts w:cs="Times New Roman"/>
                <w:b/>
                <w:color w:val="auto"/>
                <w:sz w:val="21"/>
                <w:szCs w:val="21"/>
              </w:rPr>
              <w:t>占地</w:t>
            </w:r>
          </w:p>
          <w:p w14:paraId="66DAF11D">
            <w:pPr>
              <w:topLinePunct/>
              <w:adjustRightInd w:val="0"/>
              <w:spacing w:line="240" w:lineRule="auto"/>
              <w:jc w:val="center"/>
              <w:rPr>
                <w:rFonts w:cs="Times New Roman"/>
                <w:b/>
                <w:color w:val="auto"/>
                <w:sz w:val="21"/>
                <w:szCs w:val="21"/>
              </w:rPr>
            </w:pPr>
            <w:r>
              <w:rPr>
                <w:rFonts w:cs="Times New Roman"/>
                <w:b/>
                <w:color w:val="auto"/>
                <w:sz w:val="21"/>
                <w:szCs w:val="21"/>
              </w:rPr>
              <w:t>面积</w:t>
            </w:r>
          </w:p>
        </w:tc>
        <w:tc>
          <w:tcPr>
            <w:tcW w:w="412" w:type="pct"/>
            <w:vAlign w:val="center"/>
          </w:tcPr>
          <w:p w14:paraId="104D69F0">
            <w:pPr>
              <w:topLinePunct/>
              <w:adjustRightInd w:val="0"/>
              <w:spacing w:line="240" w:lineRule="auto"/>
              <w:jc w:val="center"/>
              <w:rPr>
                <w:rFonts w:cs="Times New Roman"/>
                <w:b/>
                <w:color w:val="auto"/>
                <w:sz w:val="21"/>
                <w:szCs w:val="21"/>
              </w:rPr>
            </w:pPr>
            <w:r>
              <w:rPr>
                <w:rFonts w:cs="Times New Roman"/>
                <w:b/>
                <w:color w:val="auto"/>
                <w:sz w:val="21"/>
                <w:szCs w:val="21"/>
              </w:rPr>
              <w:t>贮存</w:t>
            </w:r>
          </w:p>
          <w:p w14:paraId="353C19FC">
            <w:pPr>
              <w:topLinePunct/>
              <w:adjustRightInd w:val="0"/>
              <w:spacing w:line="240" w:lineRule="auto"/>
              <w:jc w:val="center"/>
              <w:rPr>
                <w:rFonts w:cs="Times New Roman"/>
                <w:b/>
                <w:color w:val="auto"/>
                <w:sz w:val="21"/>
                <w:szCs w:val="21"/>
              </w:rPr>
            </w:pPr>
            <w:r>
              <w:rPr>
                <w:rFonts w:cs="Times New Roman"/>
                <w:b/>
                <w:color w:val="auto"/>
                <w:sz w:val="21"/>
                <w:szCs w:val="21"/>
              </w:rPr>
              <w:t>方式</w:t>
            </w:r>
          </w:p>
        </w:tc>
        <w:tc>
          <w:tcPr>
            <w:tcW w:w="385" w:type="pct"/>
            <w:vAlign w:val="center"/>
          </w:tcPr>
          <w:p w14:paraId="1DAD61E2">
            <w:pPr>
              <w:topLinePunct/>
              <w:adjustRightInd w:val="0"/>
              <w:spacing w:line="240" w:lineRule="auto"/>
              <w:jc w:val="center"/>
              <w:rPr>
                <w:rFonts w:cs="Times New Roman"/>
                <w:b/>
                <w:color w:val="auto"/>
                <w:sz w:val="21"/>
                <w:szCs w:val="21"/>
              </w:rPr>
            </w:pPr>
            <w:r>
              <w:rPr>
                <w:rFonts w:cs="Times New Roman"/>
                <w:b/>
                <w:color w:val="auto"/>
                <w:sz w:val="21"/>
                <w:szCs w:val="21"/>
              </w:rPr>
              <w:t>贮存</w:t>
            </w:r>
          </w:p>
          <w:p w14:paraId="04EBEA0F">
            <w:pPr>
              <w:topLinePunct/>
              <w:adjustRightInd w:val="0"/>
              <w:spacing w:line="240" w:lineRule="auto"/>
              <w:jc w:val="center"/>
              <w:rPr>
                <w:rFonts w:cs="Times New Roman"/>
                <w:b/>
                <w:color w:val="auto"/>
                <w:sz w:val="21"/>
                <w:szCs w:val="21"/>
              </w:rPr>
            </w:pPr>
            <w:r>
              <w:rPr>
                <w:rFonts w:cs="Times New Roman"/>
                <w:b/>
                <w:color w:val="auto"/>
                <w:sz w:val="21"/>
                <w:szCs w:val="21"/>
              </w:rPr>
              <w:t>能力</w:t>
            </w:r>
          </w:p>
        </w:tc>
        <w:tc>
          <w:tcPr>
            <w:tcW w:w="419" w:type="pct"/>
            <w:vAlign w:val="center"/>
          </w:tcPr>
          <w:p w14:paraId="39F2C80C">
            <w:pPr>
              <w:topLinePunct/>
              <w:adjustRightInd w:val="0"/>
              <w:spacing w:line="240" w:lineRule="auto"/>
              <w:jc w:val="center"/>
              <w:rPr>
                <w:rFonts w:cs="Times New Roman"/>
                <w:b/>
                <w:color w:val="auto"/>
                <w:sz w:val="21"/>
                <w:szCs w:val="21"/>
              </w:rPr>
            </w:pPr>
            <w:r>
              <w:rPr>
                <w:rFonts w:cs="Times New Roman"/>
                <w:b/>
                <w:color w:val="auto"/>
                <w:sz w:val="21"/>
                <w:szCs w:val="21"/>
              </w:rPr>
              <w:t>贮存</w:t>
            </w:r>
          </w:p>
          <w:p w14:paraId="2E2D5C95">
            <w:pPr>
              <w:topLinePunct/>
              <w:adjustRightInd w:val="0"/>
              <w:spacing w:line="240" w:lineRule="auto"/>
              <w:jc w:val="center"/>
              <w:rPr>
                <w:rFonts w:cs="Times New Roman"/>
                <w:b/>
                <w:color w:val="auto"/>
                <w:sz w:val="21"/>
                <w:szCs w:val="21"/>
              </w:rPr>
            </w:pPr>
            <w:r>
              <w:rPr>
                <w:rFonts w:cs="Times New Roman"/>
                <w:b/>
                <w:color w:val="auto"/>
                <w:sz w:val="21"/>
                <w:szCs w:val="21"/>
              </w:rPr>
              <w:t>周期</w:t>
            </w:r>
          </w:p>
        </w:tc>
      </w:tr>
      <w:tr w14:paraId="77ADE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04" w:type="pct"/>
            <w:shd w:val="clear" w:color="auto" w:fill="auto"/>
            <w:vAlign w:val="center"/>
          </w:tcPr>
          <w:p w14:paraId="4CDD0CF9">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kern w:val="0"/>
                <w:sz w:val="21"/>
                <w:szCs w:val="21"/>
                <w:lang w:bidi="ar"/>
              </w:rPr>
              <w:t>1</w:t>
            </w:r>
          </w:p>
        </w:tc>
        <w:tc>
          <w:tcPr>
            <w:tcW w:w="460" w:type="pct"/>
            <w:vMerge w:val="restart"/>
            <w:vAlign w:val="center"/>
          </w:tcPr>
          <w:p w14:paraId="528A9BFC">
            <w:pPr>
              <w:spacing w:line="240" w:lineRule="auto"/>
              <w:jc w:val="center"/>
              <w:rPr>
                <w:rFonts w:cs="Times New Roman"/>
                <w:bCs/>
                <w:color w:val="auto"/>
                <w:sz w:val="21"/>
                <w:szCs w:val="21"/>
              </w:rPr>
            </w:pPr>
            <w:r>
              <w:rPr>
                <w:rFonts w:cs="Times New Roman"/>
                <w:bCs/>
                <w:color w:val="auto"/>
                <w:sz w:val="21"/>
                <w:szCs w:val="21"/>
              </w:rPr>
              <w:t>危废暂存间</w:t>
            </w:r>
          </w:p>
        </w:tc>
        <w:tc>
          <w:tcPr>
            <w:tcW w:w="800" w:type="pct"/>
            <w:shd w:val="clear" w:color="auto" w:fill="auto"/>
            <w:vAlign w:val="center"/>
          </w:tcPr>
          <w:p w14:paraId="2D14D654">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化学品包装桶</w:t>
            </w:r>
            <w:r>
              <w:rPr>
                <w:rFonts w:hint="eastAsia"/>
                <w:sz w:val="21"/>
                <w:szCs w:val="21"/>
                <w:lang w:eastAsia="zh-CN"/>
              </w:rPr>
              <w:t>（</w:t>
            </w:r>
            <w:r>
              <w:rPr>
                <w:rFonts w:hint="eastAsia"/>
                <w:sz w:val="21"/>
                <w:szCs w:val="21"/>
                <w:lang w:val="en-US" w:eastAsia="zh-CN"/>
              </w:rPr>
              <w:t>酸、碱</w:t>
            </w:r>
            <w:r>
              <w:rPr>
                <w:rFonts w:hint="eastAsia"/>
                <w:sz w:val="21"/>
                <w:szCs w:val="21"/>
                <w:lang w:eastAsia="zh-CN"/>
              </w:rPr>
              <w:t>）</w:t>
            </w:r>
          </w:p>
        </w:tc>
        <w:tc>
          <w:tcPr>
            <w:tcW w:w="1334" w:type="pct"/>
            <w:shd w:val="clear" w:color="auto" w:fill="auto"/>
            <w:vAlign w:val="center"/>
          </w:tcPr>
          <w:p w14:paraId="4533B576">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restart"/>
            <w:vAlign w:val="center"/>
          </w:tcPr>
          <w:p w14:paraId="569661B0">
            <w:pPr>
              <w:spacing w:line="240" w:lineRule="auto"/>
              <w:jc w:val="center"/>
              <w:rPr>
                <w:rFonts w:hint="default" w:eastAsia="宋体" w:cs="Times New Roman"/>
                <w:bCs/>
                <w:color w:val="auto"/>
                <w:sz w:val="21"/>
                <w:szCs w:val="21"/>
                <w:lang w:val="en-US" w:eastAsia="zh-CN"/>
              </w:rPr>
            </w:pPr>
            <w:r>
              <w:rPr>
                <w:rFonts w:hint="default" w:eastAsia="宋体" w:cs="Times New Roman"/>
                <w:bCs/>
                <w:color w:val="auto"/>
                <w:sz w:val="21"/>
                <w:szCs w:val="21"/>
                <w:lang w:val="en-US" w:eastAsia="zh-CN"/>
              </w:rPr>
              <w:t>厂区中部</w:t>
            </w:r>
          </w:p>
        </w:tc>
        <w:tc>
          <w:tcPr>
            <w:tcW w:w="455" w:type="pct"/>
            <w:vMerge w:val="restart"/>
            <w:vAlign w:val="center"/>
          </w:tcPr>
          <w:p w14:paraId="124DE6E1">
            <w:pPr>
              <w:spacing w:line="240" w:lineRule="auto"/>
              <w:jc w:val="center"/>
              <w:rPr>
                <w:rFonts w:cs="Times New Roman"/>
                <w:bCs/>
                <w:color w:val="auto"/>
                <w:sz w:val="21"/>
                <w:szCs w:val="21"/>
              </w:rPr>
            </w:pPr>
            <w:r>
              <w:rPr>
                <w:rFonts w:hint="eastAsia" w:cs="Times New Roman"/>
                <w:bCs/>
                <w:color w:val="auto"/>
                <w:sz w:val="21"/>
                <w:szCs w:val="21"/>
                <w:lang w:val="en-US" w:eastAsia="zh-CN"/>
              </w:rPr>
              <w:t>297</w:t>
            </w:r>
            <w:r>
              <w:rPr>
                <w:rFonts w:cs="Times New Roman"/>
                <w:bCs/>
                <w:color w:val="auto"/>
                <w:sz w:val="21"/>
                <w:szCs w:val="21"/>
              </w:rPr>
              <w:t>m</w:t>
            </w:r>
            <w:r>
              <w:rPr>
                <w:rFonts w:cs="Times New Roman"/>
                <w:bCs/>
                <w:color w:val="auto"/>
                <w:sz w:val="21"/>
                <w:szCs w:val="21"/>
                <w:vertAlign w:val="superscript"/>
              </w:rPr>
              <w:t>2</w:t>
            </w:r>
          </w:p>
        </w:tc>
        <w:tc>
          <w:tcPr>
            <w:tcW w:w="412" w:type="pct"/>
            <w:vMerge w:val="restart"/>
            <w:vAlign w:val="center"/>
          </w:tcPr>
          <w:p w14:paraId="24A1D077">
            <w:pPr>
              <w:spacing w:line="240" w:lineRule="auto"/>
              <w:jc w:val="center"/>
              <w:rPr>
                <w:rFonts w:hint="default" w:eastAsia="宋体" w:cs="Times New Roman"/>
                <w:bCs/>
                <w:color w:val="auto"/>
                <w:sz w:val="21"/>
                <w:szCs w:val="21"/>
                <w:lang w:val="en-US" w:eastAsia="zh-CN"/>
              </w:rPr>
            </w:pPr>
            <w:r>
              <w:rPr>
                <w:rFonts w:cs="Times New Roman"/>
                <w:bCs/>
                <w:color w:val="auto"/>
                <w:sz w:val="21"/>
                <w:szCs w:val="21"/>
              </w:rPr>
              <w:t>密闭容器内</w:t>
            </w:r>
            <w:r>
              <w:rPr>
                <w:rFonts w:hint="eastAsia" w:cs="Times New Roman"/>
                <w:bCs/>
                <w:color w:val="auto"/>
                <w:sz w:val="21"/>
                <w:szCs w:val="21"/>
                <w:lang w:eastAsia="zh-CN"/>
              </w:rPr>
              <w:t>、</w:t>
            </w:r>
            <w:r>
              <w:rPr>
                <w:rFonts w:hint="eastAsia" w:cs="Times New Roman"/>
                <w:bCs/>
                <w:color w:val="auto"/>
                <w:sz w:val="21"/>
                <w:szCs w:val="21"/>
                <w:lang w:val="en-US" w:eastAsia="zh-CN"/>
              </w:rPr>
              <w:t>托盘中</w:t>
            </w:r>
          </w:p>
        </w:tc>
        <w:tc>
          <w:tcPr>
            <w:tcW w:w="385" w:type="pct"/>
            <w:vMerge w:val="restart"/>
            <w:vAlign w:val="center"/>
          </w:tcPr>
          <w:p w14:paraId="53C190BC">
            <w:pPr>
              <w:spacing w:line="240" w:lineRule="auto"/>
              <w:jc w:val="center"/>
              <w:rPr>
                <w:rFonts w:cs="Times New Roman"/>
                <w:bCs/>
                <w:color w:val="auto"/>
                <w:sz w:val="21"/>
                <w:szCs w:val="21"/>
              </w:rPr>
            </w:pPr>
            <w:r>
              <w:rPr>
                <w:rFonts w:hint="eastAsia" w:cs="Times New Roman"/>
                <w:bCs/>
                <w:color w:val="auto"/>
                <w:sz w:val="21"/>
                <w:szCs w:val="21"/>
                <w:lang w:val="en-US" w:eastAsia="zh-CN"/>
              </w:rPr>
              <w:t>200</w:t>
            </w:r>
            <w:r>
              <w:rPr>
                <w:rFonts w:cs="Times New Roman"/>
                <w:bCs/>
                <w:color w:val="auto"/>
                <w:sz w:val="21"/>
                <w:szCs w:val="21"/>
              </w:rPr>
              <w:t>t</w:t>
            </w:r>
          </w:p>
        </w:tc>
        <w:tc>
          <w:tcPr>
            <w:tcW w:w="419" w:type="pct"/>
            <w:vMerge w:val="restart"/>
            <w:vAlign w:val="center"/>
          </w:tcPr>
          <w:p w14:paraId="73812F49">
            <w:pPr>
              <w:spacing w:line="240" w:lineRule="auto"/>
              <w:jc w:val="center"/>
              <w:rPr>
                <w:rFonts w:cs="Times New Roman"/>
                <w:bCs/>
                <w:color w:val="auto"/>
                <w:sz w:val="21"/>
                <w:szCs w:val="21"/>
              </w:rPr>
            </w:pPr>
            <w:r>
              <w:rPr>
                <w:rFonts w:hint="eastAsia" w:cs="Times New Roman"/>
                <w:bCs/>
                <w:color w:val="auto"/>
                <w:sz w:val="21"/>
                <w:szCs w:val="21"/>
                <w:lang w:val="en-US" w:eastAsia="zh-CN"/>
              </w:rPr>
              <w:t>3</w:t>
            </w:r>
            <w:r>
              <w:rPr>
                <w:rFonts w:cs="Times New Roman"/>
                <w:bCs/>
                <w:color w:val="auto"/>
                <w:sz w:val="21"/>
                <w:szCs w:val="21"/>
              </w:rPr>
              <w:t>个月</w:t>
            </w:r>
          </w:p>
        </w:tc>
      </w:tr>
      <w:tr w14:paraId="326C6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65FE83FC">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2</w:t>
            </w:r>
          </w:p>
        </w:tc>
        <w:tc>
          <w:tcPr>
            <w:tcW w:w="460" w:type="pct"/>
            <w:vMerge w:val="continue"/>
            <w:vAlign w:val="center"/>
          </w:tcPr>
          <w:p w14:paraId="2F8F8C64">
            <w:pPr>
              <w:spacing w:line="240" w:lineRule="auto"/>
              <w:jc w:val="center"/>
              <w:rPr>
                <w:rFonts w:cs="Times New Roman"/>
                <w:bCs/>
                <w:color w:val="auto"/>
                <w:sz w:val="21"/>
                <w:szCs w:val="21"/>
              </w:rPr>
            </w:pPr>
          </w:p>
        </w:tc>
        <w:tc>
          <w:tcPr>
            <w:tcW w:w="0" w:type="auto"/>
            <w:shd w:val="clear" w:color="auto" w:fill="auto"/>
            <w:vAlign w:val="center"/>
          </w:tcPr>
          <w:p w14:paraId="3D1E4B92">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废油漆桶</w:t>
            </w:r>
          </w:p>
        </w:tc>
        <w:tc>
          <w:tcPr>
            <w:tcW w:w="0" w:type="auto"/>
            <w:shd w:val="clear" w:color="auto" w:fill="auto"/>
            <w:vAlign w:val="center"/>
          </w:tcPr>
          <w:p w14:paraId="12392962">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743490BB">
            <w:pPr>
              <w:spacing w:line="240" w:lineRule="auto"/>
              <w:jc w:val="center"/>
              <w:rPr>
                <w:rFonts w:hint="default" w:eastAsia="宋体" w:cs="Times New Roman"/>
                <w:bCs/>
                <w:color w:val="auto"/>
                <w:sz w:val="21"/>
                <w:szCs w:val="21"/>
                <w:lang w:val="en-US" w:eastAsia="zh-CN"/>
              </w:rPr>
            </w:pPr>
          </w:p>
        </w:tc>
        <w:tc>
          <w:tcPr>
            <w:tcW w:w="455" w:type="pct"/>
            <w:vMerge w:val="continue"/>
          </w:tcPr>
          <w:p w14:paraId="4D2E0915">
            <w:pPr>
              <w:spacing w:line="240" w:lineRule="auto"/>
              <w:jc w:val="center"/>
              <w:rPr>
                <w:rFonts w:cs="Times New Roman"/>
                <w:bCs/>
                <w:color w:val="auto"/>
                <w:sz w:val="21"/>
                <w:szCs w:val="21"/>
              </w:rPr>
            </w:pPr>
          </w:p>
        </w:tc>
        <w:tc>
          <w:tcPr>
            <w:tcW w:w="412" w:type="pct"/>
            <w:vMerge w:val="continue"/>
          </w:tcPr>
          <w:p w14:paraId="5480B6B2">
            <w:pPr>
              <w:spacing w:line="240" w:lineRule="auto"/>
              <w:jc w:val="center"/>
              <w:rPr>
                <w:rFonts w:hint="default" w:eastAsia="宋体" w:cs="Times New Roman"/>
                <w:bCs/>
                <w:color w:val="auto"/>
                <w:sz w:val="21"/>
                <w:szCs w:val="21"/>
                <w:lang w:val="en-US" w:eastAsia="zh-CN"/>
              </w:rPr>
            </w:pPr>
          </w:p>
        </w:tc>
        <w:tc>
          <w:tcPr>
            <w:tcW w:w="385" w:type="pct"/>
            <w:vMerge w:val="continue"/>
          </w:tcPr>
          <w:p w14:paraId="453AF349">
            <w:pPr>
              <w:spacing w:line="240" w:lineRule="auto"/>
              <w:jc w:val="center"/>
              <w:rPr>
                <w:rFonts w:cs="Times New Roman"/>
                <w:bCs/>
                <w:color w:val="auto"/>
                <w:sz w:val="21"/>
                <w:szCs w:val="21"/>
              </w:rPr>
            </w:pPr>
          </w:p>
        </w:tc>
        <w:tc>
          <w:tcPr>
            <w:tcW w:w="419" w:type="pct"/>
            <w:vMerge w:val="continue"/>
          </w:tcPr>
          <w:p w14:paraId="7CBA183F">
            <w:pPr>
              <w:spacing w:line="240" w:lineRule="auto"/>
              <w:jc w:val="center"/>
              <w:rPr>
                <w:rFonts w:cs="Times New Roman"/>
                <w:bCs/>
                <w:color w:val="auto"/>
                <w:sz w:val="21"/>
                <w:szCs w:val="21"/>
              </w:rPr>
            </w:pPr>
          </w:p>
        </w:tc>
      </w:tr>
      <w:tr w14:paraId="459DE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6E6EFDE1">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3</w:t>
            </w:r>
          </w:p>
        </w:tc>
        <w:tc>
          <w:tcPr>
            <w:tcW w:w="460" w:type="pct"/>
            <w:vMerge w:val="continue"/>
            <w:vAlign w:val="center"/>
          </w:tcPr>
          <w:p w14:paraId="2DE3D140">
            <w:pPr>
              <w:spacing w:line="240" w:lineRule="auto"/>
              <w:jc w:val="center"/>
              <w:rPr>
                <w:rFonts w:cs="Times New Roman"/>
                <w:bCs/>
                <w:color w:val="auto"/>
                <w:sz w:val="21"/>
                <w:szCs w:val="21"/>
              </w:rPr>
            </w:pPr>
          </w:p>
        </w:tc>
        <w:tc>
          <w:tcPr>
            <w:tcW w:w="0" w:type="auto"/>
            <w:shd w:val="clear" w:color="auto" w:fill="auto"/>
            <w:vAlign w:val="center"/>
          </w:tcPr>
          <w:p w14:paraId="44F36236">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废油桶</w:t>
            </w:r>
          </w:p>
        </w:tc>
        <w:tc>
          <w:tcPr>
            <w:tcW w:w="0" w:type="auto"/>
            <w:shd w:val="clear" w:color="auto" w:fill="auto"/>
            <w:vAlign w:val="center"/>
          </w:tcPr>
          <w:p w14:paraId="328E020B">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HW08/900-249-08</w:t>
            </w:r>
          </w:p>
        </w:tc>
        <w:tc>
          <w:tcPr>
            <w:tcW w:w="426" w:type="pct"/>
            <w:vMerge w:val="continue"/>
            <w:vAlign w:val="center"/>
          </w:tcPr>
          <w:p w14:paraId="64120850">
            <w:pPr>
              <w:spacing w:line="240" w:lineRule="auto"/>
              <w:jc w:val="center"/>
              <w:rPr>
                <w:rFonts w:hint="default" w:eastAsia="宋体" w:cs="Times New Roman"/>
                <w:bCs/>
                <w:color w:val="auto"/>
                <w:sz w:val="21"/>
                <w:szCs w:val="21"/>
                <w:lang w:val="en-US" w:eastAsia="zh-CN"/>
              </w:rPr>
            </w:pPr>
          </w:p>
        </w:tc>
        <w:tc>
          <w:tcPr>
            <w:tcW w:w="455" w:type="pct"/>
            <w:vMerge w:val="continue"/>
          </w:tcPr>
          <w:p w14:paraId="4EA08410">
            <w:pPr>
              <w:spacing w:line="240" w:lineRule="auto"/>
              <w:jc w:val="center"/>
              <w:rPr>
                <w:rFonts w:cs="Times New Roman"/>
                <w:bCs/>
                <w:color w:val="auto"/>
                <w:sz w:val="21"/>
                <w:szCs w:val="21"/>
              </w:rPr>
            </w:pPr>
          </w:p>
        </w:tc>
        <w:tc>
          <w:tcPr>
            <w:tcW w:w="412" w:type="pct"/>
            <w:vMerge w:val="continue"/>
          </w:tcPr>
          <w:p w14:paraId="23121603">
            <w:pPr>
              <w:spacing w:line="240" w:lineRule="auto"/>
              <w:jc w:val="center"/>
              <w:rPr>
                <w:rFonts w:hint="default" w:eastAsia="宋体" w:cs="Times New Roman"/>
                <w:bCs/>
                <w:color w:val="auto"/>
                <w:sz w:val="21"/>
                <w:szCs w:val="21"/>
                <w:lang w:val="en-US" w:eastAsia="zh-CN"/>
              </w:rPr>
            </w:pPr>
          </w:p>
        </w:tc>
        <w:tc>
          <w:tcPr>
            <w:tcW w:w="385" w:type="pct"/>
            <w:vMerge w:val="continue"/>
          </w:tcPr>
          <w:p w14:paraId="299E60A4">
            <w:pPr>
              <w:spacing w:line="240" w:lineRule="auto"/>
              <w:jc w:val="center"/>
              <w:rPr>
                <w:rFonts w:cs="Times New Roman"/>
                <w:bCs/>
                <w:color w:val="auto"/>
                <w:sz w:val="21"/>
                <w:szCs w:val="21"/>
              </w:rPr>
            </w:pPr>
          </w:p>
        </w:tc>
        <w:tc>
          <w:tcPr>
            <w:tcW w:w="419" w:type="pct"/>
            <w:vMerge w:val="continue"/>
          </w:tcPr>
          <w:p w14:paraId="3084A43E">
            <w:pPr>
              <w:spacing w:line="240" w:lineRule="auto"/>
              <w:jc w:val="center"/>
              <w:rPr>
                <w:rFonts w:cs="Times New Roman"/>
                <w:bCs/>
                <w:color w:val="auto"/>
                <w:sz w:val="21"/>
                <w:szCs w:val="21"/>
              </w:rPr>
            </w:pPr>
          </w:p>
        </w:tc>
      </w:tr>
      <w:tr w14:paraId="4B605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0" w:type="auto"/>
            <w:shd w:val="clear" w:color="auto" w:fill="auto"/>
            <w:vAlign w:val="center"/>
          </w:tcPr>
          <w:p w14:paraId="532FD90E">
            <w:pPr>
              <w:widowControl/>
              <w:spacing w:line="240" w:lineRule="auto"/>
              <w:jc w:val="center"/>
              <w:textAlignment w:val="center"/>
              <w:rPr>
                <w:rFonts w:hint="default"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4</w:t>
            </w:r>
          </w:p>
        </w:tc>
        <w:tc>
          <w:tcPr>
            <w:tcW w:w="460" w:type="pct"/>
            <w:vMerge w:val="continue"/>
            <w:vAlign w:val="center"/>
          </w:tcPr>
          <w:p w14:paraId="60F08AC5">
            <w:pPr>
              <w:spacing w:line="240" w:lineRule="auto"/>
              <w:jc w:val="center"/>
              <w:rPr>
                <w:rFonts w:cs="Times New Roman"/>
                <w:bCs/>
                <w:color w:val="auto"/>
                <w:sz w:val="21"/>
                <w:szCs w:val="21"/>
              </w:rPr>
            </w:pPr>
          </w:p>
        </w:tc>
        <w:tc>
          <w:tcPr>
            <w:tcW w:w="0" w:type="auto"/>
            <w:shd w:val="clear" w:color="auto" w:fill="auto"/>
            <w:vAlign w:val="center"/>
          </w:tcPr>
          <w:p w14:paraId="0A3A7F14">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洗涤塔填料</w:t>
            </w:r>
          </w:p>
        </w:tc>
        <w:tc>
          <w:tcPr>
            <w:tcW w:w="0" w:type="auto"/>
            <w:shd w:val="clear" w:color="auto" w:fill="auto"/>
            <w:vAlign w:val="center"/>
          </w:tcPr>
          <w:p w14:paraId="1EF7987D">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179A3566">
            <w:pPr>
              <w:spacing w:line="240" w:lineRule="auto"/>
              <w:jc w:val="center"/>
              <w:rPr>
                <w:rFonts w:hint="default" w:eastAsia="宋体" w:cs="Times New Roman"/>
                <w:bCs/>
                <w:color w:val="auto"/>
                <w:sz w:val="21"/>
                <w:szCs w:val="21"/>
                <w:lang w:val="en-US" w:eastAsia="zh-CN"/>
              </w:rPr>
            </w:pPr>
          </w:p>
        </w:tc>
        <w:tc>
          <w:tcPr>
            <w:tcW w:w="455" w:type="pct"/>
            <w:vMerge w:val="continue"/>
          </w:tcPr>
          <w:p w14:paraId="4733A560">
            <w:pPr>
              <w:spacing w:line="240" w:lineRule="auto"/>
              <w:jc w:val="center"/>
              <w:rPr>
                <w:rFonts w:cs="Times New Roman"/>
                <w:bCs/>
                <w:color w:val="auto"/>
                <w:sz w:val="21"/>
                <w:szCs w:val="21"/>
              </w:rPr>
            </w:pPr>
          </w:p>
        </w:tc>
        <w:tc>
          <w:tcPr>
            <w:tcW w:w="412" w:type="pct"/>
            <w:vMerge w:val="continue"/>
          </w:tcPr>
          <w:p w14:paraId="3272F383">
            <w:pPr>
              <w:spacing w:line="240" w:lineRule="auto"/>
              <w:jc w:val="center"/>
              <w:rPr>
                <w:rFonts w:hint="default" w:eastAsia="宋体" w:cs="Times New Roman"/>
                <w:bCs/>
                <w:color w:val="auto"/>
                <w:sz w:val="21"/>
                <w:szCs w:val="21"/>
                <w:lang w:val="en-US" w:eastAsia="zh-CN"/>
              </w:rPr>
            </w:pPr>
          </w:p>
        </w:tc>
        <w:tc>
          <w:tcPr>
            <w:tcW w:w="385" w:type="pct"/>
            <w:vMerge w:val="continue"/>
          </w:tcPr>
          <w:p w14:paraId="2B4A5764">
            <w:pPr>
              <w:spacing w:line="240" w:lineRule="auto"/>
              <w:jc w:val="center"/>
              <w:rPr>
                <w:rFonts w:cs="Times New Roman"/>
                <w:bCs/>
                <w:color w:val="auto"/>
                <w:sz w:val="21"/>
                <w:szCs w:val="21"/>
              </w:rPr>
            </w:pPr>
          </w:p>
        </w:tc>
        <w:tc>
          <w:tcPr>
            <w:tcW w:w="419" w:type="pct"/>
            <w:vMerge w:val="continue"/>
          </w:tcPr>
          <w:p w14:paraId="2C1A635E">
            <w:pPr>
              <w:spacing w:line="240" w:lineRule="auto"/>
              <w:jc w:val="center"/>
              <w:rPr>
                <w:rFonts w:cs="Times New Roman"/>
                <w:bCs/>
                <w:color w:val="auto"/>
                <w:sz w:val="21"/>
                <w:szCs w:val="21"/>
              </w:rPr>
            </w:pPr>
          </w:p>
        </w:tc>
      </w:tr>
      <w:tr w14:paraId="6057F0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41D0C2F2">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5</w:t>
            </w:r>
          </w:p>
        </w:tc>
        <w:tc>
          <w:tcPr>
            <w:tcW w:w="460" w:type="pct"/>
            <w:vMerge w:val="continue"/>
            <w:vAlign w:val="center"/>
          </w:tcPr>
          <w:p w14:paraId="625BD3A5">
            <w:pPr>
              <w:spacing w:line="240" w:lineRule="auto"/>
              <w:jc w:val="center"/>
              <w:rPr>
                <w:rFonts w:cs="Times New Roman"/>
                <w:bCs/>
                <w:color w:val="auto"/>
                <w:sz w:val="21"/>
                <w:szCs w:val="21"/>
              </w:rPr>
            </w:pPr>
          </w:p>
        </w:tc>
        <w:tc>
          <w:tcPr>
            <w:tcW w:w="0" w:type="auto"/>
            <w:shd w:val="clear" w:color="auto" w:fill="auto"/>
            <w:vAlign w:val="center"/>
          </w:tcPr>
          <w:p w14:paraId="22EA1F88">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废活性炭</w:t>
            </w:r>
          </w:p>
        </w:tc>
        <w:tc>
          <w:tcPr>
            <w:tcW w:w="0" w:type="auto"/>
            <w:shd w:val="clear" w:color="auto" w:fill="auto"/>
            <w:vAlign w:val="center"/>
          </w:tcPr>
          <w:p w14:paraId="061D0DE3">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HW49/900-039-49</w:t>
            </w:r>
          </w:p>
        </w:tc>
        <w:tc>
          <w:tcPr>
            <w:tcW w:w="426" w:type="pct"/>
            <w:vMerge w:val="continue"/>
            <w:vAlign w:val="center"/>
          </w:tcPr>
          <w:p w14:paraId="21018F93">
            <w:pPr>
              <w:spacing w:line="240" w:lineRule="auto"/>
              <w:jc w:val="center"/>
              <w:rPr>
                <w:rFonts w:hint="default" w:eastAsia="宋体" w:cs="Times New Roman"/>
                <w:bCs/>
                <w:color w:val="auto"/>
                <w:sz w:val="21"/>
                <w:szCs w:val="21"/>
                <w:lang w:val="en-US" w:eastAsia="zh-CN"/>
              </w:rPr>
            </w:pPr>
          </w:p>
        </w:tc>
        <w:tc>
          <w:tcPr>
            <w:tcW w:w="455" w:type="pct"/>
            <w:vMerge w:val="continue"/>
          </w:tcPr>
          <w:p w14:paraId="20DDD986">
            <w:pPr>
              <w:spacing w:line="240" w:lineRule="auto"/>
              <w:jc w:val="center"/>
              <w:rPr>
                <w:rFonts w:cs="Times New Roman"/>
                <w:bCs/>
                <w:color w:val="auto"/>
                <w:sz w:val="21"/>
                <w:szCs w:val="21"/>
              </w:rPr>
            </w:pPr>
          </w:p>
        </w:tc>
        <w:tc>
          <w:tcPr>
            <w:tcW w:w="412" w:type="pct"/>
            <w:vMerge w:val="continue"/>
          </w:tcPr>
          <w:p w14:paraId="38347E8D">
            <w:pPr>
              <w:spacing w:line="240" w:lineRule="auto"/>
              <w:jc w:val="center"/>
              <w:rPr>
                <w:rFonts w:hint="default" w:eastAsia="宋体" w:cs="Times New Roman"/>
                <w:bCs/>
                <w:color w:val="auto"/>
                <w:sz w:val="21"/>
                <w:szCs w:val="21"/>
                <w:lang w:val="en-US" w:eastAsia="zh-CN"/>
              </w:rPr>
            </w:pPr>
          </w:p>
        </w:tc>
        <w:tc>
          <w:tcPr>
            <w:tcW w:w="385" w:type="pct"/>
            <w:vMerge w:val="continue"/>
          </w:tcPr>
          <w:p w14:paraId="01A61D45">
            <w:pPr>
              <w:spacing w:line="240" w:lineRule="auto"/>
              <w:jc w:val="center"/>
              <w:rPr>
                <w:rFonts w:cs="Times New Roman"/>
                <w:bCs/>
                <w:color w:val="auto"/>
                <w:sz w:val="21"/>
                <w:szCs w:val="21"/>
              </w:rPr>
            </w:pPr>
          </w:p>
        </w:tc>
        <w:tc>
          <w:tcPr>
            <w:tcW w:w="419" w:type="pct"/>
            <w:vMerge w:val="continue"/>
          </w:tcPr>
          <w:p w14:paraId="0C3A178E">
            <w:pPr>
              <w:spacing w:line="240" w:lineRule="auto"/>
              <w:jc w:val="center"/>
              <w:rPr>
                <w:rFonts w:cs="Times New Roman"/>
                <w:bCs/>
                <w:color w:val="auto"/>
                <w:sz w:val="21"/>
                <w:szCs w:val="21"/>
              </w:rPr>
            </w:pPr>
          </w:p>
        </w:tc>
      </w:tr>
      <w:tr w14:paraId="10F2B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7A1F445E">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6</w:t>
            </w:r>
          </w:p>
        </w:tc>
        <w:tc>
          <w:tcPr>
            <w:tcW w:w="460" w:type="pct"/>
            <w:vMerge w:val="continue"/>
            <w:vAlign w:val="center"/>
          </w:tcPr>
          <w:p w14:paraId="3DA1E793">
            <w:pPr>
              <w:spacing w:line="240" w:lineRule="auto"/>
              <w:jc w:val="center"/>
              <w:rPr>
                <w:rFonts w:cs="Times New Roman"/>
                <w:bCs/>
                <w:color w:val="auto"/>
                <w:sz w:val="21"/>
                <w:szCs w:val="21"/>
              </w:rPr>
            </w:pPr>
          </w:p>
        </w:tc>
        <w:tc>
          <w:tcPr>
            <w:tcW w:w="0" w:type="auto"/>
            <w:shd w:val="clear" w:color="auto" w:fill="auto"/>
            <w:vAlign w:val="center"/>
          </w:tcPr>
          <w:p w14:paraId="0A2E6453">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含油抹布手套</w:t>
            </w:r>
          </w:p>
        </w:tc>
        <w:tc>
          <w:tcPr>
            <w:tcW w:w="0" w:type="auto"/>
            <w:shd w:val="clear" w:color="auto" w:fill="auto"/>
            <w:vAlign w:val="center"/>
          </w:tcPr>
          <w:p w14:paraId="3DB8D177">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HW49/900-047-49</w:t>
            </w:r>
          </w:p>
        </w:tc>
        <w:tc>
          <w:tcPr>
            <w:tcW w:w="426" w:type="pct"/>
            <w:vMerge w:val="continue"/>
            <w:vAlign w:val="center"/>
          </w:tcPr>
          <w:p w14:paraId="016D1E29">
            <w:pPr>
              <w:spacing w:line="240" w:lineRule="auto"/>
              <w:jc w:val="center"/>
              <w:rPr>
                <w:rFonts w:hint="default" w:eastAsia="宋体" w:cs="Times New Roman"/>
                <w:bCs/>
                <w:color w:val="auto"/>
                <w:sz w:val="21"/>
                <w:szCs w:val="21"/>
                <w:lang w:val="en-US" w:eastAsia="zh-CN"/>
              </w:rPr>
            </w:pPr>
          </w:p>
        </w:tc>
        <w:tc>
          <w:tcPr>
            <w:tcW w:w="455" w:type="pct"/>
            <w:vMerge w:val="continue"/>
          </w:tcPr>
          <w:p w14:paraId="1D39C6BC">
            <w:pPr>
              <w:spacing w:line="240" w:lineRule="auto"/>
              <w:jc w:val="center"/>
              <w:rPr>
                <w:rFonts w:cs="Times New Roman"/>
                <w:bCs/>
                <w:color w:val="auto"/>
                <w:sz w:val="21"/>
                <w:szCs w:val="21"/>
              </w:rPr>
            </w:pPr>
          </w:p>
        </w:tc>
        <w:tc>
          <w:tcPr>
            <w:tcW w:w="412" w:type="pct"/>
            <w:vMerge w:val="continue"/>
          </w:tcPr>
          <w:p w14:paraId="6B4C4AF0">
            <w:pPr>
              <w:spacing w:line="240" w:lineRule="auto"/>
              <w:jc w:val="center"/>
              <w:rPr>
                <w:rFonts w:hint="default" w:eastAsia="宋体" w:cs="Times New Roman"/>
                <w:bCs/>
                <w:color w:val="auto"/>
                <w:sz w:val="21"/>
                <w:szCs w:val="21"/>
                <w:lang w:val="en-US" w:eastAsia="zh-CN"/>
              </w:rPr>
            </w:pPr>
          </w:p>
        </w:tc>
        <w:tc>
          <w:tcPr>
            <w:tcW w:w="385" w:type="pct"/>
            <w:vMerge w:val="continue"/>
          </w:tcPr>
          <w:p w14:paraId="72603E2A">
            <w:pPr>
              <w:spacing w:line="240" w:lineRule="auto"/>
              <w:jc w:val="center"/>
              <w:rPr>
                <w:rFonts w:cs="Times New Roman"/>
                <w:bCs/>
                <w:color w:val="auto"/>
                <w:sz w:val="21"/>
                <w:szCs w:val="21"/>
              </w:rPr>
            </w:pPr>
          </w:p>
        </w:tc>
        <w:tc>
          <w:tcPr>
            <w:tcW w:w="419" w:type="pct"/>
            <w:vMerge w:val="continue"/>
          </w:tcPr>
          <w:p w14:paraId="2E0426A6">
            <w:pPr>
              <w:spacing w:line="240" w:lineRule="auto"/>
              <w:jc w:val="center"/>
              <w:rPr>
                <w:rFonts w:cs="Times New Roman"/>
                <w:bCs/>
                <w:color w:val="auto"/>
                <w:sz w:val="21"/>
                <w:szCs w:val="21"/>
              </w:rPr>
            </w:pPr>
          </w:p>
        </w:tc>
      </w:tr>
      <w:tr w14:paraId="6A7D2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vAlign w:val="center"/>
          </w:tcPr>
          <w:p w14:paraId="3C7901AE">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7</w:t>
            </w:r>
          </w:p>
        </w:tc>
        <w:tc>
          <w:tcPr>
            <w:tcW w:w="460" w:type="pct"/>
            <w:vMerge w:val="continue"/>
            <w:vAlign w:val="center"/>
          </w:tcPr>
          <w:p w14:paraId="40D41994">
            <w:pPr>
              <w:spacing w:line="240" w:lineRule="auto"/>
              <w:jc w:val="center"/>
              <w:rPr>
                <w:rFonts w:cs="Times New Roman"/>
                <w:bCs/>
                <w:color w:val="auto"/>
                <w:sz w:val="21"/>
                <w:szCs w:val="21"/>
              </w:rPr>
            </w:pPr>
          </w:p>
        </w:tc>
        <w:tc>
          <w:tcPr>
            <w:tcW w:w="0" w:type="auto"/>
            <w:shd w:val="clear" w:color="auto" w:fill="auto"/>
            <w:vAlign w:val="center"/>
          </w:tcPr>
          <w:p w14:paraId="21C791D4">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碱结晶</w:t>
            </w:r>
          </w:p>
        </w:tc>
        <w:tc>
          <w:tcPr>
            <w:tcW w:w="0" w:type="auto"/>
            <w:shd w:val="clear" w:color="auto" w:fill="auto"/>
            <w:vAlign w:val="center"/>
          </w:tcPr>
          <w:p w14:paraId="117C1F74">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HW35/900-399-35</w:t>
            </w:r>
          </w:p>
        </w:tc>
        <w:tc>
          <w:tcPr>
            <w:tcW w:w="426" w:type="pct"/>
            <w:vMerge w:val="continue"/>
            <w:vAlign w:val="center"/>
          </w:tcPr>
          <w:p w14:paraId="0385B453">
            <w:pPr>
              <w:spacing w:line="240" w:lineRule="auto"/>
              <w:jc w:val="center"/>
              <w:rPr>
                <w:rFonts w:hint="default" w:eastAsia="宋体" w:cs="Times New Roman"/>
                <w:bCs/>
                <w:color w:val="auto"/>
                <w:sz w:val="21"/>
                <w:szCs w:val="21"/>
                <w:lang w:val="en-US" w:eastAsia="zh-CN"/>
              </w:rPr>
            </w:pPr>
          </w:p>
        </w:tc>
        <w:tc>
          <w:tcPr>
            <w:tcW w:w="455" w:type="pct"/>
            <w:vMerge w:val="continue"/>
          </w:tcPr>
          <w:p w14:paraId="323E99B8">
            <w:pPr>
              <w:spacing w:line="240" w:lineRule="auto"/>
              <w:jc w:val="center"/>
              <w:rPr>
                <w:rFonts w:cs="Times New Roman"/>
                <w:bCs/>
                <w:color w:val="auto"/>
                <w:sz w:val="21"/>
                <w:szCs w:val="21"/>
              </w:rPr>
            </w:pPr>
          </w:p>
        </w:tc>
        <w:tc>
          <w:tcPr>
            <w:tcW w:w="412" w:type="pct"/>
            <w:vMerge w:val="continue"/>
          </w:tcPr>
          <w:p w14:paraId="4A36F97A">
            <w:pPr>
              <w:spacing w:line="240" w:lineRule="auto"/>
              <w:jc w:val="center"/>
              <w:rPr>
                <w:rFonts w:hint="default" w:eastAsia="宋体" w:cs="Times New Roman"/>
                <w:bCs/>
                <w:color w:val="auto"/>
                <w:sz w:val="21"/>
                <w:szCs w:val="21"/>
                <w:lang w:val="en-US" w:eastAsia="zh-CN"/>
              </w:rPr>
            </w:pPr>
          </w:p>
        </w:tc>
        <w:tc>
          <w:tcPr>
            <w:tcW w:w="385" w:type="pct"/>
            <w:vMerge w:val="continue"/>
          </w:tcPr>
          <w:p w14:paraId="2B00B764">
            <w:pPr>
              <w:spacing w:line="240" w:lineRule="auto"/>
              <w:jc w:val="center"/>
              <w:rPr>
                <w:rFonts w:cs="Times New Roman"/>
                <w:bCs/>
                <w:color w:val="auto"/>
                <w:sz w:val="21"/>
                <w:szCs w:val="21"/>
              </w:rPr>
            </w:pPr>
          </w:p>
        </w:tc>
        <w:tc>
          <w:tcPr>
            <w:tcW w:w="419" w:type="pct"/>
            <w:vMerge w:val="continue"/>
          </w:tcPr>
          <w:p w14:paraId="758E40DB">
            <w:pPr>
              <w:spacing w:line="240" w:lineRule="auto"/>
              <w:jc w:val="center"/>
              <w:rPr>
                <w:rFonts w:cs="Times New Roman"/>
                <w:bCs/>
                <w:color w:val="auto"/>
                <w:sz w:val="21"/>
                <w:szCs w:val="21"/>
              </w:rPr>
            </w:pPr>
          </w:p>
        </w:tc>
      </w:tr>
      <w:tr w14:paraId="2AC7B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0" w:type="auto"/>
            <w:shd w:val="clear" w:color="auto" w:fill="auto"/>
            <w:vAlign w:val="center"/>
          </w:tcPr>
          <w:p w14:paraId="0D386169">
            <w:pPr>
              <w:widowControl/>
              <w:spacing w:line="240" w:lineRule="auto"/>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8</w:t>
            </w:r>
          </w:p>
        </w:tc>
        <w:tc>
          <w:tcPr>
            <w:tcW w:w="460" w:type="pct"/>
            <w:vMerge w:val="continue"/>
            <w:vAlign w:val="center"/>
          </w:tcPr>
          <w:p w14:paraId="6EC675D8">
            <w:pPr>
              <w:spacing w:line="240" w:lineRule="auto"/>
              <w:jc w:val="center"/>
              <w:rPr>
                <w:rFonts w:cs="Times New Roman"/>
                <w:bCs/>
                <w:color w:val="auto"/>
                <w:sz w:val="21"/>
                <w:szCs w:val="21"/>
              </w:rPr>
            </w:pPr>
          </w:p>
        </w:tc>
        <w:tc>
          <w:tcPr>
            <w:tcW w:w="0" w:type="auto"/>
            <w:shd w:val="clear" w:color="auto" w:fill="auto"/>
            <w:vAlign w:val="center"/>
          </w:tcPr>
          <w:p w14:paraId="6E96F6AC">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废抹布手套</w:t>
            </w:r>
          </w:p>
        </w:tc>
        <w:tc>
          <w:tcPr>
            <w:tcW w:w="0" w:type="auto"/>
            <w:shd w:val="clear" w:color="auto" w:fill="auto"/>
            <w:vAlign w:val="center"/>
          </w:tcPr>
          <w:p w14:paraId="5823A4B5">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65640562">
            <w:pPr>
              <w:spacing w:line="240" w:lineRule="auto"/>
              <w:jc w:val="center"/>
              <w:rPr>
                <w:rFonts w:hint="default" w:eastAsia="宋体" w:cs="Times New Roman"/>
                <w:bCs/>
                <w:color w:val="auto"/>
                <w:sz w:val="21"/>
                <w:szCs w:val="21"/>
                <w:lang w:val="en-US" w:eastAsia="zh-CN"/>
              </w:rPr>
            </w:pPr>
          </w:p>
        </w:tc>
        <w:tc>
          <w:tcPr>
            <w:tcW w:w="455" w:type="pct"/>
            <w:vMerge w:val="continue"/>
          </w:tcPr>
          <w:p w14:paraId="233B4C18">
            <w:pPr>
              <w:spacing w:line="240" w:lineRule="auto"/>
              <w:jc w:val="center"/>
              <w:rPr>
                <w:rFonts w:cs="Times New Roman"/>
                <w:bCs/>
                <w:color w:val="auto"/>
                <w:sz w:val="21"/>
                <w:szCs w:val="21"/>
              </w:rPr>
            </w:pPr>
          </w:p>
        </w:tc>
        <w:tc>
          <w:tcPr>
            <w:tcW w:w="412" w:type="pct"/>
            <w:vMerge w:val="continue"/>
          </w:tcPr>
          <w:p w14:paraId="48F57DB4">
            <w:pPr>
              <w:spacing w:line="240" w:lineRule="auto"/>
              <w:jc w:val="center"/>
              <w:rPr>
                <w:rFonts w:hint="default" w:eastAsia="宋体" w:cs="Times New Roman"/>
                <w:bCs/>
                <w:color w:val="auto"/>
                <w:sz w:val="21"/>
                <w:szCs w:val="21"/>
                <w:lang w:val="en-US" w:eastAsia="zh-CN"/>
              </w:rPr>
            </w:pPr>
          </w:p>
        </w:tc>
        <w:tc>
          <w:tcPr>
            <w:tcW w:w="385" w:type="pct"/>
            <w:vMerge w:val="continue"/>
          </w:tcPr>
          <w:p w14:paraId="4BF3F0DE">
            <w:pPr>
              <w:spacing w:line="240" w:lineRule="auto"/>
              <w:jc w:val="center"/>
              <w:rPr>
                <w:rFonts w:cs="Times New Roman"/>
                <w:bCs/>
                <w:color w:val="auto"/>
                <w:sz w:val="21"/>
                <w:szCs w:val="21"/>
              </w:rPr>
            </w:pPr>
          </w:p>
        </w:tc>
        <w:tc>
          <w:tcPr>
            <w:tcW w:w="419" w:type="pct"/>
            <w:vMerge w:val="continue"/>
          </w:tcPr>
          <w:p w14:paraId="47BB2184">
            <w:pPr>
              <w:spacing w:line="240" w:lineRule="auto"/>
              <w:jc w:val="center"/>
              <w:rPr>
                <w:rFonts w:cs="Times New Roman"/>
                <w:bCs/>
                <w:color w:val="auto"/>
                <w:sz w:val="21"/>
                <w:szCs w:val="21"/>
              </w:rPr>
            </w:pPr>
          </w:p>
        </w:tc>
      </w:tr>
      <w:tr w14:paraId="04D96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1332B723">
            <w:pPr>
              <w:spacing w:line="240" w:lineRule="auto"/>
              <w:jc w:val="center"/>
              <w:rPr>
                <w:rFonts w:hint="eastAsia" w:eastAsia="宋体" w:cs="Times New Roman"/>
                <w:bCs/>
                <w:color w:val="auto"/>
                <w:sz w:val="21"/>
                <w:szCs w:val="21"/>
                <w:lang w:val="en-US" w:eastAsia="zh-CN"/>
              </w:rPr>
            </w:pPr>
            <w:r>
              <w:rPr>
                <w:rFonts w:hint="eastAsia" w:cs="Times New Roman"/>
                <w:bCs/>
                <w:color w:val="auto"/>
                <w:sz w:val="21"/>
                <w:szCs w:val="21"/>
                <w:lang w:val="en-US" w:eastAsia="zh-CN"/>
              </w:rPr>
              <w:t>9</w:t>
            </w:r>
          </w:p>
        </w:tc>
        <w:tc>
          <w:tcPr>
            <w:tcW w:w="460" w:type="pct"/>
            <w:vMerge w:val="continue"/>
            <w:vAlign w:val="center"/>
          </w:tcPr>
          <w:p w14:paraId="7EFC55BB">
            <w:pPr>
              <w:spacing w:line="240" w:lineRule="auto"/>
              <w:jc w:val="center"/>
              <w:rPr>
                <w:rFonts w:cs="Times New Roman"/>
                <w:bCs/>
                <w:color w:val="auto"/>
                <w:sz w:val="21"/>
                <w:szCs w:val="21"/>
              </w:rPr>
            </w:pPr>
          </w:p>
        </w:tc>
        <w:tc>
          <w:tcPr>
            <w:tcW w:w="0" w:type="auto"/>
            <w:shd w:val="clear" w:color="auto" w:fill="auto"/>
            <w:vAlign w:val="center"/>
          </w:tcPr>
          <w:p w14:paraId="73F152A5">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检测废液</w:t>
            </w:r>
          </w:p>
        </w:tc>
        <w:tc>
          <w:tcPr>
            <w:tcW w:w="0" w:type="auto"/>
            <w:shd w:val="clear" w:color="auto" w:fill="auto"/>
            <w:vAlign w:val="center"/>
          </w:tcPr>
          <w:p w14:paraId="34EB9A93">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HW49/900-047-49</w:t>
            </w:r>
          </w:p>
        </w:tc>
        <w:tc>
          <w:tcPr>
            <w:tcW w:w="426" w:type="pct"/>
            <w:vMerge w:val="continue"/>
            <w:vAlign w:val="center"/>
          </w:tcPr>
          <w:p w14:paraId="2D5D6E6A">
            <w:pPr>
              <w:spacing w:line="240" w:lineRule="auto"/>
              <w:jc w:val="center"/>
              <w:rPr>
                <w:rFonts w:hint="default" w:eastAsia="宋体" w:cs="Times New Roman"/>
                <w:bCs/>
                <w:color w:val="auto"/>
                <w:sz w:val="21"/>
                <w:szCs w:val="21"/>
                <w:lang w:val="en-US" w:eastAsia="zh-CN"/>
              </w:rPr>
            </w:pPr>
          </w:p>
        </w:tc>
        <w:tc>
          <w:tcPr>
            <w:tcW w:w="455" w:type="pct"/>
            <w:vMerge w:val="continue"/>
          </w:tcPr>
          <w:p w14:paraId="63BD3456">
            <w:pPr>
              <w:spacing w:line="240" w:lineRule="auto"/>
              <w:jc w:val="center"/>
              <w:rPr>
                <w:rFonts w:cs="Times New Roman"/>
                <w:bCs/>
                <w:color w:val="auto"/>
                <w:sz w:val="21"/>
                <w:szCs w:val="21"/>
              </w:rPr>
            </w:pPr>
          </w:p>
        </w:tc>
        <w:tc>
          <w:tcPr>
            <w:tcW w:w="412" w:type="pct"/>
            <w:vMerge w:val="continue"/>
          </w:tcPr>
          <w:p w14:paraId="49ACBF50">
            <w:pPr>
              <w:spacing w:line="240" w:lineRule="auto"/>
              <w:jc w:val="center"/>
              <w:rPr>
                <w:rFonts w:hint="default" w:eastAsia="宋体" w:cs="Times New Roman"/>
                <w:bCs/>
                <w:color w:val="auto"/>
                <w:sz w:val="21"/>
                <w:szCs w:val="21"/>
                <w:lang w:val="en-US" w:eastAsia="zh-CN"/>
              </w:rPr>
            </w:pPr>
          </w:p>
        </w:tc>
        <w:tc>
          <w:tcPr>
            <w:tcW w:w="385" w:type="pct"/>
            <w:vMerge w:val="continue"/>
          </w:tcPr>
          <w:p w14:paraId="5E0F469A">
            <w:pPr>
              <w:spacing w:line="240" w:lineRule="auto"/>
              <w:jc w:val="center"/>
              <w:rPr>
                <w:rFonts w:cs="Times New Roman"/>
                <w:bCs/>
                <w:color w:val="auto"/>
                <w:sz w:val="21"/>
                <w:szCs w:val="21"/>
              </w:rPr>
            </w:pPr>
          </w:p>
        </w:tc>
        <w:tc>
          <w:tcPr>
            <w:tcW w:w="419" w:type="pct"/>
            <w:vMerge w:val="continue"/>
          </w:tcPr>
          <w:p w14:paraId="54FD0314">
            <w:pPr>
              <w:spacing w:line="240" w:lineRule="auto"/>
              <w:jc w:val="center"/>
              <w:rPr>
                <w:rFonts w:cs="Times New Roman"/>
                <w:bCs/>
                <w:color w:val="auto"/>
                <w:sz w:val="21"/>
                <w:szCs w:val="21"/>
              </w:rPr>
            </w:pPr>
          </w:p>
        </w:tc>
      </w:tr>
      <w:tr w14:paraId="1E4BA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2CC1B5AB">
            <w:pPr>
              <w:spacing w:line="240" w:lineRule="auto"/>
              <w:jc w:val="center"/>
              <w:rPr>
                <w:rFonts w:hint="default" w:eastAsia="宋体" w:cs="Times New Roman"/>
                <w:bCs/>
                <w:color w:val="auto"/>
                <w:sz w:val="21"/>
                <w:szCs w:val="21"/>
                <w:lang w:val="en-US" w:eastAsia="zh-CN"/>
              </w:rPr>
            </w:pPr>
            <w:r>
              <w:rPr>
                <w:rFonts w:hint="eastAsia" w:cs="Times New Roman"/>
                <w:bCs/>
                <w:color w:val="auto"/>
                <w:sz w:val="21"/>
                <w:szCs w:val="21"/>
                <w:lang w:val="en-US" w:eastAsia="zh-CN"/>
              </w:rPr>
              <w:t>10</w:t>
            </w:r>
          </w:p>
        </w:tc>
        <w:tc>
          <w:tcPr>
            <w:tcW w:w="460" w:type="pct"/>
            <w:vMerge w:val="continue"/>
            <w:vAlign w:val="center"/>
          </w:tcPr>
          <w:p w14:paraId="24BD4336">
            <w:pPr>
              <w:spacing w:line="240" w:lineRule="auto"/>
              <w:jc w:val="center"/>
              <w:rPr>
                <w:rFonts w:cs="Times New Roman"/>
                <w:bCs/>
                <w:color w:val="auto"/>
                <w:sz w:val="21"/>
                <w:szCs w:val="21"/>
              </w:rPr>
            </w:pPr>
          </w:p>
        </w:tc>
        <w:tc>
          <w:tcPr>
            <w:tcW w:w="0" w:type="auto"/>
            <w:shd w:val="clear" w:color="auto" w:fill="auto"/>
            <w:vAlign w:val="center"/>
          </w:tcPr>
          <w:p w14:paraId="35B87050">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实验室废弃物</w:t>
            </w:r>
          </w:p>
        </w:tc>
        <w:tc>
          <w:tcPr>
            <w:tcW w:w="0" w:type="auto"/>
            <w:shd w:val="clear" w:color="auto" w:fill="auto"/>
            <w:vAlign w:val="center"/>
          </w:tcPr>
          <w:p w14:paraId="55445D5C">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HW49/900-047-49</w:t>
            </w:r>
          </w:p>
        </w:tc>
        <w:tc>
          <w:tcPr>
            <w:tcW w:w="426" w:type="pct"/>
            <w:vMerge w:val="continue"/>
            <w:vAlign w:val="center"/>
          </w:tcPr>
          <w:p w14:paraId="471BA1D3">
            <w:pPr>
              <w:spacing w:line="240" w:lineRule="auto"/>
              <w:jc w:val="center"/>
              <w:rPr>
                <w:rFonts w:hint="default" w:eastAsia="宋体" w:cs="Times New Roman"/>
                <w:bCs/>
                <w:color w:val="auto"/>
                <w:sz w:val="21"/>
                <w:szCs w:val="21"/>
                <w:lang w:val="en-US" w:eastAsia="zh-CN"/>
              </w:rPr>
            </w:pPr>
          </w:p>
        </w:tc>
        <w:tc>
          <w:tcPr>
            <w:tcW w:w="455" w:type="pct"/>
            <w:vMerge w:val="continue"/>
          </w:tcPr>
          <w:p w14:paraId="0BAEEAFF">
            <w:pPr>
              <w:spacing w:line="240" w:lineRule="auto"/>
              <w:jc w:val="center"/>
              <w:rPr>
                <w:rFonts w:cs="Times New Roman"/>
                <w:bCs/>
                <w:color w:val="auto"/>
                <w:sz w:val="21"/>
                <w:szCs w:val="21"/>
              </w:rPr>
            </w:pPr>
          </w:p>
        </w:tc>
        <w:tc>
          <w:tcPr>
            <w:tcW w:w="412" w:type="pct"/>
            <w:vMerge w:val="continue"/>
          </w:tcPr>
          <w:p w14:paraId="52EDD87C">
            <w:pPr>
              <w:spacing w:line="240" w:lineRule="auto"/>
              <w:jc w:val="center"/>
              <w:rPr>
                <w:rFonts w:hint="default" w:eastAsia="宋体" w:cs="Times New Roman"/>
                <w:bCs/>
                <w:color w:val="auto"/>
                <w:sz w:val="21"/>
                <w:szCs w:val="21"/>
                <w:lang w:val="en-US" w:eastAsia="zh-CN"/>
              </w:rPr>
            </w:pPr>
          </w:p>
        </w:tc>
        <w:tc>
          <w:tcPr>
            <w:tcW w:w="385" w:type="pct"/>
            <w:vMerge w:val="continue"/>
          </w:tcPr>
          <w:p w14:paraId="1945267B">
            <w:pPr>
              <w:spacing w:line="240" w:lineRule="auto"/>
              <w:jc w:val="center"/>
              <w:rPr>
                <w:rFonts w:cs="Times New Roman"/>
                <w:bCs/>
                <w:color w:val="auto"/>
                <w:sz w:val="21"/>
                <w:szCs w:val="21"/>
              </w:rPr>
            </w:pPr>
          </w:p>
        </w:tc>
        <w:tc>
          <w:tcPr>
            <w:tcW w:w="419" w:type="pct"/>
            <w:vMerge w:val="continue"/>
          </w:tcPr>
          <w:p w14:paraId="37175E62">
            <w:pPr>
              <w:spacing w:line="240" w:lineRule="auto"/>
              <w:jc w:val="center"/>
              <w:rPr>
                <w:rFonts w:cs="Times New Roman"/>
                <w:bCs/>
                <w:color w:val="auto"/>
                <w:sz w:val="21"/>
                <w:szCs w:val="21"/>
              </w:rPr>
            </w:pPr>
          </w:p>
        </w:tc>
      </w:tr>
      <w:tr w14:paraId="1F68E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0" w:type="auto"/>
            <w:vAlign w:val="center"/>
          </w:tcPr>
          <w:p w14:paraId="43ED03DB">
            <w:pPr>
              <w:spacing w:line="240" w:lineRule="auto"/>
              <w:jc w:val="center"/>
              <w:rPr>
                <w:rFonts w:hint="default" w:eastAsia="宋体" w:cs="Times New Roman"/>
                <w:bCs/>
                <w:color w:val="auto"/>
                <w:sz w:val="21"/>
                <w:szCs w:val="21"/>
                <w:lang w:val="en-US" w:eastAsia="zh-CN"/>
              </w:rPr>
            </w:pPr>
            <w:r>
              <w:rPr>
                <w:rFonts w:hint="eastAsia" w:cs="Times New Roman"/>
                <w:bCs/>
                <w:color w:val="auto"/>
                <w:sz w:val="21"/>
                <w:szCs w:val="21"/>
                <w:lang w:val="en-US" w:eastAsia="zh-CN"/>
              </w:rPr>
              <w:t>11</w:t>
            </w:r>
          </w:p>
        </w:tc>
        <w:tc>
          <w:tcPr>
            <w:tcW w:w="460" w:type="pct"/>
            <w:vMerge w:val="continue"/>
            <w:vAlign w:val="center"/>
          </w:tcPr>
          <w:p w14:paraId="15FEE543">
            <w:pPr>
              <w:spacing w:line="240" w:lineRule="auto"/>
              <w:jc w:val="center"/>
              <w:rPr>
                <w:rFonts w:cs="Times New Roman"/>
                <w:bCs/>
                <w:color w:val="auto"/>
                <w:sz w:val="21"/>
                <w:szCs w:val="21"/>
              </w:rPr>
            </w:pPr>
          </w:p>
        </w:tc>
        <w:tc>
          <w:tcPr>
            <w:tcW w:w="0" w:type="auto"/>
            <w:shd w:val="clear" w:color="auto" w:fill="auto"/>
            <w:vAlign w:val="center"/>
          </w:tcPr>
          <w:p w14:paraId="43E1D566">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活性炭过滤器</w:t>
            </w:r>
          </w:p>
        </w:tc>
        <w:tc>
          <w:tcPr>
            <w:tcW w:w="0" w:type="auto"/>
            <w:shd w:val="clear" w:color="auto" w:fill="auto"/>
            <w:vAlign w:val="center"/>
          </w:tcPr>
          <w:p w14:paraId="0262383E">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04D1B3D3">
            <w:pPr>
              <w:spacing w:line="240" w:lineRule="auto"/>
              <w:jc w:val="center"/>
              <w:rPr>
                <w:rFonts w:hint="default" w:eastAsia="宋体" w:cs="Times New Roman"/>
                <w:bCs/>
                <w:color w:val="auto"/>
                <w:sz w:val="21"/>
                <w:szCs w:val="21"/>
                <w:lang w:val="en-US" w:eastAsia="zh-CN"/>
              </w:rPr>
            </w:pPr>
          </w:p>
        </w:tc>
        <w:tc>
          <w:tcPr>
            <w:tcW w:w="455" w:type="pct"/>
            <w:vMerge w:val="continue"/>
          </w:tcPr>
          <w:p w14:paraId="43EC5CE3">
            <w:pPr>
              <w:spacing w:line="240" w:lineRule="auto"/>
              <w:jc w:val="center"/>
              <w:rPr>
                <w:rFonts w:cs="Times New Roman"/>
                <w:bCs/>
                <w:color w:val="auto"/>
                <w:sz w:val="21"/>
                <w:szCs w:val="21"/>
              </w:rPr>
            </w:pPr>
          </w:p>
        </w:tc>
        <w:tc>
          <w:tcPr>
            <w:tcW w:w="412" w:type="pct"/>
            <w:vMerge w:val="continue"/>
          </w:tcPr>
          <w:p w14:paraId="05C98ACE">
            <w:pPr>
              <w:spacing w:line="240" w:lineRule="auto"/>
              <w:jc w:val="center"/>
              <w:rPr>
                <w:rFonts w:hint="default" w:eastAsia="宋体" w:cs="Times New Roman"/>
                <w:bCs/>
                <w:color w:val="auto"/>
                <w:sz w:val="21"/>
                <w:szCs w:val="21"/>
                <w:lang w:val="en-US" w:eastAsia="zh-CN"/>
              </w:rPr>
            </w:pPr>
          </w:p>
        </w:tc>
        <w:tc>
          <w:tcPr>
            <w:tcW w:w="385" w:type="pct"/>
            <w:vMerge w:val="continue"/>
          </w:tcPr>
          <w:p w14:paraId="70728687">
            <w:pPr>
              <w:spacing w:line="240" w:lineRule="auto"/>
              <w:jc w:val="center"/>
              <w:rPr>
                <w:rFonts w:cs="Times New Roman"/>
                <w:bCs/>
                <w:color w:val="auto"/>
                <w:sz w:val="21"/>
                <w:szCs w:val="21"/>
              </w:rPr>
            </w:pPr>
          </w:p>
        </w:tc>
        <w:tc>
          <w:tcPr>
            <w:tcW w:w="419" w:type="pct"/>
            <w:vMerge w:val="continue"/>
          </w:tcPr>
          <w:p w14:paraId="733CEA48">
            <w:pPr>
              <w:spacing w:line="240" w:lineRule="auto"/>
              <w:jc w:val="center"/>
              <w:rPr>
                <w:rFonts w:cs="Times New Roman"/>
                <w:bCs/>
                <w:color w:val="auto"/>
                <w:sz w:val="21"/>
                <w:szCs w:val="21"/>
              </w:rPr>
            </w:pPr>
          </w:p>
        </w:tc>
      </w:tr>
      <w:tr w14:paraId="52C51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54" w:hRule="atLeast"/>
          <w:jc w:val="center"/>
        </w:trPr>
        <w:tc>
          <w:tcPr>
            <w:tcW w:w="0" w:type="auto"/>
            <w:vAlign w:val="center"/>
          </w:tcPr>
          <w:p w14:paraId="7EC69B61">
            <w:pPr>
              <w:spacing w:line="240" w:lineRule="auto"/>
              <w:jc w:val="center"/>
              <w:rPr>
                <w:rFonts w:hint="default" w:eastAsia="宋体" w:cs="Times New Roman"/>
                <w:bCs/>
                <w:color w:val="auto"/>
                <w:sz w:val="21"/>
                <w:szCs w:val="21"/>
                <w:lang w:val="en-US" w:eastAsia="zh-CN"/>
              </w:rPr>
            </w:pPr>
            <w:r>
              <w:rPr>
                <w:rFonts w:hint="eastAsia" w:cs="Times New Roman"/>
                <w:bCs/>
                <w:color w:val="auto"/>
                <w:sz w:val="21"/>
                <w:szCs w:val="21"/>
                <w:lang w:val="en-US" w:eastAsia="zh-CN"/>
              </w:rPr>
              <w:t>12</w:t>
            </w:r>
          </w:p>
        </w:tc>
        <w:tc>
          <w:tcPr>
            <w:tcW w:w="460" w:type="pct"/>
            <w:vMerge w:val="continue"/>
            <w:vAlign w:val="center"/>
          </w:tcPr>
          <w:p w14:paraId="231240E3">
            <w:pPr>
              <w:spacing w:line="240" w:lineRule="auto"/>
              <w:jc w:val="center"/>
              <w:rPr>
                <w:rFonts w:cs="Times New Roman"/>
                <w:bCs/>
                <w:color w:val="auto"/>
                <w:sz w:val="21"/>
                <w:szCs w:val="21"/>
              </w:rPr>
            </w:pPr>
          </w:p>
        </w:tc>
        <w:tc>
          <w:tcPr>
            <w:tcW w:w="0" w:type="auto"/>
            <w:shd w:val="clear" w:color="auto" w:fill="auto"/>
            <w:vAlign w:val="center"/>
          </w:tcPr>
          <w:p w14:paraId="5E8E50E0">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废机油、切削液</w:t>
            </w:r>
          </w:p>
        </w:tc>
        <w:tc>
          <w:tcPr>
            <w:tcW w:w="0" w:type="auto"/>
            <w:shd w:val="clear" w:color="auto" w:fill="auto"/>
            <w:vAlign w:val="center"/>
          </w:tcPr>
          <w:p w14:paraId="3846CAA2">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HW08/900-214-08</w:t>
            </w:r>
          </w:p>
        </w:tc>
        <w:tc>
          <w:tcPr>
            <w:tcW w:w="426" w:type="pct"/>
            <w:vMerge w:val="continue"/>
            <w:vAlign w:val="center"/>
          </w:tcPr>
          <w:p w14:paraId="388A6816">
            <w:pPr>
              <w:spacing w:line="240" w:lineRule="auto"/>
              <w:jc w:val="center"/>
              <w:rPr>
                <w:rFonts w:hint="default" w:eastAsia="宋体" w:cs="Times New Roman"/>
                <w:bCs/>
                <w:color w:val="auto"/>
                <w:sz w:val="21"/>
                <w:szCs w:val="21"/>
                <w:lang w:val="en-US" w:eastAsia="zh-CN"/>
              </w:rPr>
            </w:pPr>
          </w:p>
        </w:tc>
        <w:tc>
          <w:tcPr>
            <w:tcW w:w="455" w:type="pct"/>
            <w:vMerge w:val="continue"/>
          </w:tcPr>
          <w:p w14:paraId="2CE7D0DD">
            <w:pPr>
              <w:spacing w:line="240" w:lineRule="auto"/>
              <w:jc w:val="center"/>
              <w:rPr>
                <w:rFonts w:cs="Times New Roman"/>
                <w:bCs/>
                <w:color w:val="auto"/>
                <w:sz w:val="21"/>
                <w:szCs w:val="21"/>
              </w:rPr>
            </w:pPr>
          </w:p>
        </w:tc>
        <w:tc>
          <w:tcPr>
            <w:tcW w:w="412" w:type="pct"/>
            <w:vMerge w:val="continue"/>
          </w:tcPr>
          <w:p w14:paraId="48BA28D3">
            <w:pPr>
              <w:spacing w:line="240" w:lineRule="auto"/>
              <w:jc w:val="center"/>
              <w:rPr>
                <w:rFonts w:hint="default" w:eastAsia="宋体" w:cs="Times New Roman"/>
                <w:bCs/>
                <w:color w:val="auto"/>
                <w:sz w:val="21"/>
                <w:szCs w:val="21"/>
                <w:lang w:val="en-US" w:eastAsia="zh-CN"/>
              </w:rPr>
            </w:pPr>
          </w:p>
        </w:tc>
        <w:tc>
          <w:tcPr>
            <w:tcW w:w="385" w:type="pct"/>
            <w:vMerge w:val="continue"/>
          </w:tcPr>
          <w:p w14:paraId="666773EF">
            <w:pPr>
              <w:spacing w:line="240" w:lineRule="auto"/>
              <w:jc w:val="center"/>
              <w:rPr>
                <w:rFonts w:cs="Times New Roman"/>
                <w:bCs/>
                <w:color w:val="auto"/>
                <w:sz w:val="21"/>
                <w:szCs w:val="21"/>
              </w:rPr>
            </w:pPr>
          </w:p>
        </w:tc>
        <w:tc>
          <w:tcPr>
            <w:tcW w:w="419" w:type="pct"/>
            <w:vMerge w:val="continue"/>
          </w:tcPr>
          <w:p w14:paraId="08E9B08B">
            <w:pPr>
              <w:spacing w:line="240" w:lineRule="auto"/>
              <w:jc w:val="center"/>
              <w:rPr>
                <w:rFonts w:cs="Times New Roman"/>
                <w:bCs/>
                <w:color w:val="auto"/>
                <w:sz w:val="21"/>
                <w:szCs w:val="21"/>
              </w:rPr>
            </w:pPr>
          </w:p>
        </w:tc>
      </w:tr>
      <w:tr w14:paraId="1D232F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04FD6DED">
            <w:pPr>
              <w:spacing w:line="240" w:lineRule="auto"/>
              <w:jc w:val="center"/>
              <w:rPr>
                <w:rFonts w:hint="default" w:eastAsia="宋体" w:cs="Times New Roman"/>
                <w:bCs/>
                <w:color w:val="auto"/>
                <w:sz w:val="21"/>
                <w:szCs w:val="21"/>
                <w:lang w:val="en-US" w:eastAsia="zh-CN"/>
              </w:rPr>
            </w:pPr>
            <w:r>
              <w:rPr>
                <w:rFonts w:hint="eastAsia" w:cs="Times New Roman"/>
                <w:bCs/>
                <w:color w:val="auto"/>
                <w:sz w:val="21"/>
                <w:szCs w:val="21"/>
                <w:lang w:val="en-US" w:eastAsia="zh-CN"/>
              </w:rPr>
              <w:t>13</w:t>
            </w:r>
          </w:p>
        </w:tc>
        <w:tc>
          <w:tcPr>
            <w:tcW w:w="460" w:type="pct"/>
            <w:vMerge w:val="continue"/>
            <w:vAlign w:val="center"/>
          </w:tcPr>
          <w:p w14:paraId="5E57180F">
            <w:pPr>
              <w:spacing w:line="240" w:lineRule="auto"/>
              <w:jc w:val="center"/>
              <w:rPr>
                <w:rFonts w:cs="Times New Roman"/>
                <w:bCs/>
                <w:color w:val="auto"/>
                <w:sz w:val="21"/>
                <w:szCs w:val="21"/>
              </w:rPr>
            </w:pPr>
          </w:p>
        </w:tc>
        <w:tc>
          <w:tcPr>
            <w:tcW w:w="0" w:type="auto"/>
            <w:shd w:val="clear" w:color="auto" w:fill="auto"/>
            <w:vAlign w:val="center"/>
          </w:tcPr>
          <w:p w14:paraId="77F0675A">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废滤芯</w:t>
            </w:r>
          </w:p>
        </w:tc>
        <w:tc>
          <w:tcPr>
            <w:tcW w:w="0" w:type="auto"/>
            <w:shd w:val="clear" w:color="auto" w:fill="auto"/>
            <w:vAlign w:val="center"/>
          </w:tcPr>
          <w:p w14:paraId="0B50068F">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45324CF0">
            <w:pPr>
              <w:spacing w:line="240" w:lineRule="auto"/>
              <w:jc w:val="center"/>
              <w:rPr>
                <w:rFonts w:hint="default" w:eastAsia="宋体" w:cs="Times New Roman"/>
                <w:bCs/>
                <w:color w:val="auto"/>
                <w:sz w:val="21"/>
                <w:szCs w:val="21"/>
                <w:lang w:val="en-US" w:eastAsia="zh-CN"/>
              </w:rPr>
            </w:pPr>
          </w:p>
        </w:tc>
        <w:tc>
          <w:tcPr>
            <w:tcW w:w="455" w:type="pct"/>
            <w:vMerge w:val="continue"/>
          </w:tcPr>
          <w:p w14:paraId="74F31035">
            <w:pPr>
              <w:spacing w:line="240" w:lineRule="auto"/>
              <w:jc w:val="center"/>
              <w:rPr>
                <w:rFonts w:cs="Times New Roman"/>
                <w:bCs/>
                <w:color w:val="auto"/>
                <w:sz w:val="21"/>
                <w:szCs w:val="21"/>
              </w:rPr>
            </w:pPr>
          </w:p>
        </w:tc>
        <w:tc>
          <w:tcPr>
            <w:tcW w:w="412" w:type="pct"/>
            <w:vMerge w:val="continue"/>
          </w:tcPr>
          <w:p w14:paraId="3E60F092">
            <w:pPr>
              <w:spacing w:line="240" w:lineRule="auto"/>
              <w:jc w:val="center"/>
              <w:rPr>
                <w:rFonts w:hint="default" w:eastAsia="宋体" w:cs="Times New Roman"/>
                <w:bCs/>
                <w:color w:val="auto"/>
                <w:sz w:val="21"/>
                <w:szCs w:val="21"/>
                <w:lang w:val="en-US" w:eastAsia="zh-CN"/>
              </w:rPr>
            </w:pPr>
          </w:p>
        </w:tc>
        <w:tc>
          <w:tcPr>
            <w:tcW w:w="385" w:type="pct"/>
            <w:vMerge w:val="continue"/>
          </w:tcPr>
          <w:p w14:paraId="12A587CB">
            <w:pPr>
              <w:spacing w:line="240" w:lineRule="auto"/>
              <w:jc w:val="center"/>
              <w:rPr>
                <w:rFonts w:cs="Times New Roman"/>
                <w:bCs/>
                <w:color w:val="auto"/>
                <w:sz w:val="21"/>
                <w:szCs w:val="21"/>
              </w:rPr>
            </w:pPr>
          </w:p>
        </w:tc>
        <w:tc>
          <w:tcPr>
            <w:tcW w:w="419" w:type="pct"/>
            <w:vMerge w:val="continue"/>
          </w:tcPr>
          <w:p w14:paraId="411F1610">
            <w:pPr>
              <w:spacing w:line="240" w:lineRule="auto"/>
              <w:jc w:val="center"/>
              <w:rPr>
                <w:rFonts w:cs="Times New Roman"/>
                <w:bCs/>
                <w:color w:val="auto"/>
                <w:sz w:val="21"/>
                <w:szCs w:val="21"/>
              </w:rPr>
            </w:pPr>
          </w:p>
        </w:tc>
      </w:tr>
      <w:tr w14:paraId="44C3D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Align w:val="center"/>
          </w:tcPr>
          <w:p w14:paraId="3B0DFE78">
            <w:pPr>
              <w:spacing w:line="240" w:lineRule="auto"/>
              <w:jc w:val="center"/>
              <w:rPr>
                <w:rFonts w:hint="default" w:eastAsia="宋体" w:cs="Times New Roman"/>
                <w:bCs/>
                <w:color w:val="auto"/>
                <w:sz w:val="21"/>
                <w:szCs w:val="21"/>
                <w:lang w:val="en-US" w:eastAsia="zh-CN"/>
              </w:rPr>
            </w:pPr>
            <w:r>
              <w:rPr>
                <w:rFonts w:hint="eastAsia" w:cs="Times New Roman"/>
                <w:bCs/>
                <w:color w:val="auto"/>
                <w:sz w:val="21"/>
                <w:szCs w:val="21"/>
                <w:lang w:val="en-US" w:eastAsia="zh-CN"/>
              </w:rPr>
              <w:t>14</w:t>
            </w:r>
          </w:p>
        </w:tc>
        <w:tc>
          <w:tcPr>
            <w:tcW w:w="460" w:type="pct"/>
            <w:vMerge w:val="continue"/>
            <w:vAlign w:val="center"/>
          </w:tcPr>
          <w:p w14:paraId="6D4C6272">
            <w:pPr>
              <w:spacing w:line="240" w:lineRule="auto"/>
              <w:jc w:val="center"/>
              <w:rPr>
                <w:rFonts w:cs="Times New Roman"/>
                <w:bCs/>
                <w:color w:val="auto"/>
                <w:sz w:val="21"/>
                <w:szCs w:val="21"/>
              </w:rPr>
            </w:pPr>
          </w:p>
        </w:tc>
        <w:tc>
          <w:tcPr>
            <w:tcW w:w="0" w:type="auto"/>
            <w:shd w:val="clear" w:color="auto" w:fill="auto"/>
            <w:vAlign w:val="center"/>
          </w:tcPr>
          <w:p w14:paraId="51F549C9">
            <w:pPr>
              <w:widowControl w:val="0"/>
              <w:bidi w:val="0"/>
              <w:spacing w:line="240" w:lineRule="auto"/>
              <w:jc w:val="center"/>
              <w:rPr>
                <w:rFonts w:hint="eastAsia" w:ascii="Times New Roman" w:hAnsi="Times New Roman" w:eastAsia="宋体" w:cs="宋体"/>
                <w:sz w:val="21"/>
                <w:szCs w:val="21"/>
                <w:lang w:val="en-US" w:eastAsia="zh-CN" w:bidi="ar-SA"/>
              </w:rPr>
            </w:pPr>
            <w:r>
              <w:rPr>
                <w:sz w:val="21"/>
                <w:szCs w:val="21"/>
              </w:rPr>
              <w:t>吸附棉</w:t>
            </w:r>
          </w:p>
        </w:tc>
        <w:tc>
          <w:tcPr>
            <w:tcW w:w="0" w:type="auto"/>
            <w:shd w:val="clear" w:color="auto" w:fill="auto"/>
            <w:vAlign w:val="center"/>
          </w:tcPr>
          <w:p w14:paraId="35975DA1">
            <w:pPr>
              <w:widowControl w:val="0"/>
              <w:bidi w:val="0"/>
              <w:spacing w:line="240" w:lineRule="auto"/>
              <w:jc w:val="center"/>
              <w:rPr>
                <w:rFonts w:ascii="Times New Roman" w:hAnsi="Times New Roman" w:eastAsia="宋体" w:cs="宋体"/>
                <w:sz w:val="21"/>
                <w:szCs w:val="21"/>
                <w:lang w:val="en-US" w:eastAsia="zh-CN" w:bidi="ar-SA"/>
              </w:rPr>
            </w:pPr>
            <w:r>
              <w:rPr>
                <w:sz w:val="21"/>
                <w:szCs w:val="21"/>
              </w:rPr>
              <w:t>HW49/900-041-49</w:t>
            </w:r>
          </w:p>
        </w:tc>
        <w:tc>
          <w:tcPr>
            <w:tcW w:w="426" w:type="pct"/>
            <w:vMerge w:val="continue"/>
            <w:vAlign w:val="center"/>
          </w:tcPr>
          <w:p w14:paraId="6C409E9D">
            <w:pPr>
              <w:spacing w:line="240" w:lineRule="auto"/>
              <w:jc w:val="center"/>
              <w:rPr>
                <w:rFonts w:hint="default" w:eastAsia="宋体" w:cs="Times New Roman"/>
                <w:bCs/>
                <w:color w:val="auto"/>
                <w:sz w:val="21"/>
                <w:szCs w:val="21"/>
                <w:lang w:val="en-US" w:eastAsia="zh-CN"/>
              </w:rPr>
            </w:pPr>
          </w:p>
        </w:tc>
        <w:tc>
          <w:tcPr>
            <w:tcW w:w="455" w:type="pct"/>
            <w:vMerge w:val="continue"/>
          </w:tcPr>
          <w:p w14:paraId="3350AE79">
            <w:pPr>
              <w:spacing w:line="240" w:lineRule="auto"/>
              <w:jc w:val="center"/>
              <w:rPr>
                <w:rFonts w:cs="Times New Roman"/>
                <w:bCs/>
                <w:color w:val="auto"/>
                <w:sz w:val="21"/>
                <w:szCs w:val="21"/>
              </w:rPr>
            </w:pPr>
          </w:p>
        </w:tc>
        <w:tc>
          <w:tcPr>
            <w:tcW w:w="412" w:type="pct"/>
            <w:vMerge w:val="continue"/>
          </w:tcPr>
          <w:p w14:paraId="4259F8D3">
            <w:pPr>
              <w:spacing w:line="240" w:lineRule="auto"/>
              <w:jc w:val="center"/>
              <w:rPr>
                <w:rFonts w:hint="default" w:eastAsia="宋体" w:cs="Times New Roman"/>
                <w:bCs/>
                <w:color w:val="auto"/>
                <w:sz w:val="21"/>
                <w:szCs w:val="21"/>
                <w:lang w:val="en-US" w:eastAsia="zh-CN"/>
              </w:rPr>
            </w:pPr>
          </w:p>
        </w:tc>
        <w:tc>
          <w:tcPr>
            <w:tcW w:w="385" w:type="pct"/>
            <w:vMerge w:val="continue"/>
          </w:tcPr>
          <w:p w14:paraId="3E01AA22">
            <w:pPr>
              <w:spacing w:line="240" w:lineRule="auto"/>
              <w:jc w:val="center"/>
              <w:rPr>
                <w:rFonts w:cs="Times New Roman"/>
                <w:bCs/>
                <w:color w:val="auto"/>
                <w:sz w:val="21"/>
                <w:szCs w:val="21"/>
              </w:rPr>
            </w:pPr>
          </w:p>
        </w:tc>
        <w:tc>
          <w:tcPr>
            <w:tcW w:w="419" w:type="pct"/>
            <w:vMerge w:val="continue"/>
          </w:tcPr>
          <w:p w14:paraId="26AEF708">
            <w:pPr>
              <w:spacing w:line="240" w:lineRule="auto"/>
              <w:jc w:val="center"/>
              <w:rPr>
                <w:rFonts w:cs="Times New Roman"/>
                <w:bCs/>
                <w:color w:val="auto"/>
                <w:sz w:val="21"/>
                <w:szCs w:val="21"/>
              </w:rPr>
            </w:pPr>
          </w:p>
        </w:tc>
      </w:tr>
    </w:tbl>
    <w:p w14:paraId="6B5D1AD4">
      <w:pPr>
        <w:ind w:firstLine="480" w:firstLineChars="200"/>
        <w:rPr>
          <w:color w:val="auto"/>
          <w:szCs w:val="28"/>
        </w:rPr>
      </w:pPr>
      <w:r>
        <w:rPr>
          <w:color w:val="auto"/>
          <w:szCs w:val="28"/>
        </w:rPr>
        <w:t>项目危险废物的收集包括两个方面：一是在危险废物产生节点将危险废物集中到适当的包装容器中或车辆上的活动；二是将已包装或装到运输车辆上的危险废物集中到危险废物暂存仓库的内部转运。</w:t>
      </w:r>
    </w:p>
    <w:p w14:paraId="575B68E9">
      <w:pPr>
        <w:ind w:firstLine="480" w:firstLineChars="200"/>
        <w:rPr>
          <w:color w:val="auto"/>
          <w:szCs w:val="28"/>
        </w:rPr>
      </w:pPr>
      <w:r>
        <w:rPr>
          <w:color w:val="auto"/>
          <w:szCs w:val="28"/>
        </w:rPr>
        <w:t>项目危险废物的收集满足《危险废物收集、贮存、运输技术规范》（HJ2025-2012）的要求：</w:t>
      </w:r>
    </w:p>
    <w:p w14:paraId="381EDF18">
      <w:pPr>
        <w:ind w:firstLine="480" w:firstLineChars="200"/>
        <w:rPr>
          <w:color w:val="auto"/>
          <w:szCs w:val="28"/>
        </w:rPr>
      </w:pPr>
      <w:r>
        <w:rPr>
          <w:color w:val="auto"/>
          <w:szCs w:val="28"/>
        </w:rPr>
        <w:t>①根据危险废物产生的工艺特征、排放周期、产生特性、管理计划等因素制定详细的收集计划。收集计划包括收集任务概述、收集目标及原则、危险废物特性评估、危险废物收集量估算、收集作业范围和方法、收集设备与包装容器、安全生产与个人防护、工程防护与事故应急、进度安排与组织管理等；</w:t>
      </w:r>
    </w:p>
    <w:p w14:paraId="7FD031FE">
      <w:pPr>
        <w:ind w:firstLine="480" w:firstLineChars="200"/>
        <w:rPr>
          <w:color w:val="auto"/>
          <w:szCs w:val="28"/>
        </w:rPr>
      </w:pPr>
      <w:r>
        <w:rPr>
          <w:color w:val="auto"/>
          <w:szCs w:val="28"/>
        </w:rPr>
        <w:t>②制定危险废物收集操作规程，内容包括适用范围、操作程序和方法、专用设备和工具、转移和交接、安全保障和应急防护等；</w:t>
      </w:r>
    </w:p>
    <w:p w14:paraId="23C372A6">
      <w:pPr>
        <w:ind w:firstLine="480" w:firstLineChars="200"/>
        <w:rPr>
          <w:color w:val="auto"/>
          <w:szCs w:val="28"/>
        </w:rPr>
      </w:pPr>
      <w:r>
        <w:rPr>
          <w:color w:val="auto"/>
          <w:szCs w:val="28"/>
        </w:rPr>
        <w:t>③危险废物收集和转运作业人员根据工作需要配备必要的个人防护装备，如手套、防护镜、防护服、防毒面具或口罩等；</w:t>
      </w:r>
    </w:p>
    <w:p w14:paraId="1FFA8492">
      <w:pPr>
        <w:ind w:firstLine="480" w:firstLineChars="200"/>
        <w:rPr>
          <w:color w:val="auto"/>
          <w:szCs w:val="28"/>
        </w:rPr>
      </w:pPr>
      <w:r>
        <w:rPr>
          <w:color w:val="auto"/>
          <w:szCs w:val="28"/>
        </w:rPr>
        <w:t>④在危险废物收集和转运过程中，采取相应的安全防护和污染防治措施，包括防爆、防火、防泄漏、防飞扬、防雨或其他防治污染环境的措施；</w:t>
      </w:r>
    </w:p>
    <w:p w14:paraId="2AEC7448">
      <w:pPr>
        <w:ind w:firstLine="480" w:firstLineChars="200"/>
        <w:rPr>
          <w:color w:val="auto"/>
          <w:szCs w:val="28"/>
        </w:rPr>
      </w:pPr>
      <w:r>
        <w:rPr>
          <w:color w:val="auto"/>
          <w:szCs w:val="28"/>
        </w:rPr>
        <w:t>⑤危险废物收集时应根据危险废物的种类、数量、危险特性、物理形态、运输要求等因素选择合适的包装形式。</w:t>
      </w:r>
    </w:p>
    <w:p w14:paraId="1364ABAC">
      <w:pPr>
        <w:rPr>
          <w:b/>
          <w:bCs/>
          <w:color w:val="auto"/>
        </w:rPr>
      </w:pPr>
      <w:r>
        <w:rPr>
          <w:rFonts w:hint="eastAsia"/>
          <w:b/>
          <w:bCs/>
          <w:color w:val="auto"/>
        </w:rPr>
        <w:t>6</w:t>
      </w:r>
      <w:r>
        <w:rPr>
          <w:rFonts w:hint="eastAsia"/>
          <w:b/>
          <w:bCs/>
          <w:color w:val="auto"/>
          <w:lang w:val="en-US" w:eastAsia="zh-CN"/>
        </w:rPr>
        <w:t>.2.5.2</w:t>
      </w:r>
      <w:r>
        <w:rPr>
          <w:rFonts w:hint="eastAsia"/>
          <w:b/>
          <w:bCs/>
          <w:color w:val="auto"/>
        </w:rPr>
        <w:t xml:space="preserve"> 固废的贮存</w:t>
      </w:r>
    </w:p>
    <w:p w14:paraId="26DF3E8D">
      <w:pPr>
        <w:ind w:firstLine="480" w:firstLineChars="200"/>
        <w:rPr>
          <w:rFonts w:cs="Times New Roman"/>
          <w:color w:val="auto"/>
          <w:szCs w:val="28"/>
        </w:rPr>
      </w:pPr>
      <w:r>
        <w:rPr>
          <w:rFonts w:hint="eastAsia"/>
          <w:color w:val="auto"/>
          <w:szCs w:val="28"/>
        </w:rPr>
        <w:t>①</w:t>
      </w:r>
      <w:r>
        <w:rPr>
          <w:rFonts w:cs="Times New Roman"/>
          <w:color w:val="auto"/>
          <w:szCs w:val="28"/>
        </w:rPr>
        <w:t>一般固废贮存</w:t>
      </w:r>
    </w:p>
    <w:p w14:paraId="5EE0BF5A">
      <w:pPr>
        <w:ind w:firstLine="480" w:firstLineChars="200"/>
        <w:rPr>
          <w:rFonts w:cs="Times New Roman"/>
          <w:color w:val="auto"/>
          <w:szCs w:val="28"/>
        </w:rPr>
      </w:pPr>
      <w:r>
        <w:rPr>
          <w:rFonts w:cs="Times New Roman"/>
          <w:color w:val="auto"/>
          <w:szCs w:val="28"/>
        </w:rPr>
        <w:t>一般固体废物由内膜编织袋收集封口后暂时存放委托物资公司或厂家回收。</w:t>
      </w:r>
    </w:p>
    <w:p w14:paraId="738B0E2D">
      <w:pPr>
        <w:ind w:firstLine="480" w:firstLineChars="200"/>
        <w:rPr>
          <w:rFonts w:cs="Times New Roman"/>
          <w:color w:val="auto"/>
          <w:szCs w:val="28"/>
        </w:rPr>
      </w:pPr>
      <w:r>
        <w:rPr>
          <w:rFonts w:hint="eastAsia"/>
          <w:color w:val="auto"/>
          <w:szCs w:val="28"/>
        </w:rPr>
        <w:t>②</w:t>
      </w:r>
      <w:r>
        <w:rPr>
          <w:rFonts w:cs="Times New Roman"/>
          <w:color w:val="auto"/>
          <w:szCs w:val="28"/>
        </w:rPr>
        <w:t>危险废物的贮存</w:t>
      </w:r>
    </w:p>
    <w:p w14:paraId="520E965C">
      <w:pPr>
        <w:ind w:firstLine="480" w:firstLineChars="200"/>
        <w:rPr>
          <w:rFonts w:cs="Times New Roman"/>
          <w:color w:val="auto"/>
          <w:szCs w:val="28"/>
        </w:rPr>
      </w:pPr>
      <w:r>
        <w:rPr>
          <w:rFonts w:hint="eastAsia" w:cs="Times New Roman"/>
          <w:color w:val="auto"/>
          <w:szCs w:val="28"/>
          <w:lang w:val="en-US" w:eastAsia="zh-CN"/>
        </w:rPr>
        <w:t>本次技改</w:t>
      </w:r>
      <w:r>
        <w:rPr>
          <w:rFonts w:cs="Times New Roman"/>
          <w:color w:val="auto"/>
          <w:szCs w:val="28"/>
        </w:rPr>
        <w:t>项目</w:t>
      </w:r>
      <w:r>
        <w:rPr>
          <w:rFonts w:hint="eastAsia" w:cs="Times New Roman"/>
          <w:color w:val="auto"/>
          <w:szCs w:val="28"/>
          <w:lang w:val="en-US" w:eastAsia="zh-CN"/>
        </w:rPr>
        <w:t>依托现有工程</w:t>
      </w:r>
      <w:r>
        <w:rPr>
          <w:rFonts w:cs="Times New Roman"/>
          <w:color w:val="auto"/>
          <w:szCs w:val="28"/>
        </w:rPr>
        <w:t>一间</w:t>
      </w:r>
      <w:r>
        <w:rPr>
          <w:rFonts w:hint="eastAsia" w:cs="Times New Roman"/>
          <w:color w:val="auto"/>
          <w:szCs w:val="28"/>
        </w:rPr>
        <w:t>面积为</w:t>
      </w:r>
      <w:r>
        <w:rPr>
          <w:rFonts w:hint="eastAsia" w:cs="Times New Roman"/>
          <w:color w:val="auto"/>
          <w:szCs w:val="28"/>
          <w:lang w:val="en-US" w:eastAsia="zh-CN"/>
        </w:rPr>
        <w:t>297</w:t>
      </w:r>
      <w:r>
        <w:rPr>
          <w:rFonts w:hint="eastAsia" w:cs="Times New Roman"/>
          <w:color w:val="auto"/>
          <w:szCs w:val="28"/>
        </w:rPr>
        <w:t>m</w:t>
      </w:r>
      <w:r>
        <w:rPr>
          <w:rFonts w:hint="eastAsia" w:cs="Times New Roman"/>
          <w:color w:val="auto"/>
          <w:szCs w:val="28"/>
          <w:vertAlign w:val="superscript"/>
        </w:rPr>
        <w:t>2</w:t>
      </w:r>
      <w:r>
        <w:rPr>
          <w:rFonts w:hint="eastAsia" w:cs="Times New Roman"/>
          <w:color w:val="auto"/>
          <w:szCs w:val="28"/>
        </w:rPr>
        <w:t>的</w:t>
      </w:r>
      <w:r>
        <w:rPr>
          <w:rFonts w:cs="Times New Roman"/>
          <w:color w:val="auto"/>
          <w:szCs w:val="28"/>
        </w:rPr>
        <w:t>危废暂存间，危废暂存间贮存过程应采取以下措施：</w:t>
      </w:r>
    </w:p>
    <w:p w14:paraId="78204DD6">
      <w:pPr>
        <w:ind w:firstLine="480" w:firstLineChars="200"/>
        <w:rPr>
          <w:rFonts w:cs="Times New Roman"/>
          <w:color w:val="auto"/>
          <w:szCs w:val="28"/>
        </w:rPr>
      </w:pPr>
      <w:r>
        <w:rPr>
          <w:rFonts w:cs="Times New Roman"/>
          <w:color w:val="auto"/>
          <w:szCs w:val="28"/>
        </w:rPr>
        <w:t>a危险废物存放处应为独立封闭空间，并设置明显的警示标志，危险废物临时贮存时间不得超过半年；</w:t>
      </w:r>
    </w:p>
    <w:p w14:paraId="515EB6AC">
      <w:pPr>
        <w:ind w:firstLine="480" w:firstLineChars="200"/>
        <w:rPr>
          <w:rFonts w:cs="Times New Roman"/>
          <w:color w:val="auto"/>
          <w:szCs w:val="28"/>
        </w:rPr>
      </w:pPr>
      <w:r>
        <w:rPr>
          <w:rFonts w:cs="Times New Roman"/>
          <w:color w:val="auto"/>
          <w:szCs w:val="28"/>
        </w:rPr>
        <w:t>b危险废物的贮存必须严格执行《危险废物贮存污染控制标准》（GB18597-20</w:t>
      </w:r>
      <w:r>
        <w:rPr>
          <w:rFonts w:hint="eastAsia" w:cs="Times New Roman"/>
          <w:color w:val="auto"/>
          <w:szCs w:val="28"/>
        </w:rPr>
        <w:t>23</w:t>
      </w:r>
      <w:r>
        <w:rPr>
          <w:rFonts w:cs="Times New Roman"/>
          <w:color w:val="auto"/>
          <w:szCs w:val="28"/>
        </w:rPr>
        <w:t>）要求，设置专门的危废贮存容器，不相容的危险废物不得贮存于同一容器内，液体危险废物贮存时应在容器上留有不大于70mm的通气孔；</w:t>
      </w:r>
    </w:p>
    <w:p w14:paraId="34CA1688">
      <w:pPr>
        <w:ind w:firstLine="480" w:firstLineChars="200"/>
        <w:rPr>
          <w:rFonts w:cs="Times New Roman"/>
          <w:color w:val="auto"/>
          <w:szCs w:val="28"/>
        </w:rPr>
      </w:pPr>
      <w:r>
        <w:rPr>
          <w:rFonts w:cs="Times New Roman"/>
          <w:color w:val="auto"/>
          <w:szCs w:val="28"/>
        </w:rPr>
        <w:t>c危废间地面应设HDPE防渗膜，渗透系数≤10</w:t>
      </w:r>
      <w:r>
        <w:rPr>
          <w:rFonts w:cs="Times New Roman"/>
          <w:color w:val="auto"/>
          <w:szCs w:val="28"/>
          <w:vertAlign w:val="superscript"/>
        </w:rPr>
        <w:t>-10</w:t>
      </w:r>
      <w:r>
        <w:rPr>
          <w:rFonts w:cs="Times New Roman"/>
          <w:color w:val="auto"/>
          <w:szCs w:val="28"/>
        </w:rPr>
        <w:t>cm/s；</w:t>
      </w:r>
    </w:p>
    <w:p w14:paraId="41E4A470">
      <w:pPr>
        <w:ind w:firstLine="480" w:firstLineChars="200"/>
        <w:rPr>
          <w:rFonts w:cs="Times New Roman"/>
          <w:color w:val="auto"/>
          <w:szCs w:val="28"/>
        </w:rPr>
      </w:pPr>
      <w:r>
        <w:rPr>
          <w:rFonts w:cs="Times New Roman"/>
          <w:color w:val="auto"/>
          <w:szCs w:val="28"/>
        </w:rPr>
        <w:t>d</w:t>
      </w:r>
      <w:r>
        <w:rPr>
          <w:rFonts w:hint="eastAsia" w:cs="Times New Roman"/>
          <w:color w:val="auto"/>
          <w:szCs w:val="28"/>
          <w:lang w:val="en-US" w:eastAsia="zh-CN"/>
        </w:rPr>
        <w:t>危废间放置托盘，危险废物收集后分类放置于托盘中</w:t>
      </w:r>
      <w:r>
        <w:rPr>
          <w:rFonts w:cs="Times New Roman"/>
          <w:color w:val="auto"/>
          <w:szCs w:val="28"/>
        </w:rPr>
        <w:t>；</w:t>
      </w:r>
    </w:p>
    <w:p w14:paraId="30D70F38">
      <w:pPr>
        <w:ind w:firstLine="480" w:firstLineChars="200"/>
        <w:rPr>
          <w:rFonts w:cs="Times New Roman"/>
          <w:color w:val="auto"/>
          <w:szCs w:val="28"/>
        </w:rPr>
      </w:pPr>
      <w:r>
        <w:rPr>
          <w:rFonts w:cs="Times New Roman"/>
          <w:color w:val="auto"/>
          <w:szCs w:val="28"/>
        </w:rPr>
        <w:t>e危废贮存容器上应粘贴相应贮存物质标签，专人管理，并做好记录；项目危险废物的转运需严格执行联单管理制度。</w:t>
      </w:r>
    </w:p>
    <w:p w14:paraId="79643F5C">
      <w:pPr>
        <w:rPr>
          <w:b/>
          <w:bCs/>
          <w:color w:val="auto"/>
        </w:rPr>
      </w:pPr>
      <w:r>
        <w:rPr>
          <w:rFonts w:hint="eastAsia"/>
          <w:b/>
          <w:bCs/>
          <w:color w:val="auto"/>
        </w:rPr>
        <w:t>6</w:t>
      </w:r>
      <w:r>
        <w:rPr>
          <w:rFonts w:hint="eastAsia"/>
          <w:b/>
          <w:bCs/>
          <w:color w:val="auto"/>
          <w:lang w:val="en-US" w:eastAsia="zh-CN"/>
        </w:rPr>
        <w:t>.2.5</w:t>
      </w:r>
      <w:r>
        <w:rPr>
          <w:rFonts w:hint="eastAsia"/>
          <w:b/>
          <w:bCs/>
          <w:color w:val="auto"/>
        </w:rPr>
        <w:t>.3 固废的转运</w:t>
      </w:r>
    </w:p>
    <w:p w14:paraId="11983C86">
      <w:pPr>
        <w:ind w:firstLine="480" w:firstLineChars="200"/>
        <w:rPr>
          <w:rFonts w:cs="Times New Roman"/>
          <w:color w:val="auto"/>
          <w:szCs w:val="28"/>
        </w:rPr>
      </w:pPr>
      <w:r>
        <w:rPr>
          <w:rFonts w:cs="Times New Roman"/>
          <w:color w:val="auto"/>
          <w:szCs w:val="28"/>
        </w:rPr>
        <w:t>本</w:t>
      </w:r>
      <w:r>
        <w:rPr>
          <w:rFonts w:hint="eastAsia" w:cs="Times New Roman"/>
          <w:color w:val="auto"/>
          <w:szCs w:val="28"/>
          <w:lang w:val="en-US" w:eastAsia="zh-CN"/>
        </w:rPr>
        <w:t>次技改</w:t>
      </w:r>
      <w:r>
        <w:rPr>
          <w:rFonts w:cs="Times New Roman"/>
          <w:color w:val="auto"/>
          <w:szCs w:val="28"/>
        </w:rPr>
        <w:t>项目产生危险废物由委托的危险废物处理单位负责转运；危险废物的转运应按照《危险废物收集贮存运输技术规范》（HJ2025-2012）的要求进行，具体如下：</w:t>
      </w:r>
    </w:p>
    <w:p w14:paraId="09F1B4AA">
      <w:pPr>
        <w:ind w:firstLine="480" w:firstLineChars="200"/>
        <w:rPr>
          <w:rFonts w:cs="Times New Roman"/>
          <w:color w:val="auto"/>
          <w:szCs w:val="28"/>
        </w:rPr>
      </w:pPr>
      <w:r>
        <w:rPr>
          <w:rFonts w:hint="eastAsia"/>
          <w:color w:val="auto"/>
          <w:szCs w:val="28"/>
        </w:rPr>
        <w:t>①</w:t>
      </w:r>
      <w:r>
        <w:rPr>
          <w:rFonts w:cs="Times New Roman"/>
          <w:color w:val="auto"/>
          <w:szCs w:val="28"/>
        </w:rPr>
        <w:t>危险废物的运输由持有危险废物经营许可证的单位组织实施，并按照相关危险货物运输管理规定执行；</w:t>
      </w:r>
    </w:p>
    <w:p w14:paraId="0A01010E">
      <w:pPr>
        <w:ind w:firstLine="480" w:firstLineChars="200"/>
        <w:rPr>
          <w:rFonts w:cs="Times New Roman"/>
          <w:color w:val="auto"/>
          <w:szCs w:val="28"/>
        </w:rPr>
      </w:pPr>
      <w:r>
        <w:rPr>
          <w:rFonts w:hint="eastAsia"/>
          <w:color w:val="auto"/>
          <w:szCs w:val="28"/>
        </w:rPr>
        <w:t>②</w:t>
      </w:r>
      <w:r>
        <w:rPr>
          <w:rFonts w:cs="Times New Roman"/>
          <w:color w:val="auto"/>
          <w:szCs w:val="28"/>
        </w:rPr>
        <w:t>拟建项目危险废物运输采用公路运输方式，应按照《道路危险货物运输管理规定》（交通部令[2005]第9号）执行。运输单位承运危险废物时，应在危险废物包装上按照GB18597附录A设置标志，运输车辆应按GB13392设立车辆标志。危险废物运输车辆应配备符合有关国家标准以及与所载运的危险货物相适应的应急处理器材和安全防护设备。</w:t>
      </w:r>
    </w:p>
    <w:p w14:paraId="192C7E72">
      <w:pPr>
        <w:ind w:firstLine="480" w:firstLineChars="200"/>
        <w:rPr>
          <w:rFonts w:cs="Times New Roman"/>
          <w:bCs/>
          <w:snapToGrid w:val="0"/>
          <w:color w:val="auto"/>
        </w:rPr>
      </w:pPr>
      <w:r>
        <w:rPr>
          <w:rFonts w:hint="eastAsia"/>
          <w:color w:val="auto"/>
          <w:szCs w:val="28"/>
        </w:rPr>
        <w:t>③</w:t>
      </w:r>
      <w:r>
        <w:rPr>
          <w:rFonts w:cs="Times New Roman"/>
          <w:color w:val="auto"/>
          <w:szCs w:val="28"/>
        </w:rPr>
        <w:t>危险废物运输时的装卸应遵照如下技术要求：a.装卸区的工作人员应熟悉危险废物的危险特性，并配备适当的个人防护装备，如橡胶手套、防护服和口罩。b.装卸区域应配备必要的消防设备和设施，并设置明显的指示标志。装卸区域应设置隔离设施。</w:t>
      </w:r>
    </w:p>
    <w:p w14:paraId="7605ECEA">
      <w:pPr>
        <w:rPr>
          <w:b/>
          <w:bCs/>
          <w:color w:val="auto"/>
        </w:rPr>
      </w:pPr>
      <w:r>
        <w:rPr>
          <w:rFonts w:hint="eastAsia"/>
          <w:b/>
          <w:bCs/>
          <w:color w:val="auto"/>
        </w:rPr>
        <w:t>6</w:t>
      </w:r>
      <w:r>
        <w:rPr>
          <w:rFonts w:hint="eastAsia"/>
          <w:b/>
          <w:bCs/>
          <w:color w:val="auto"/>
          <w:lang w:val="en-US" w:eastAsia="zh-CN"/>
        </w:rPr>
        <w:t>.2.5</w:t>
      </w:r>
      <w:r>
        <w:rPr>
          <w:b/>
          <w:bCs/>
          <w:color w:val="auto"/>
        </w:rPr>
        <w:t>.</w:t>
      </w:r>
      <w:r>
        <w:rPr>
          <w:rFonts w:hint="eastAsia"/>
          <w:b/>
          <w:bCs/>
          <w:color w:val="auto"/>
          <w:lang w:val="en-US" w:eastAsia="zh-CN"/>
        </w:rPr>
        <w:t>4</w:t>
      </w:r>
      <w:r>
        <w:rPr>
          <w:b/>
          <w:bCs/>
          <w:color w:val="auto"/>
        </w:rPr>
        <w:t xml:space="preserve"> 固废影响分析</w:t>
      </w:r>
    </w:p>
    <w:p w14:paraId="28B3799E">
      <w:pPr>
        <w:ind w:firstLine="480" w:firstLineChars="200"/>
        <w:rPr>
          <w:rFonts w:cs="Times New Roman"/>
          <w:color w:val="auto"/>
          <w:szCs w:val="28"/>
        </w:rPr>
      </w:pPr>
      <w:r>
        <w:rPr>
          <w:rFonts w:cs="Times New Roman"/>
          <w:color w:val="auto"/>
          <w:szCs w:val="28"/>
        </w:rPr>
        <w:t>项目针对固体废物的产生情况采取了合理的处置措施，固体废物的收集、贮运和转运环节也严格按照《一般工业固体废物贮存和填埋污染控制标准》（GB18599-2020）及其修改单标准、《危险废物贮存污染控制标准》（GB18597-20</w:t>
      </w:r>
      <w:r>
        <w:rPr>
          <w:rFonts w:hint="eastAsia" w:cs="Times New Roman"/>
          <w:color w:val="auto"/>
          <w:szCs w:val="28"/>
        </w:rPr>
        <w:t>23</w:t>
      </w:r>
      <w:r>
        <w:rPr>
          <w:rFonts w:cs="Times New Roman"/>
          <w:color w:val="auto"/>
          <w:szCs w:val="28"/>
        </w:rPr>
        <w:t>）以及《危险废物收集贮存运输技术规范》（HJ2025-2012）等相关规范进行。</w:t>
      </w:r>
    </w:p>
    <w:p w14:paraId="20ED8165">
      <w:pPr>
        <w:bidi w:val="0"/>
        <w:ind w:firstLine="480" w:firstLineChars="200"/>
        <w:rPr>
          <w:rFonts w:hint="default"/>
          <w:lang w:val="en-US" w:eastAsia="zh-CN"/>
        </w:rPr>
      </w:pPr>
      <w:r>
        <w:rPr>
          <w:rFonts w:cs="Times New Roman"/>
          <w:color w:val="auto"/>
          <w:szCs w:val="28"/>
        </w:rPr>
        <w:t>综上所述，</w:t>
      </w:r>
      <w:r>
        <w:rPr>
          <w:rFonts w:cs="Times New Roman"/>
          <w:bCs/>
          <w:snapToGrid w:val="0"/>
          <w:color w:val="auto"/>
        </w:rPr>
        <w:t>本项目固体废物严格按照上述措施</w:t>
      </w:r>
      <w:r>
        <w:rPr>
          <w:rFonts w:hint="eastAsia" w:cs="Times New Roman"/>
          <w:bCs/>
          <w:snapToGrid w:val="0"/>
          <w:color w:val="auto"/>
        </w:rPr>
        <w:t>贮存、</w:t>
      </w:r>
      <w:r>
        <w:rPr>
          <w:rFonts w:cs="Times New Roman"/>
          <w:bCs/>
          <w:snapToGrid w:val="0"/>
          <w:color w:val="auto"/>
        </w:rPr>
        <w:t>处置后，</w:t>
      </w:r>
      <w:r>
        <w:rPr>
          <w:rFonts w:hint="eastAsia" w:cs="Times New Roman"/>
          <w:bCs/>
          <w:snapToGrid w:val="0"/>
          <w:color w:val="auto"/>
        </w:rPr>
        <w:t>能够</w:t>
      </w:r>
      <w:r>
        <w:rPr>
          <w:rFonts w:cs="Times New Roman"/>
          <w:bCs/>
          <w:snapToGrid w:val="0"/>
          <w:color w:val="auto"/>
        </w:rPr>
        <w:t>满足固体废物环保控制要求，不会对周围环境造成二次污染。</w:t>
      </w:r>
      <w:r>
        <w:rPr>
          <w:rFonts w:cs="Times New Roman"/>
          <w:color w:val="auto"/>
          <w:szCs w:val="28"/>
        </w:rPr>
        <w:t>项目产生的固体废物对周围环境的影响较小。</w:t>
      </w:r>
    </w:p>
    <w:p w14:paraId="3CD0E4C1">
      <w:pPr>
        <w:bidi w:val="0"/>
        <w:rPr>
          <w:rFonts w:hint="default"/>
          <w:lang w:val="en-US" w:eastAsia="zh-CN"/>
        </w:rPr>
      </w:pPr>
    </w:p>
    <w:p w14:paraId="5024318C">
      <w:pPr>
        <w:bidi w:val="0"/>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224E965D">
      <w:pPr>
        <w:bidi w:val="0"/>
        <w:rPr>
          <w:rFonts w:hint="default"/>
          <w:b/>
          <w:bCs/>
          <w:lang w:val="en-US" w:eastAsia="zh-CN"/>
        </w:rPr>
      </w:pPr>
      <w:bookmarkStart w:id="95" w:name="_Toc68864847"/>
      <w:r>
        <w:rPr>
          <w:rFonts w:hint="default"/>
          <w:b/>
          <w:bCs/>
          <w:lang w:val="en-US" w:eastAsia="zh-CN"/>
        </w:rPr>
        <w:t>6.2.6 环境风险</w:t>
      </w:r>
      <w:bookmarkEnd w:id="95"/>
      <w:r>
        <w:rPr>
          <w:rFonts w:hint="default"/>
          <w:b/>
          <w:bCs/>
          <w:lang w:val="en-US" w:eastAsia="zh-CN"/>
        </w:rPr>
        <w:t>影响预测与评价</w:t>
      </w:r>
    </w:p>
    <w:p w14:paraId="78806DBD">
      <w:pPr>
        <w:bidi w:val="0"/>
        <w:rPr>
          <w:rFonts w:hint="default"/>
          <w:b/>
          <w:bCs/>
          <w:lang w:val="en-US" w:eastAsia="zh-CN"/>
        </w:rPr>
      </w:pPr>
      <w:r>
        <w:rPr>
          <w:rFonts w:hint="default"/>
          <w:b/>
          <w:bCs/>
          <w:lang w:val="en-US" w:eastAsia="zh-CN"/>
        </w:rPr>
        <w:t>6.2.6.1 现有工程环境风险防范措施</w:t>
      </w:r>
    </w:p>
    <w:p w14:paraId="13BE1BB8">
      <w:pPr>
        <w:bidi w:val="0"/>
        <w:ind w:firstLine="480" w:firstLineChars="200"/>
        <w:rPr>
          <w:rFonts w:hint="default"/>
          <w:lang w:val="en-US" w:eastAsia="zh-CN"/>
        </w:rPr>
      </w:pPr>
      <w:r>
        <w:rPr>
          <w:rFonts w:hint="default"/>
          <w:lang w:val="en-US" w:eastAsia="zh-CN"/>
        </w:rPr>
        <w:t>安徽晶科能源有限公司已编制了突发环境事件应急预案并备案（备案编号：340122-2024-32-H），现有工程环境风险级别为</w:t>
      </w:r>
      <w:r>
        <w:rPr>
          <w:rFonts w:hint="eastAsia"/>
          <w:lang w:val="en-US" w:eastAsia="zh-CN"/>
        </w:rPr>
        <w:t>“</w:t>
      </w:r>
      <w:r>
        <w:rPr>
          <w:rFonts w:hint="default"/>
          <w:lang w:val="en-US" w:eastAsia="zh-CN"/>
        </w:rPr>
        <w:t>重大[重大-大气（Q3-M2-E2）+</w:t>
      </w:r>
      <w:r>
        <w:rPr>
          <w:rFonts w:hint="eastAsia"/>
          <w:lang w:val="en-US" w:eastAsia="zh-CN"/>
        </w:rPr>
        <w:t>重大</w:t>
      </w:r>
      <w:r>
        <w:rPr>
          <w:rFonts w:hint="default"/>
          <w:lang w:val="en-US" w:eastAsia="zh-CN"/>
        </w:rPr>
        <w:t>-水（Q3-M2-E</w:t>
      </w:r>
      <w:r>
        <w:rPr>
          <w:rFonts w:hint="eastAsia"/>
          <w:lang w:val="en-US" w:eastAsia="zh-CN"/>
        </w:rPr>
        <w:t>2</w:t>
      </w:r>
      <w:r>
        <w:rPr>
          <w:rFonts w:hint="default"/>
          <w:lang w:val="en-US" w:eastAsia="zh-CN"/>
        </w:rPr>
        <w:t>）]</w:t>
      </w:r>
      <w:r>
        <w:rPr>
          <w:rFonts w:hint="eastAsia"/>
          <w:lang w:val="en-US" w:eastAsia="zh-CN"/>
        </w:rPr>
        <w:t>”</w:t>
      </w:r>
      <w:r>
        <w:rPr>
          <w:rFonts w:hint="default"/>
          <w:lang w:val="en-US" w:eastAsia="zh-CN"/>
        </w:rPr>
        <w:t>。</w:t>
      </w:r>
    </w:p>
    <w:p w14:paraId="75BA7942">
      <w:pPr>
        <w:bidi w:val="0"/>
        <w:ind w:firstLine="480" w:firstLineChars="200"/>
        <w:rPr>
          <w:rFonts w:hint="default"/>
          <w:lang w:val="en-US" w:eastAsia="zh-CN"/>
        </w:rPr>
      </w:pPr>
      <w:r>
        <w:rPr>
          <w:rFonts w:hint="default"/>
          <w:lang w:val="en-US" w:eastAsia="zh-CN"/>
        </w:rPr>
        <w:t>公司成立了以总经理为总指挥、副总经理和安全总监为副总指挥和各部门经理为成员的应急组织管理体系，并组建了应急救援队伍（包括抢险救援组、污染处置组、后勤保障组、警戒疏散组、医疗救护组）。公司积极组织员工进行应急演练，并将突发环境事件应急预案与周边企业应急预案进行联动，同时与</w:t>
      </w:r>
      <w:r>
        <w:rPr>
          <w:rFonts w:hint="eastAsia"/>
          <w:lang w:val="en-US" w:eastAsia="zh-CN"/>
        </w:rPr>
        <w:t>合肥循环经济示范园</w:t>
      </w:r>
      <w:r>
        <w:rPr>
          <w:rFonts w:hint="default"/>
          <w:lang w:val="en-US" w:eastAsia="zh-CN"/>
        </w:rPr>
        <w:t>环境风险应急预案、</w:t>
      </w:r>
      <w:r>
        <w:rPr>
          <w:rFonts w:hint="eastAsia"/>
          <w:lang w:val="en-US" w:eastAsia="zh-CN"/>
        </w:rPr>
        <w:t>肥东</w:t>
      </w:r>
      <w:r>
        <w:rPr>
          <w:rFonts w:hint="default"/>
          <w:lang w:val="en-US" w:eastAsia="zh-CN"/>
        </w:rPr>
        <w:t>县突发环境事件应急预案以及</w:t>
      </w:r>
      <w:r>
        <w:rPr>
          <w:rFonts w:hint="eastAsia"/>
          <w:lang w:val="en-US" w:eastAsia="zh-CN"/>
        </w:rPr>
        <w:t>合肥</w:t>
      </w:r>
      <w:r>
        <w:rPr>
          <w:rFonts w:hint="default"/>
          <w:lang w:val="en-US" w:eastAsia="zh-CN"/>
        </w:rPr>
        <w:t>市突发环境事件应急预案进行衔接。经核实，企业近3年内未发生过突发环境事件。</w:t>
      </w:r>
    </w:p>
    <w:p w14:paraId="3120AA20">
      <w:pPr>
        <w:bidi w:val="0"/>
        <w:ind w:firstLine="480" w:firstLineChars="200"/>
        <w:rPr>
          <w:rFonts w:hint="default"/>
          <w:lang w:val="en-US" w:eastAsia="zh-CN"/>
        </w:rPr>
      </w:pPr>
      <w:r>
        <w:rPr>
          <w:rFonts w:hint="default"/>
          <w:lang w:val="en-US" w:eastAsia="zh-CN"/>
        </w:rPr>
        <w:t>公司现有工程采取主要环境风险防范措施如下：</w:t>
      </w:r>
    </w:p>
    <w:p w14:paraId="017DC1BE">
      <w:pPr>
        <w:bidi w:val="0"/>
        <w:ind w:firstLine="480" w:firstLineChars="200"/>
        <w:rPr>
          <w:rFonts w:hint="default"/>
          <w:lang w:val="en-US" w:eastAsia="zh-CN"/>
        </w:rPr>
      </w:pPr>
      <w:r>
        <w:rPr>
          <w:rFonts w:hint="default"/>
          <w:lang w:val="en-US" w:eastAsia="zh-CN"/>
        </w:rPr>
        <w:t>（1）定期对各机械设备管道、阀门的检查、检漏、检验和日常巡查的点检、保养维护工作。</w:t>
      </w:r>
      <w:r>
        <w:rPr>
          <w:rFonts w:hint="eastAsia"/>
          <w:lang w:val="en-US" w:eastAsia="zh-CN"/>
        </w:rPr>
        <w:t>电池</w:t>
      </w:r>
      <w:r>
        <w:rPr>
          <w:rFonts w:hint="default"/>
          <w:lang w:val="en-US" w:eastAsia="zh-CN"/>
        </w:rPr>
        <w:t>生产车间、储罐区及仓库均设置自动手动火灾报警器并于控制室相连，一旦发生火灾可自动警报。储罐</w:t>
      </w:r>
      <w:r>
        <w:rPr>
          <w:rFonts w:hint="eastAsia"/>
          <w:lang w:val="en-US" w:eastAsia="zh-CN"/>
        </w:rPr>
        <w:t>区</w:t>
      </w:r>
      <w:r>
        <w:rPr>
          <w:rFonts w:hint="default"/>
          <w:lang w:val="en-US" w:eastAsia="zh-CN"/>
        </w:rPr>
        <w:t>设置液位报警器且配套围堰，围堰内地面设防渗层和导流沟。</w:t>
      </w:r>
    </w:p>
    <w:p w14:paraId="2DFEF193">
      <w:pPr>
        <w:bidi w:val="0"/>
        <w:ind w:firstLine="480" w:firstLineChars="200"/>
        <w:rPr>
          <w:rFonts w:hint="default"/>
          <w:lang w:val="en-US" w:eastAsia="zh-CN"/>
        </w:rPr>
      </w:pPr>
      <w:r>
        <w:rPr>
          <w:rFonts w:hint="default"/>
          <w:lang w:val="en-US" w:eastAsia="zh-CN"/>
        </w:rPr>
        <w:t>（2）企业已在</w:t>
      </w:r>
      <w:r>
        <w:rPr>
          <w:rFonts w:hint="eastAsia"/>
          <w:lang w:val="en-US" w:eastAsia="zh-CN"/>
        </w:rPr>
        <w:t>电池</w:t>
      </w:r>
      <w:r>
        <w:rPr>
          <w:rFonts w:hint="default"/>
          <w:lang w:val="en-US" w:eastAsia="zh-CN"/>
        </w:rPr>
        <w:t>生产车间和仓库等设置有毒气体探测器和可燃气体探测器，一旦发生泄漏或有毒气体聚集的情况，气体报警器现场和控制室均鸣声警报并自动打开风机进行通风。</w:t>
      </w:r>
    </w:p>
    <w:p w14:paraId="40DB6280">
      <w:pPr>
        <w:bidi w:val="0"/>
        <w:ind w:firstLine="480" w:firstLineChars="200"/>
        <w:rPr>
          <w:rFonts w:hint="default"/>
          <w:lang w:val="en-US" w:eastAsia="zh-CN"/>
        </w:rPr>
      </w:pPr>
      <w:r>
        <w:rPr>
          <w:rFonts w:hint="default"/>
          <w:lang w:val="en-US" w:eastAsia="zh-CN"/>
        </w:rPr>
        <w:t>（3）</w:t>
      </w:r>
      <w:r>
        <w:rPr>
          <w:rFonts w:hint="eastAsia"/>
          <w:lang w:val="en-US" w:eastAsia="zh-CN"/>
        </w:rPr>
        <w:t>现有厂区雨水管网厂区排口前端建设有效容积624m</w:t>
      </w:r>
      <w:r>
        <w:rPr>
          <w:rFonts w:hint="eastAsia"/>
          <w:vertAlign w:val="superscript"/>
          <w:lang w:val="en-US" w:eastAsia="zh-CN"/>
        </w:rPr>
        <w:t>3</w:t>
      </w:r>
      <w:r>
        <w:rPr>
          <w:rFonts w:hint="eastAsia"/>
          <w:lang w:val="en-US" w:eastAsia="zh-CN"/>
        </w:rPr>
        <w:t>的初期雨水池并设置雨水切断阀和提升泵等装置；污水处理站处建设2座容积分别为3060m</w:t>
      </w:r>
      <w:r>
        <w:rPr>
          <w:rFonts w:hint="eastAsia"/>
          <w:vertAlign w:val="superscript"/>
          <w:lang w:val="en-US" w:eastAsia="zh-CN"/>
        </w:rPr>
        <w:t>3</w:t>
      </w:r>
      <w:r>
        <w:rPr>
          <w:rFonts w:hint="eastAsia"/>
          <w:lang w:val="en-US" w:eastAsia="zh-CN"/>
        </w:rPr>
        <w:t>、1306.62m</w:t>
      </w:r>
      <w:r>
        <w:rPr>
          <w:rFonts w:hint="eastAsia"/>
          <w:vertAlign w:val="superscript"/>
          <w:lang w:val="en-US" w:eastAsia="zh-CN"/>
        </w:rPr>
        <w:t>3</w:t>
      </w:r>
      <w:r>
        <w:rPr>
          <w:rFonts w:hint="eastAsia"/>
          <w:lang w:val="en-US" w:eastAsia="zh-CN"/>
        </w:rPr>
        <w:t>的事故应急池1~2，满足项目事故状况的废水临时储存需要</w:t>
      </w:r>
      <w:r>
        <w:rPr>
          <w:rFonts w:hint="default"/>
          <w:lang w:val="en-US" w:eastAsia="zh-CN"/>
        </w:rPr>
        <w:t>。</w:t>
      </w:r>
    </w:p>
    <w:p w14:paraId="1BE8F036">
      <w:pPr>
        <w:bidi w:val="0"/>
        <w:ind w:firstLine="480" w:firstLineChars="200"/>
        <w:rPr>
          <w:rFonts w:hint="default"/>
          <w:lang w:val="en-US" w:eastAsia="zh-CN"/>
        </w:rPr>
      </w:pPr>
      <w:r>
        <w:rPr>
          <w:rFonts w:hint="default"/>
          <w:lang w:val="en-US" w:eastAsia="zh-CN"/>
        </w:rPr>
        <w:t>综上</w:t>
      </w:r>
      <w:r>
        <w:rPr>
          <w:rFonts w:hint="eastAsia"/>
          <w:lang w:val="en-US" w:eastAsia="zh-CN"/>
        </w:rPr>
        <w:t>所述</w:t>
      </w:r>
      <w:r>
        <w:rPr>
          <w:rFonts w:hint="default"/>
          <w:lang w:val="en-US" w:eastAsia="zh-CN"/>
        </w:rPr>
        <w:t>，安徽晶科能源有限公司配备了完善的环境风险应急处置措施，能够有效控制突发环境事故情形下环境风险物质的转移。</w:t>
      </w:r>
    </w:p>
    <w:p w14:paraId="453772DC">
      <w:pPr>
        <w:bidi w:val="0"/>
        <w:rPr>
          <w:rFonts w:hint="default"/>
          <w:b/>
          <w:bCs/>
          <w:lang w:val="en-US" w:eastAsia="zh-CN"/>
        </w:rPr>
      </w:pPr>
      <w:r>
        <w:rPr>
          <w:rFonts w:hint="default"/>
          <w:b/>
          <w:bCs/>
          <w:lang w:val="en-US" w:eastAsia="zh-CN"/>
        </w:rPr>
        <w:t>6.2.6.2 本次</w:t>
      </w:r>
      <w:r>
        <w:rPr>
          <w:rFonts w:hint="eastAsia"/>
          <w:b/>
          <w:bCs/>
          <w:lang w:val="en-US" w:eastAsia="zh-CN"/>
        </w:rPr>
        <w:t>技改项目</w:t>
      </w:r>
      <w:r>
        <w:rPr>
          <w:rFonts w:hint="default"/>
          <w:b/>
          <w:bCs/>
          <w:lang w:val="en-US" w:eastAsia="zh-CN"/>
        </w:rPr>
        <w:t>环境风险影响分析</w:t>
      </w:r>
    </w:p>
    <w:p w14:paraId="2236DFBF">
      <w:pPr>
        <w:bidi w:val="0"/>
        <w:rPr>
          <w:rFonts w:hint="default"/>
          <w:b/>
          <w:bCs/>
          <w:lang w:val="en-US" w:eastAsia="zh-CN"/>
        </w:rPr>
      </w:pPr>
      <w:r>
        <w:rPr>
          <w:rFonts w:hint="default"/>
          <w:b/>
          <w:bCs/>
          <w:lang w:val="en-US" w:eastAsia="zh-CN"/>
        </w:rPr>
        <w:t>6.2.6.2.1 风险源调查</w:t>
      </w:r>
    </w:p>
    <w:p w14:paraId="38C4DA2A">
      <w:pPr>
        <w:bidi w:val="0"/>
        <w:ind w:firstLine="480" w:firstLineChars="200"/>
        <w:rPr>
          <w:rFonts w:ascii="Times New Roman" w:hAnsi="Times New Roman" w:cs="Times New Roman"/>
        </w:rPr>
      </w:pPr>
      <w:r>
        <w:rPr>
          <w:rFonts w:hint="eastAsia"/>
          <w:color w:val="auto"/>
          <w:lang w:val="en-US" w:eastAsia="zh-CN"/>
        </w:rPr>
        <w:t>本次技改项目主要位于电池片1车间，同时依托现有工程1车间辅料仓（银浆、银包铜浆料）、特气房（三甲基铝）等储运单元以及污水处理站和危废暂存间等环保单元。</w:t>
      </w:r>
      <w:r>
        <w:rPr>
          <w:color w:val="auto"/>
        </w:rPr>
        <w:t>根据《建设项目环境风险评价技术导则HJ169-2018》附表B和附录C突发环境事件风险物质及临界量表，</w:t>
      </w:r>
      <w:r>
        <w:rPr>
          <w:rFonts w:hint="eastAsia"/>
          <w:color w:val="auto"/>
          <w:lang w:val="en-US" w:eastAsia="zh-CN"/>
        </w:rPr>
        <w:t>本次技改项目涉及到的</w:t>
      </w:r>
      <w:r>
        <w:rPr>
          <w:color w:val="auto"/>
        </w:rPr>
        <w:t>环境风险物质</w:t>
      </w:r>
      <w:r>
        <w:rPr>
          <w:rFonts w:hint="eastAsia"/>
          <w:color w:val="auto"/>
          <w:lang w:val="en-US" w:eastAsia="zh-CN"/>
        </w:rPr>
        <w:t>主要为银浆、银包铜浆料、</w:t>
      </w:r>
      <w:r>
        <w:rPr>
          <w:color w:val="auto"/>
        </w:rPr>
        <w:t>三甲基铝</w:t>
      </w:r>
      <w:r>
        <w:rPr>
          <w:rFonts w:hint="eastAsia"/>
          <w:color w:val="auto"/>
          <w:lang w:val="en-US" w:eastAsia="zh-CN"/>
        </w:rPr>
        <w:t>和危险废物等。本次技改项目生产过程涉及危险物质的高温工艺</w:t>
      </w:r>
      <w:r>
        <w:rPr>
          <w:rFonts w:hint="eastAsia" w:ascii="Times New Roman" w:hAnsi="Times New Roman" w:cs="Times New Roman"/>
          <w:lang w:val="en-US" w:eastAsia="zh-CN"/>
        </w:rPr>
        <w:t>主要</w:t>
      </w:r>
      <w:r>
        <w:rPr>
          <w:rFonts w:ascii="Times New Roman" w:hAnsi="Times New Roman" w:cs="Times New Roman"/>
        </w:rPr>
        <w:t>包括</w:t>
      </w:r>
      <w:r>
        <w:rPr>
          <w:rFonts w:hint="eastAsia" w:cs="Times New Roman"/>
          <w:lang w:val="en-US" w:eastAsia="zh-CN"/>
        </w:rPr>
        <w:t>烧结</w:t>
      </w:r>
      <w:r>
        <w:rPr>
          <w:rFonts w:hint="eastAsia" w:ascii="Times New Roman" w:hAnsi="Times New Roman" w:cs="Times New Roman"/>
        </w:rPr>
        <w:t>工艺</w:t>
      </w:r>
      <w:r>
        <w:rPr>
          <w:rFonts w:hint="eastAsia" w:cs="Times New Roman"/>
          <w:lang w:eastAsia="zh-CN"/>
        </w:rPr>
        <w:t>、</w:t>
      </w:r>
      <w:r>
        <w:rPr>
          <w:rFonts w:hint="eastAsia" w:cs="Times New Roman"/>
          <w:lang w:val="en-US" w:eastAsia="zh-CN"/>
        </w:rPr>
        <w:t>四份片钝化</w:t>
      </w:r>
      <w:r>
        <w:rPr>
          <w:rFonts w:hint="eastAsia" w:ascii="Times New Roman" w:hAnsi="Times New Roman" w:cs="Times New Roman"/>
        </w:rPr>
        <w:t>工艺</w:t>
      </w:r>
      <w:r>
        <w:rPr>
          <w:rFonts w:ascii="Times New Roman" w:hAnsi="Times New Roman" w:cs="Times New Roman"/>
        </w:rPr>
        <w:t>等。</w:t>
      </w:r>
    </w:p>
    <w:p w14:paraId="11AEE865">
      <w:pPr>
        <w:bidi w:val="0"/>
        <w:rPr>
          <w:rFonts w:hint="default"/>
          <w:b/>
          <w:bCs/>
          <w:lang w:val="en-US" w:eastAsia="zh-CN"/>
        </w:rPr>
      </w:pPr>
      <w:r>
        <w:rPr>
          <w:rFonts w:hint="default"/>
          <w:b/>
          <w:bCs/>
          <w:lang w:val="en-US" w:eastAsia="zh-CN"/>
        </w:rPr>
        <w:t>6.2.6.2.2 环境敏感目标调查</w:t>
      </w:r>
    </w:p>
    <w:p w14:paraId="5F33DEF3">
      <w:pPr>
        <w:bidi w:val="0"/>
        <w:ind w:firstLine="480" w:firstLineChars="200"/>
        <w:rPr>
          <w:rFonts w:hint="default"/>
          <w:lang w:val="en-US" w:eastAsia="zh-CN"/>
        </w:rPr>
      </w:pPr>
      <w:r>
        <w:rPr>
          <w:rFonts w:hint="default"/>
          <w:lang w:val="en-US" w:eastAsia="zh-CN"/>
        </w:rPr>
        <w:t>根据对建设项目所在厂址周边环境现状的踏勘，项目附近无自然保护区、文物保护区、风景名胜区、饮用水源地等敏感环境保护目标。本项目主要环境保护目标详见表2.</w:t>
      </w:r>
      <w:r>
        <w:rPr>
          <w:rFonts w:hint="eastAsia"/>
          <w:lang w:val="en-US" w:eastAsia="zh-CN"/>
        </w:rPr>
        <w:t>6</w:t>
      </w:r>
      <w:r>
        <w:rPr>
          <w:rFonts w:hint="default"/>
          <w:lang w:val="en-US" w:eastAsia="zh-CN"/>
        </w:rPr>
        <w:t>-</w:t>
      </w:r>
      <w:r>
        <w:rPr>
          <w:rFonts w:hint="eastAsia"/>
          <w:lang w:val="en-US" w:eastAsia="zh-CN"/>
        </w:rPr>
        <w:t>2</w:t>
      </w:r>
      <w:r>
        <w:rPr>
          <w:rFonts w:hint="default"/>
          <w:lang w:val="en-US" w:eastAsia="zh-CN"/>
        </w:rPr>
        <w:t>。</w:t>
      </w:r>
    </w:p>
    <w:p w14:paraId="11AE31D3">
      <w:pPr>
        <w:bidi w:val="0"/>
        <w:rPr>
          <w:rFonts w:hint="default"/>
          <w:b/>
          <w:bCs/>
          <w:lang w:val="en-US" w:eastAsia="zh-CN"/>
        </w:rPr>
      </w:pPr>
      <w:r>
        <w:rPr>
          <w:rFonts w:hint="default"/>
          <w:b/>
          <w:bCs/>
          <w:lang w:val="en-US" w:eastAsia="zh-CN"/>
        </w:rPr>
        <w:t>6.2.6.2.3 环境风险潜势初判</w:t>
      </w:r>
    </w:p>
    <w:p w14:paraId="1453CB13">
      <w:pPr>
        <w:bidi w:val="0"/>
        <w:ind w:firstLine="480" w:firstLineChars="200"/>
        <w:rPr>
          <w:rFonts w:hint="default"/>
          <w:lang w:val="en-US" w:eastAsia="zh-CN"/>
        </w:rPr>
      </w:pPr>
      <w:r>
        <w:rPr>
          <w:rFonts w:hint="default"/>
          <w:lang w:val="en-US" w:eastAsia="zh-CN"/>
        </w:rPr>
        <w:t>本次</w:t>
      </w:r>
      <w:r>
        <w:rPr>
          <w:rFonts w:hint="eastAsia"/>
          <w:lang w:val="en-US" w:eastAsia="zh-CN"/>
        </w:rPr>
        <w:t>技改</w:t>
      </w:r>
      <w:r>
        <w:rPr>
          <w:rFonts w:hint="default"/>
          <w:lang w:val="en-US" w:eastAsia="zh-CN"/>
        </w:rPr>
        <w:t>项目大气环境、地表水和地下水环境风险潜势判定过程见2.</w:t>
      </w:r>
      <w:r>
        <w:rPr>
          <w:rFonts w:hint="eastAsia"/>
          <w:lang w:val="en-US" w:eastAsia="zh-CN"/>
        </w:rPr>
        <w:t>4</w:t>
      </w:r>
      <w:r>
        <w:rPr>
          <w:rFonts w:hint="default"/>
          <w:lang w:val="en-US" w:eastAsia="zh-CN"/>
        </w:rPr>
        <w:t>.1章节，大气环境风险潜势为Ⅳ级，地表水环境风险潜势为Ⅲ级，地下水环境风险潜势为Ⅲ级，综合判定本项目环境风险评价等级为一级。</w:t>
      </w:r>
    </w:p>
    <w:p w14:paraId="45249661">
      <w:pPr>
        <w:bidi w:val="0"/>
        <w:rPr>
          <w:rFonts w:hint="default"/>
          <w:b/>
          <w:bCs/>
          <w:lang w:val="en-US" w:eastAsia="zh-CN"/>
        </w:rPr>
      </w:pPr>
      <w:r>
        <w:rPr>
          <w:rFonts w:hint="default"/>
          <w:b/>
          <w:bCs/>
          <w:lang w:val="en-US" w:eastAsia="zh-CN"/>
        </w:rPr>
        <w:t>6.2.6.2.4 环境风险识别</w:t>
      </w:r>
    </w:p>
    <w:p w14:paraId="0C3B571C">
      <w:pPr>
        <w:bidi w:val="0"/>
        <w:ind w:firstLine="480" w:firstLineChars="200"/>
        <w:rPr>
          <w:rFonts w:hint="default"/>
          <w:lang w:val="en-US" w:eastAsia="zh-CN"/>
        </w:rPr>
      </w:pPr>
      <w:r>
        <w:rPr>
          <w:rFonts w:hint="default"/>
          <w:lang w:val="en-US" w:eastAsia="zh-CN"/>
        </w:rPr>
        <w:t>1、物质危险性识别</w:t>
      </w:r>
    </w:p>
    <w:p w14:paraId="7DF57862">
      <w:pPr>
        <w:bidi w:val="0"/>
        <w:ind w:firstLine="480" w:firstLineChars="200"/>
        <w:rPr>
          <w:rFonts w:hint="default"/>
          <w:lang w:val="en-US" w:eastAsia="zh-CN"/>
        </w:rPr>
      </w:pPr>
      <w:r>
        <w:rPr>
          <w:rFonts w:hint="default"/>
          <w:lang w:val="en-US" w:eastAsia="zh-CN"/>
        </w:rPr>
        <w:t>①危险物质识别</w:t>
      </w:r>
    </w:p>
    <w:p w14:paraId="25F154E0">
      <w:pPr>
        <w:bidi w:val="0"/>
        <w:ind w:firstLine="480" w:firstLineChars="200"/>
        <w:rPr>
          <w:rFonts w:hint="default"/>
          <w:lang w:val="en-US" w:eastAsia="zh-CN"/>
        </w:rPr>
      </w:pPr>
      <w:r>
        <w:rPr>
          <w:rFonts w:hint="default"/>
          <w:lang w:val="en-US" w:eastAsia="zh-CN"/>
        </w:rPr>
        <w:t>根据《建设项目环境风险评价技术导则》（HJ 169-2018）附录B和《危险化学品重大危险源辨识》（GB 18218-2018），对本</w:t>
      </w:r>
      <w:r>
        <w:rPr>
          <w:rFonts w:hint="eastAsia"/>
          <w:lang w:val="en-US" w:eastAsia="zh-CN"/>
        </w:rPr>
        <w:t>次技改</w:t>
      </w:r>
      <w:r>
        <w:rPr>
          <w:rFonts w:hint="default"/>
          <w:lang w:val="en-US" w:eastAsia="zh-CN"/>
        </w:rPr>
        <w:t>项目</w:t>
      </w:r>
      <w:r>
        <w:rPr>
          <w:rFonts w:hint="eastAsia"/>
          <w:lang w:val="en-US" w:eastAsia="zh-CN"/>
        </w:rPr>
        <w:t>所涉及到的</w:t>
      </w:r>
      <w:r>
        <w:rPr>
          <w:rFonts w:hint="default"/>
          <w:lang w:val="en-US" w:eastAsia="zh-CN"/>
        </w:rPr>
        <w:t>原辅料、火灾次生污染物等危险物质进行了识别，识别结果见下表。</w:t>
      </w:r>
    </w:p>
    <w:p w14:paraId="5EA25DE2">
      <w:pPr>
        <w:bidi w:val="0"/>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724DFFA8">
      <w:pPr>
        <w:bidi w:val="0"/>
        <w:jc w:val="center"/>
        <w:rPr>
          <w:rFonts w:hint="default"/>
          <w:b/>
          <w:bCs/>
          <w:lang w:val="en-US" w:eastAsia="zh-CN"/>
        </w:rPr>
      </w:pPr>
      <w:r>
        <w:rPr>
          <w:rFonts w:hint="default"/>
          <w:b/>
          <w:bCs/>
          <w:lang w:val="en-US" w:eastAsia="zh-CN"/>
        </w:rPr>
        <w:t>表6.2.6-1 物质危险性判别表</w:t>
      </w:r>
    </w:p>
    <w:tbl>
      <w:tblPr>
        <w:tblStyle w:val="25"/>
        <w:tblW w:w="5057"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68"/>
        <w:gridCol w:w="671"/>
        <w:gridCol w:w="1177"/>
        <w:gridCol w:w="7128"/>
        <w:gridCol w:w="2459"/>
        <w:gridCol w:w="2353"/>
      </w:tblGrid>
      <w:tr w14:paraId="0F2961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231" w:type="pct"/>
            <w:noWrap w:val="0"/>
            <w:vAlign w:val="center"/>
          </w:tcPr>
          <w:p w14:paraId="65FCC377">
            <w:pPr>
              <w:widowControl w:val="0"/>
              <w:bidi w:val="0"/>
              <w:spacing w:line="240" w:lineRule="auto"/>
              <w:jc w:val="center"/>
              <w:rPr>
                <w:rFonts w:hint="default"/>
                <w:b/>
                <w:bCs/>
                <w:sz w:val="21"/>
                <w:szCs w:val="21"/>
                <w:lang w:val="en-US" w:eastAsia="zh-CN"/>
              </w:rPr>
            </w:pPr>
            <w:r>
              <w:rPr>
                <w:rFonts w:hint="eastAsia"/>
                <w:b/>
                <w:bCs/>
                <w:sz w:val="21"/>
                <w:szCs w:val="21"/>
                <w:lang w:val="en-US" w:eastAsia="zh-CN"/>
              </w:rPr>
              <w:t>来源</w:t>
            </w:r>
          </w:p>
        </w:tc>
        <w:tc>
          <w:tcPr>
            <w:tcW w:w="232" w:type="pct"/>
            <w:shd w:val="clear" w:color="auto" w:fill="auto"/>
            <w:noWrap w:val="0"/>
            <w:vAlign w:val="center"/>
          </w:tcPr>
          <w:p w14:paraId="77C82D0B">
            <w:pPr>
              <w:widowControl w:val="0"/>
              <w:bidi w:val="0"/>
              <w:spacing w:line="240" w:lineRule="auto"/>
              <w:jc w:val="center"/>
              <w:rPr>
                <w:rFonts w:hint="default" w:ascii="Times New Roman" w:hAnsi="Times New Roman" w:eastAsia="宋体" w:cs="宋体"/>
                <w:b/>
                <w:bCs/>
                <w:sz w:val="21"/>
                <w:szCs w:val="21"/>
                <w:lang w:val="en-US" w:eastAsia="zh-CN" w:bidi="ar-SA"/>
              </w:rPr>
            </w:pPr>
            <w:r>
              <w:rPr>
                <w:rFonts w:hint="default"/>
                <w:b/>
                <w:bCs/>
                <w:sz w:val="21"/>
                <w:szCs w:val="21"/>
                <w:lang w:val="en-US" w:eastAsia="zh-CN"/>
              </w:rPr>
              <w:t>名称</w:t>
            </w:r>
          </w:p>
        </w:tc>
        <w:tc>
          <w:tcPr>
            <w:tcW w:w="407" w:type="pct"/>
            <w:noWrap w:val="0"/>
            <w:vAlign w:val="center"/>
          </w:tcPr>
          <w:p w14:paraId="0DD95F4F">
            <w:pPr>
              <w:widowControl w:val="0"/>
              <w:bidi w:val="0"/>
              <w:spacing w:line="240" w:lineRule="auto"/>
              <w:jc w:val="center"/>
              <w:rPr>
                <w:rFonts w:hint="default"/>
                <w:b/>
                <w:bCs/>
                <w:sz w:val="21"/>
                <w:szCs w:val="21"/>
                <w:lang w:val="en-US" w:eastAsia="zh-CN"/>
              </w:rPr>
            </w:pPr>
            <w:r>
              <w:rPr>
                <w:rFonts w:hint="default"/>
                <w:b/>
                <w:bCs/>
                <w:sz w:val="21"/>
                <w:szCs w:val="21"/>
                <w:lang w:val="en-US" w:eastAsia="zh-CN"/>
              </w:rPr>
              <w:t>CAS号</w:t>
            </w:r>
          </w:p>
        </w:tc>
        <w:tc>
          <w:tcPr>
            <w:tcW w:w="2464" w:type="pct"/>
            <w:noWrap w:val="0"/>
            <w:vAlign w:val="center"/>
          </w:tcPr>
          <w:p w14:paraId="0F93F898">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理化性质</w:t>
            </w:r>
          </w:p>
        </w:tc>
        <w:tc>
          <w:tcPr>
            <w:tcW w:w="850" w:type="pct"/>
            <w:noWrap w:val="0"/>
            <w:vAlign w:val="center"/>
          </w:tcPr>
          <w:p w14:paraId="76FF84CE">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燃烧爆炸性</w:t>
            </w:r>
          </w:p>
        </w:tc>
        <w:tc>
          <w:tcPr>
            <w:tcW w:w="813" w:type="pct"/>
            <w:noWrap w:val="0"/>
            <w:vAlign w:val="center"/>
          </w:tcPr>
          <w:p w14:paraId="6F06708B">
            <w:pPr>
              <w:widowControl w:val="0"/>
              <w:bidi w:val="0"/>
              <w:spacing w:line="240" w:lineRule="auto"/>
              <w:jc w:val="center"/>
              <w:rPr>
                <w:rFonts w:hint="default"/>
                <w:b/>
                <w:bCs/>
                <w:sz w:val="21"/>
                <w:szCs w:val="21"/>
                <w:lang w:val="en-US" w:eastAsia="zh-CN"/>
              </w:rPr>
            </w:pPr>
            <w:r>
              <w:rPr>
                <w:rFonts w:hint="default"/>
                <w:b/>
                <w:bCs/>
                <w:sz w:val="21"/>
                <w:szCs w:val="21"/>
                <w:lang w:val="en-US" w:eastAsia="zh-CN"/>
              </w:rPr>
              <w:t>毒理毒性</w:t>
            </w:r>
          </w:p>
        </w:tc>
      </w:tr>
      <w:tr w14:paraId="485E00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5" w:hRule="atLeast"/>
        </w:trPr>
        <w:tc>
          <w:tcPr>
            <w:tcW w:w="231" w:type="pct"/>
            <w:vMerge w:val="restart"/>
            <w:noWrap w:val="0"/>
            <w:vAlign w:val="center"/>
          </w:tcPr>
          <w:p w14:paraId="2A1B8D1A">
            <w:pPr>
              <w:widowControl w:val="0"/>
              <w:bidi w:val="0"/>
              <w:spacing w:line="240" w:lineRule="auto"/>
              <w:jc w:val="center"/>
              <w:rPr>
                <w:rFonts w:hint="default"/>
                <w:sz w:val="21"/>
                <w:szCs w:val="21"/>
                <w:lang w:val="en-US" w:eastAsia="zh-CN"/>
              </w:rPr>
            </w:pPr>
            <w:r>
              <w:rPr>
                <w:rFonts w:hint="eastAsia"/>
                <w:sz w:val="21"/>
                <w:szCs w:val="21"/>
                <w:lang w:val="en-US" w:eastAsia="zh-CN"/>
              </w:rPr>
              <w:t>原辅材料</w:t>
            </w:r>
          </w:p>
        </w:tc>
        <w:tc>
          <w:tcPr>
            <w:tcW w:w="232" w:type="pct"/>
            <w:shd w:val="clear" w:color="auto" w:fill="auto"/>
            <w:noWrap w:val="0"/>
            <w:vAlign w:val="center"/>
          </w:tcPr>
          <w:p w14:paraId="336F11C9">
            <w:pPr>
              <w:widowControl w:val="0"/>
              <w:bidi w:val="0"/>
              <w:spacing w:line="240" w:lineRule="auto"/>
              <w:jc w:val="center"/>
              <w:rPr>
                <w:rFonts w:hint="default" w:ascii="Times New Roman" w:hAnsi="Times New Roman" w:eastAsia="宋体" w:cs="宋体"/>
                <w:sz w:val="21"/>
                <w:szCs w:val="21"/>
                <w:lang w:val="en-US" w:eastAsia="zh-CN" w:bidi="ar-SA"/>
              </w:rPr>
            </w:pPr>
            <w:r>
              <w:rPr>
                <w:rFonts w:hint="default"/>
                <w:sz w:val="21"/>
                <w:szCs w:val="21"/>
                <w:lang w:val="en-US" w:eastAsia="zh-CN"/>
              </w:rPr>
              <w:t>银浆</w:t>
            </w:r>
          </w:p>
        </w:tc>
        <w:tc>
          <w:tcPr>
            <w:tcW w:w="407" w:type="pct"/>
            <w:noWrap w:val="0"/>
            <w:vAlign w:val="center"/>
          </w:tcPr>
          <w:p w14:paraId="40FCDBD9">
            <w:pPr>
              <w:widowControl w:val="0"/>
              <w:bidi w:val="0"/>
              <w:spacing w:line="240" w:lineRule="auto"/>
              <w:jc w:val="center"/>
              <w:rPr>
                <w:rFonts w:hint="default"/>
                <w:sz w:val="21"/>
                <w:szCs w:val="21"/>
                <w:lang w:val="en-US" w:eastAsia="zh-CN"/>
              </w:rPr>
            </w:pPr>
            <w:r>
              <w:rPr>
                <w:rFonts w:hint="default"/>
                <w:sz w:val="21"/>
                <w:szCs w:val="21"/>
                <w:lang w:val="en-US" w:eastAsia="zh-CN"/>
              </w:rPr>
              <w:t>7440-22-4</w:t>
            </w:r>
          </w:p>
        </w:tc>
        <w:tc>
          <w:tcPr>
            <w:tcW w:w="2464" w:type="pct"/>
            <w:noWrap w:val="0"/>
            <w:vAlign w:val="center"/>
          </w:tcPr>
          <w:p w14:paraId="55AF9EA3">
            <w:pPr>
              <w:widowControl w:val="0"/>
              <w:bidi w:val="0"/>
              <w:spacing w:line="240" w:lineRule="auto"/>
              <w:jc w:val="center"/>
              <w:rPr>
                <w:rFonts w:hint="default"/>
                <w:sz w:val="21"/>
                <w:szCs w:val="21"/>
                <w:lang w:val="en-US" w:eastAsia="zh-CN"/>
              </w:rPr>
            </w:pPr>
            <w:r>
              <w:rPr>
                <w:rFonts w:hint="default"/>
                <w:sz w:val="21"/>
                <w:szCs w:val="21"/>
                <w:lang w:val="en-US" w:eastAsia="zh-CN"/>
              </w:rPr>
              <w:t>无气味，白色液体，主要成分为银＞60%、松油醇10%～30%、乙基纤维素1%～5% 、二乙醇单丁醚1%～5%、二乙二醇单丁醚醋酸酯10%～20%</w:t>
            </w:r>
          </w:p>
        </w:tc>
        <w:tc>
          <w:tcPr>
            <w:tcW w:w="850" w:type="pct"/>
            <w:noWrap w:val="0"/>
            <w:vAlign w:val="center"/>
          </w:tcPr>
          <w:p w14:paraId="68EDA92A">
            <w:pPr>
              <w:widowControl w:val="0"/>
              <w:bidi w:val="0"/>
              <w:spacing w:line="240" w:lineRule="auto"/>
              <w:jc w:val="center"/>
              <w:rPr>
                <w:rFonts w:hint="default"/>
                <w:sz w:val="21"/>
                <w:szCs w:val="21"/>
                <w:lang w:val="en-US" w:eastAsia="zh-CN"/>
              </w:rPr>
            </w:pPr>
            <w:r>
              <w:rPr>
                <w:rFonts w:hint="default"/>
                <w:sz w:val="21"/>
                <w:szCs w:val="21"/>
                <w:lang w:val="en-US" w:eastAsia="zh-CN"/>
              </w:rPr>
              <w:t>可燃</w:t>
            </w:r>
          </w:p>
        </w:tc>
        <w:tc>
          <w:tcPr>
            <w:tcW w:w="813" w:type="pct"/>
            <w:noWrap w:val="0"/>
            <w:vAlign w:val="center"/>
          </w:tcPr>
          <w:p w14:paraId="0E0B6202">
            <w:pPr>
              <w:widowControl w:val="0"/>
              <w:bidi w:val="0"/>
              <w:spacing w:line="240" w:lineRule="auto"/>
              <w:jc w:val="center"/>
              <w:rPr>
                <w:rFonts w:hint="default"/>
                <w:sz w:val="21"/>
                <w:szCs w:val="21"/>
                <w:lang w:val="en-US" w:eastAsia="zh-CN"/>
              </w:rPr>
            </w:pPr>
            <w:r>
              <w:rPr>
                <w:rFonts w:hint="default"/>
                <w:sz w:val="21"/>
                <w:szCs w:val="21"/>
                <w:lang w:val="en-US" w:eastAsia="zh-CN"/>
              </w:rPr>
              <w:t>/</w:t>
            </w:r>
          </w:p>
        </w:tc>
      </w:tr>
      <w:tr w14:paraId="748E4D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15" w:hRule="atLeast"/>
        </w:trPr>
        <w:tc>
          <w:tcPr>
            <w:tcW w:w="231" w:type="pct"/>
            <w:vMerge w:val="continue"/>
            <w:shd w:val="clear" w:color="auto" w:fill="auto"/>
            <w:noWrap w:val="0"/>
            <w:vAlign w:val="center"/>
          </w:tcPr>
          <w:p w14:paraId="714E4D5D">
            <w:pPr>
              <w:pStyle w:val="24"/>
              <w:widowControl w:val="0"/>
              <w:spacing w:before="66" w:line="227" w:lineRule="auto"/>
              <w:jc w:val="center"/>
              <w:rPr>
                <w:rFonts w:hint="default" w:ascii="Times New Roman" w:hAnsi="Times New Roman" w:eastAsia="宋体" w:cs="宋体"/>
                <w:sz w:val="21"/>
                <w:szCs w:val="21"/>
                <w:lang w:val="en-US" w:eastAsia="zh-CN" w:bidi="ar-SA"/>
              </w:rPr>
            </w:pPr>
          </w:p>
        </w:tc>
        <w:tc>
          <w:tcPr>
            <w:tcW w:w="232" w:type="pct"/>
            <w:shd w:val="clear" w:color="auto" w:fill="auto"/>
            <w:noWrap w:val="0"/>
            <w:vAlign w:val="center"/>
          </w:tcPr>
          <w:p w14:paraId="1AF54127">
            <w:pPr>
              <w:pStyle w:val="24"/>
              <w:widowControl w:val="0"/>
              <w:spacing w:before="66" w:line="227" w:lineRule="auto"/>
              <w:jc w:val="center"/>
              <w:rPr>
                <w:rFonts w:hint="default" w:ascii="Times New Roman" w:hAnsi="Times New Roman" w:eastAsia="宋体" w:cs="宋体"/>
                <w:sz w:val="21"/>
                <w:szCs w:val="21"/>
                <w:lang w:val="en-US" w:eastAsia="zh-CN" w:bidi="ar-SA"/>
              </w:rPr>
            </w:pPr>
            <w:r>
              <w:rPr>
                <w:rFonts w:hint="default" w:ascii="Times New Roman" w:hAnsi="Times New Roman" w:eastAsia="宋体" w:cs="宋体"/>
                <w:sz w:val="21"/>
                <w:szCs w:val="21"/>
                <w:lang w:val="en-US" w:eastAsia="zh-CN" w:bidi="ar-SA"/>
              </w:rPr>
              <w:t>银</w:t>
            </w:r>
            <w:r>
              <w:rPr>
                <w:rFonts w:hint="eastAsia" w:ascii="Times New Roman" w:hAnsi="Times New Roman" w:eastAsia="宋体" w:cs="宋体"/>
                <w:sz w:val="21"/>
                <w:szCs w:val="21"/>
                <w:lang w:val="en-US" w:eastAsia="zh-CN" w:bidi="ar-SA"/>
              </w:rPr>
              <w:t>包铜</w:t>
            </w:r>
            <w:r>
              <w:rPr>
                <w:rFonts w:hint="default" w:ascii="Times New Roman" w:hAnsi="Times New Roman" w:eastAsia="宋体" w:cs="宋体"/>
                <w:sz w:val="21"/>
                <w:szCs w:val="21"/>
                <w:lang w:val="en-US" w:eastAsia="zh-CN" w:bidi="ar-SA"/>
              </w:rPr>
              <w:t>浆</w:t>
            </w:r>
            <w:r>
              <w:rPr>
                <w:rFonts w:hint="eastAsia" w:ascii="Times New Roman" w:hAnsi="Times New Roman" w:eastAsia="宋体" w:cs="宋体"/>
                <w:sz w:val="21"/>
                <w:szCs w:val="21"/>
                <w:lang w:val="en-US" w:eastAsia="zh-CN" w:bidi="ar-SA"/>
              </w:rPr>
              <w:t>料</w:t>
            </w:r>
          </w:p>
        </w:tc>
        <w:tc>
          <w:tcPr>
            <w:tcW w:w="407" w:type="pct"/>
            <w:shd w:val="clear" w:color="auto" w:fill="auto"/>
            <w:noWrap w:val="0"/>
            <w:vAlign w:val="center"/>
          </w:tcPr>
          <w:p w14:paraId="292C11C9">
            <w:pPr>
              <w:widowControl w:val="0"/>
              <w:spacing w:before="104" w:line="195" w:lineRule="auto"/>
              <w:jc w:val="center"/>
              <w:rPr>
                <w:rFonts w:hint="default" w:ascii="Times New Roman" w:hAnsi="Times New Roman" w:eastAsia="宋体" w:cs="宋体"/>
                <w:sz w:val="21"/>
                <w:szCs w:val="21"/>
                <w:lang w:val="en-US" w:eastAsia="zh-CN" w:bidi="ar-SA"/>
              </w:rPr>
            </w:pPr>
            <w:r>
              <w:rPr>
                <w:rFonts w:hint="default" w:ascii="Times New Roman" w:hAnsi="Times New Roman" w:eastAsia="宋体" w:cs="宋体"/>
                <w:sz w:val="21"/>
                <w:szCs w:val="21"/>
                <w:lang w:val="en-US" w:eastAsia="zh-CN" w:bidi="ar-SA"/>
              </w:rPr>
              <w:t>25265-77-4</w:t>
            </w:r>
          </w:p>
        </w:tc>
        <w:tc>
          <w:tcPr>
            <w:tcW w:w="2464" w:type="pct"/>
            <w:shd w:val="clear" w:color="auto" w:fill="auto"/>
            <w:noWrap w:val="0"/>
            <w:vAlign w:val="center"/>
          </w:tcPr>
          <w:p w14:paraId="719AA81C">
            <w:pPr>
              <w:pStyle w:val="24"/>
              <w:widowControl w:val="0"/>
              <w:spacing w:before="66" w:line="225" w:lineRule="auto"/>
              <w:jc w:val="center"/>
              <w:rPr>
                <w:rFonts w:hint="default" w:ascii="Times New Roman" w:hAnsi="Times New Roman" w:eastAsia="宋体" w:cs="宋体"/>
                <w:sz w:val="21"/>
                <w:szCs w:val="21"/>
                <w:lang w:val="en-US" w:eastAsia="zh-CN" w:bidi="ar-SA"/>
              </w:rPr>
            </w:pPr>
            <w:r>
              <w:rPr>
                <w:rFonts w:hint="default" w:ascii="Times New Roman" w:hAnsi="Times New Roman" w:eastAsia="宋体" w:cs="宋体"/>
                <w:sz w:val="21"/>
                <w:szCs w:val="21"/>
                <w:lang w:val="en-US" w:eastAsia="zh-CN" w:bidi="ar-SA"/>
              </w:rPr>
              <w:t>银包铜（DK62T）为银色粘稠液体，具轻微气味；闪点为120℃密度为4.7g/cm³，20℃时不溶于水</w:t>
            </w:r>
          </w:p>
        </w:tc>
        <w:tc>
          <w:tcPr>
            <w:tcW w:w="850" w:type="pct"/>
            <w:shd w:val="clear" w:color="auto" w:fill="auto"/>
            <w:noWrap w:val="0"/>
            <w:vAlign w:val="center"/>
          </w:tcPr>
          <w:p w14:paraId="0A78DDBD">
            <w:pPr>
              <w:pStyle w:val="24"/>
              <w:widowControl w:val="0"/>
              <w:spacing w:before="66" w:line="225" w:lineRule="auto"/>
              <w:jc w:val="center"/>
              <w:rPr>
                <w:rFonts w:hint="default" w:ascii="Times New Roman" w:hAnsi="Times New Roman" w:eastAsia="宋体" w:cs="宋体"/>
                <w:sz w:val="21"/>
                <w:szCs w:val="21"/>
                <w:lang w:val="en-US" w:eastAsia="zh-CN" w:bidi="ar-SA"/>
              </w:rPr>
            </w:pPr>
            <w:r>
              <w:rPr>
                <w:rFonts w:hint="eastAsia" w:ascii="Times New Roman" w:hAnsi="Times New Roman" w:eastAsia="宋体" w:cs="宋体"/>
                <w:sz w:val="21"/>
                <w:szCs w:val="21"/>
                <w:lang w:val="en-US" w:eastAsia="zh-CN" w:bidi="ar-SA"/>
              </w:rPr>
              <w:t>可燃</w:t>
            </w:r>
          </w:p>
        </w:tc>
        <w:tc>
          <w:tcPr>
            <w:tcW w:w="813" w:type="pct"/>
            <w:shd w:val="clear" w:color="auto" w:fill="auto"/>
            <w:noWrap w:val="0"/>
            <w:vAlign w:val="center"/>
          </w:tcPr>
          <w:p w14:paraId="2ED1951F">
            <w:pPr>
              <w:pStyle w:val="24"/>
              <w:widowControl w:val="0"/>
              <w:spacing w:before="66" w:line="225" w:lineRule="auto"/>
              <w:jc w:val="center"/>
              <w:rPr>
                <w:rFonts w:hint="default" w:ascii="Times New Roman" w:hAnsi="Times New Roman" w:eastAsia="宋体" w:cs="宋体"/>
                <w:sz w:val="21"/>
                <w:szCs w:val="21"/>
                <w:lang w:val="en-US" w:eastAsia="zh-CN" w:bidi="ar-SA"/>
              </w:rPr>
            </w:pPr>
            <w:r>
              <w:rPr>
                <w:rFonts w:hint="default" w:ascii="Times New Roman" w:hAnsi="Times New Roman" w:eastAsia="宋体" w:cs="宋体"/>
                <w:sz w:val="21"/>
                <w:szCs w:val="21"/>
                <w:lang w:val="en-US" w:eastAsia="zh-CN" w:bidi="ar-SA"/>
              </w:rPr>
              <w:t>经口LD50</w:t>
            </w:r>
            <w:r>
              <w:rPr>
                <w:rFonts w:hint="eastAsia" w:ascii="Times New Roman" w:hAnsi="Times New Roman" w:eastAsia="宋体" w:cs="宋体"/>
                <w:sz w:val="21"/>
                <w:szCs w:val="21"/>
                <w:lang w:val="en-US" w:eastAsia="zh-CN" w:bidi="ar-SA"/>
              </w:rPr>
              <w:t>：</w:t>
            </w:r>
            <w:r>
              <w:rPr>
                <w:rFonts w:hint="default" w:ascii="Times New Roman" w:hAnsi="Times New Roman" w:eastAsia="宋体" w:cs="宋体"/>
                <w:sz w:val="21"/>
                <w:szCs w:val="21"/>
                <w:lang w:val="en-US" w:eastAsia="zh-CN" w:bidi="ar-SA"/>
              </w:rPr>
              <w:t>6500mg/kg、经皮LD50</w:t>
            </w:r>
            <w:r>
              <w:rPr>
                <w:rFonts w:hint="eastAsia" w:ascii="Times New Roman" w:hAnsi="Times New Roman" w:eastAsia="宋体" w:cs="宋体"/>
                <w:sz w:val="21"/>
                <w:szCs w:val="21"/>
                <w:lang w:val="en-US" w:eastAsia="zh-CN" w:bidi="ar-SA"/>
              </w:rPr>
              <w:t>：1</w:t>
            </w:r>
            <w:r>
              <w:rPr>
                <w:rFonts w:hint="default" w:ascii="Times New Roman" w:hAnsi="Times New Roman" w:eastAsia="宋体" w:cs="宋体"/>
                <w:sz w:val="21"/>
                <w:szCs w:val="21"/>
                <w:lang w:val="en-US" w:eastAsia="zh-CN" w:bidi="ar-SA"/>
              </w:rPr>
              <w:t>5200mg/kg，</w:t>
            </w:r>
          </w:p>
        </w:tc>
      </w:tr>
      <w:tr w14:paraId="4395A9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231" w:type="pct"/>
            <w:vMerge w:val="continue"/>
            <w:shd w:val="clear" w:color="auto" w:fill="auto"/>
            <w:noWrap w:val="0"/>
            <w:vAlign w:val="center"/>
          </w:tcPr>
          <w:p w14:paraId="700A7864">
            <w:pPr>
              <w:widowControl w:val="0"/>
              <w:bidi w:val="0"/>
              <w:spacing w:line="240" w:lineRule="auto"/>
              <w:jc w:val="center"/>
              <w:rPr>
                <w:rFonts w:hint="default"/>
                <w:sz w:val="21"/>
                <w:szCs w:val="21"/>
                <w:lang w:val="en-US" w:eastAsia="zh-CN"/>
              </w:rPr>
            </w:pPr>
          </w:p>
        </w:tc>
        <w:tc>
          <w:tcPr>
            <w:tcW w:w="232" w:type="pct"/>
            <w:shd w:val="clear" w:color="auto" w:fill="auto"/>
            <w:noWrap w:val="0"/>
            <w:vAlign w:val="center"/>
          </w:tcPr>
          <w:p w14:paraId="32609A0F">
            <w:pPr>
              <w:widowControl w:val="0"/>
              <w:bidi w:val="0"/>
              <w:spacing w:line="240" w:lineRule="auto"/>
              <w:jc w:val="center"/>
              <w:rPr>
                <w:rFonts w:hint="default" w:ascii="Times New Roman" w:hAnsi="Times New Roman" w:eastAsia="宋体" w:cs="宋体"/>
                <w:sz w:val="21"/>
                <w:szCs w:val="21"/>
                <w:lang w:val="en-US" w:eastAsia="zh-CN" w:bidi="ar-SA"/>
              </w:rPr>
            </w:pPr>
            <w:r>
              <w:rPr>
                <w:rFonts w:hint="default"/>
                <w:sz w:val="21"/>
                <w:szCs w:val="21"/>
                <w:lang w:val="en-US" w:eastAsia="zh-CN"/>
              </w:rPr>
              <w:t>三甲基铝</w:t>
            </w:r>
          </w:p>
        </w:tc>
        <w:tc>
          <w:tcPr>
            <w:tcW w:w="407" w:type="pct"/>
            <w:shd w:val="clear" w:color="auto" w:fill="auto"/>
            <w:noWrap w:val="0"/>
            <w:vAlign w:val="center"/>
          </w:tcPr>
          <w:p w14:paraId="52698FC4">
            <w:pPr>
              <w:widowControl w:val="0"/>
              <w:bidi w:val="0"/>
              <w:spacing w:line="240" w:lineRule="auto"/>
              <w:jc w:val="center"/>
              <w:rPr>
                <w:rFonts w:hint="default"/>
                <w:sz w:val="21"/>
                <w:szCs w:val="21"/>
                <w:lang w:val="en-US" w:eastAsia="zh-CN"/>
              </w:rPr>
            </w:pPr>
            <w:r>
              <w:rPr>
                <w:rFonts w:hint="default"/>
                <w:sz w:val="21"/>
                <w:szCs w:val="21"/>
                <w:lang w:val="en-US" w:eastAsia="zh-CN"/>
              </w:rPr>
              <w:t>75-24-1</w:t>
            </w:r>
          </w:p>
        </w:tc>
        <w:tc>
          <w:tcPr>
            <w:tcW w:w="2464" w:type="pct"/>
            <w:shd w:val="clear" w:color="auto" w:fill="auto"/>
            <w:noWrap w:val="0"/>
            <w:vAlign w:val="center"/>
          </w:tcPr>
          <w:p w14:paraId="3D2EE763">
            <w:pPr>
              <w:widowControl w:val="0"/>
              <w:bidi w:val="0"/>
              <w:spacing w:line="240" w:lineRule="auto"/>
              <w:jc w:val="center"/>
              <w:rPr>
                <w:rFonts w:hint="default"/>
                <w:sz w:val="21"/>
                <w:szCs w:val="21"/>
                <w:lang w:val="en-US" w:eastAsia="zh-CN"/>
              </w:rPr>
            </w:pPr>
            <w:r>
              <w:rPr>
                <w:rFonts w:hint="default"/>
                <w:sz w:val="21"/>
                <w:szCs w:val="21"/>
                <w:lang w:val="en-US" w:eastAsia="zh-CN"/>
              </w:rPr>
              <w:t>无色液体，熔点15℃</w:t>
            </w:r>
            <w:r>
              <w:rPr>
                <w:rFonts w:hint="eastAsia"/>
                <w:sz w:val="21"/>
                <w:szCs w:val="21"/>
                <w:lang w:val="en-US" w:eastAsia="zh-CN"/>
              </w:rPr>
              <w:t>，</w:t>
            </w:r>
            <w:r>
              <w:rPr>
                <w:rFonts w:hint="default"/>
                <w:sz w:val="21"/>
                <w:szCs w:val="21"/>
                <w:lang w:val="en-US" w:eastAsia="zh-CN"/>
              </w:rPr>
              <w:t>沸点126℃</w:t>
            </w:r>
            <w:r>
              <w:rPr>
                <w:rFonts w:hint="eastAsia"/>
                <w:sz w:val="21"/>
                <w:szCs w:val="21"/>
                <w:lang w:val="en-US" w:eastAsia="zh-CN"/>
              </w:rPr>
              <w:t>，</w:t>
            </w:r>
            <w:r>
              <w:rPr>
                <w:rFonts w:hint="default"/>
                <w:sz w:val="21"/>
                <w:szCs w:val="21"/>
                <w:lang w:val="en-US" w:eastAsia="zh-CN"/>
              </w:rPr>
              <w:t>蒸气压1.52kPa</w:t>
            </w:r>
            <w:r>
              <w:rPr>
                <w:rFonts w:hint="eastAsia"/>
                <w:sz w:val="21"/>
                <w:szCs w:val="21"/>
                <w:lang w:val="en-US" w:eastAsia="zh-CN"/>
              </w:rPr>
              <w:t>（</w:t>
            </w:r>
            <w:r>
              <w:rPr>
                <w:rFonts w:hint="default"/>
                <w:sz w:val="21"/>
                <w:szCs w:val="21"/>
                <w:lang w:val="en-US" w:eastAsia="zh-CN"/>
              </w:rPr>
              <w:t>20℃</w:t>
            </w:r>
            <w:r>
              <w:rPr>
                <w:rFonts w:hint="eastAsia"/>
                <w:sz w:val="21"/>
                <w:szCs w:val="21"/>
                <w:lang w:val="en-US" w:eastAsia="zh-CN"/>
              </w:rPr>
              <w:t>），</w:t>
            </w:r>
            <w:r>
              <w:rPr>
                <w:rFonts w:hint="default"/>
                <w:sz w:val="21"/>
                <w:szCs w:val="21"/>
                <w:lang w:val="en-US" w:eastAsia="zh-CN"/>
              </w:rPr>
              <w:t>密度0.752g/cm</w:t>
            </w:r>
            <w:r>
              <w:rPr>
                <w:rFonts w:hint="eastAsia"/>
                <w:sz w:val="21"/>
                <w:szCs w:val="21"/>
                <w:vertAlign w:val="superscript"/>
                <w:lang w:val="en-US" w:eastAsia="zh-CN"/>
              </w:rPr>
              <w:t>3</w:t>
            </w:r>
            <w:r>
              <w:rPr>
                <w:rFonts w:hint="eastAsia"/>
                <w:sz w:val="21"/>
                <w:szCs w:val="21"/>
                <w:lang w:val="en-US" w:eastAsia="zh-CN"/>
              </w:rPr>
              <w:t>，</w:t>
            </w:r>
            <w:r>
              <w:rPr>
                <w:rFonts w:hint="default"/>
                <w:sz w:val="21"/>
                <w:szCs w:val="21"/>
                <w:lang w:val="en-US" w:eastAsia="zh-CN"/>
              </w:rPr>
              <w:t xml:space="preserve"> 水中可溶，并伴有剧烈反应。</w:t>
            </w:r>
          </w:p>
        </w:tc>
        <w:tc>
          <w:tcPr>
            <w:tcW w:w="850" w:type="pct"/>
            <w:shd w:val="clear" w:color="auto" w:fill="auto"/>
            <w:noWrap w:val="0"/>
            <w:vAlign w:val="center"/>
          </w:tcPr>
          <w:p w14:paraId="21A39C1F">
            <w:pPr>
              <w:widowControl w:val="0"/>
              <w:bidi w:val="0"/>
              <w:spacing w:line="240" w:lineRule="auto"/>
              <w:jc w:val="center"/>
              <w:rPr>
                <w:rFonts w:hint="default"/>
                <w:sz w:val="21"/>
                <w:szCs w:val="21"/>
                <w:lang w:val="en-US" w:eastAsia="zh-CN"/>
              </w:rPr>
            </w:pPr>
            <w:r>
              <w:rPr>
                <w:rFonts w:hint="default"/>
                <w:sz w:val="21"/>
                <w:szCs w:val="21"/>
                <w:lang w:val="en-US" w:eastAsia="zh-CN"/>
              </w:rPr>
              <w:t>易燃，上限：1.1%/（V%)；下限：7.5%（V%）</w:t>
            </w:r>
          </w:p>
        </w:tc>
        <w:tc>
          <w:tcPr>
            <w:tcW w:w="813" w:type="pct"/>
            <w:shd w:val="clear" w:color="auto" w:fill="auto"/>
            <w:noWrap w:val="0"/>
            <w:vAlign w:val="center"/>
          </w:tcPr>
          <w:p w14:paraId="522A849F">
            <w:pPr>
              <w:widowControl w:val="0"/>
              <w:bidi w:val="0"/>
              <w:spacing w:line="240" w:lineRule="auto"/>
              <w:jc w:val="center"/>
              <w:rPr>
                <w:rFonts w:hint="default"/>
                <w:sz w:val="21"/>
                <w:szCs w:val="21"/>
                <w:lang w:val="en-US" w:eastAsia="zh-CN"/>
              </w:rPr>
            </w:pPr>
            <w:r>
              <w:rPr>
                <w:rFonts w:hint="default"/>
                <w:sz w:val="21"/>
                <w:szCs w:val="21"/>
                <w:lang w:val="en-US" w:eastAsia="zh-CN"/>
              </w:rPr>
              <w:t>/</w:t>
            </w:r>
          </w:p>
        </w:tc>
      </w:tr>
      <w:tr w14:paraId="6D7305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0" w:hRule="atLeast"/>
        </w:trPr>
        <w:tc>
          <w:tcPr>
            <w:tcW w:w="231" w:type="pct"/>
            <w:shd w:val="clear" w:color="auto" w:fill="auto"/>
            <w:noWrap w:val="0"/>
            <w:vAlign w:val="center"/>
          </w:tcPr>
          <w:p w14:paraId="45FD40FC">
            <w:pPr>
              <w:widowControl w:val="0"/>
              <w:bidi w:val="0"/>
              <w:spacing w:line="240" w:lineRule="auto"/>
              <w:jc w:val="center"/>
              <w:rPr>
                <w:rFonts w:hint="default"/>
                <w:sz w:val="21"/>
                <w:szCs w:val="21"/>
                <w:lang w:val="en-US" w:eastAsia="zh-CN"/>
              </w:rPr>
            </w:pPr>
            <w:r>
              <w:rPr>
                <w:rFonts w:ascii="Times New Roman" w:hAnsi="Times New Roman" w:cs="Times New Roman"/>
                <w:sz w:val="21"/>
                <w:szCs w:val="21"/>
              </w:rPr>
              <w:t>火灾次生污染</w:t>
            </w:r>
          </w:p>
        </w:tc>
        <w:tc>
          <w:tcPr>
            <w:tcW w:w="232" w:type="pct"/>
            <w:shd w:val="clear" w:color="auto" w:fill="auto"/>
            <w:noWrap w:val="0"/>
            <w:vAlign w:val="center"/>
          </w:tcPr>
          <w:p w14:paraId="193C5A97">
            <w:pPr>
              <w:widowControl w:val="0"/>
              <w:bidi w:val="0"/>
              <w:spacing w:line="240" w:lineRule="auto"/>
              <w:jc w:val="center"/>
              <w:rPr>
                <w:rFonts w:hint="default" w:ascii="Times New Roman" w:hAnsi="Times New Roman" w:eastAsia="宋体" w:cs="宋体"/>
                <w:sz w:val="21"/>
                <w:szCs w:val="21"/>
                <w:lang w:val="en-US" w:eastAsia="zh-CN" w:bidi="ar-SA"/>
              </w:rPr>
            </w:pPr>
            <w:r>
              <w:rPr>
                <w:rFonts w:ascii="Times New Roman" w:hAnsi="Times New Roman" w:cs="Times New Roman"/>
                <w:sz w:val="21"/>
                <w:szCs w:val="21"/>
              </w:rPr>
              <w:t>CO</w:t>
            </w:r>
          </w:p>
        </w:tc>
        <w:tc>
          <w:tcPr>
            <w:tcW w:w="407" w:type="pct"/>
            <w:shd w:val="clear" w:color="auto" w:fill="auto"/>
            <w:noWrap w:val="0"/>
            <w:vAlign w:val="center"/>
          </w:tcPr>
          <w:p w14:paraId="56FB3988">
            <w:pPr>
              <w:widowControl w:val="0"/>
              <w:bidi w:val="0"/>
              <w:spacing w:line="240" w:lineRule="auto"/>
              <w:jc w:val="center"/>
              <w:rPr>
                <w:rFonts w:hint="default"/>
                <w:sz w:val="21"/>
                <w:szCs w:val="21"/>
                <w:lang w:val="en-US" w:eastAsia="zh-CN"/>
              </w:rPr>
            </w:pPr>
            <w:r>
              <w:rPr>
                <w:rFonts w:hint="default"/>
                <w:sz w:val="21"/>
                <w:szCs w:val="21"/>
                <w:lang w:val="en-US" w:eastAsia="zh-CN"/>
              </w:rPr>
              <w:t>630-08-0</w:t>
            </w:r>
          </w:p>
        </w:tc>
        <w:tc>
          <w:tcPr>
            <w:tcW w:w="2464" w:type="pct"/>
            <w:shd w:val="clear" w:color="auto" w:fill="auto"/>
            <w:noWrap w:val="0"/>
            <w:vAlign w:val="center"/>
          </w:tcPr>
          <w:p w14:paraId="561F1E27">
            <w:pPr>
              <w:widowControl w:val="0"/>
              <w:bidi w:val="0"/>
              <w:spacing w:line="240" w:lineRule="auto"/>
              <w:jc w:val="center"/>
              <w:rPr>
                <w:rFonts w:hint="default"/>
                <w:sz w:val="21"/>
                <w:szCs w:val="21"/>
                <w:lang w:val="en-US" w:eastAsia="zh-CN"/>
              </w:rPr>
            </w:pPr>
            <w:r>
              <w:rPr>
                <w:rFonts w:ascii="Times New Roman" w:hAnsi="Times New Roman" w:cs="Times New Roman"/>
                <w:sz w:val="21"/>
                <w:szCs w:val="21"/>
              </w:rPr>
              <w:t>沸点：-191.5</w:t>
            </w:r>
            <w:r>
              <w:rPr>
                <w:rFonts w:hint="eastAsia" w:ascii="Times New Roman" w:hAnsi="Times New Roman" w:cs="Times New Roman"/>
                <w:sz w:val="21"/>
                <w:szCs w:val="21"/>
              </w:rPr>
              <w:t>℃</w:t>
            </w:r>
            <w:r>
              <w:rPr>
                <w:rFonts w:ascii="Times New Roman" w:hAnsi="Times New Roman" w:cs="Times New Roman"/>
                <w:sz w:val="21"/>
                <w:szCs w:val="21"/>
              </w:rPr>
              <w:t>，闪点：-50</w:t>
            </w:r>
            <w:r>
              <w:rPr>
                <w:rFonts w:hint="eastAsia" w:ascii="Times New Roman" w:hAnsi="Times New Roman" w:cs="Times New Roman"/>
                <w:sz w:val="21"/>
                <w:szCs w:val="21"/>
              </w:rPr>
              <w:t>℃</w:t>
            </w:r>
          </w:p>
        </w:tc>
        <w:tc>
          <w:tcPr>
            <w:tcW w:w="850" w:type="pct"/>
            <w:shd w:val="clear" w:color="auto" w:fill="auto"/>
            <w:noWrap w:val="0"/>
            <w:vAlign w:val="center"/>
          </w:tcPr>
          <w:p w14:paraId="27222E10">
            <w:pPr>
              <w:widowControl w:val="0"/>
              <w:bidi w:val="0"/>
              <w:spacing w:line="240" w:lineRule="auto"/>
              <w:jc w:val="center"/>
              <w:rPr>
                <w:rFonts w:hint="default"/>
                <w:sz w:val="21"/>
                <w:szCs w:val="21"/>
                <w:lang w:val="en-US" w:eastAsia="zh-CN"/>
              </w:rPr>
            </w:pPr>
            <w:r>
              <w:rPr>
                <w:rFonts w:ascii="Times New Roman" w:hAnsi="Times New Roman" w:cs="Times New Roman"/>
                <w:sz w:val="21"/>
                <w:szCs w:val="21"/>
              </w:rPr>
              <w:t>遇</w:t>
            </w:r>
            <w:r>
              <w:fldChar w:fldCharType="begin"/>
            </w:r>
            <w:r>
              <w:instrText xml:space="preserve"> HYPERLINK "https://baike.baidu.com/item/%E6%98%8E%E7%81%AB" \t "https://baike.baidu.com/item/_blank" </w:instrText>
            </w:r>
            <w:r>
              <w:fldChar w:fldCharType="separate"/>
            </w:r>
            <w:r>
              <w:rPr>
                <w:rFonts w:ascii="Times New Roman" w:hAnsi="Times New Roman" w:cs="Times New Roman"/>
                <w:sz w:val="21"/>
                <w:szCs w:val="21"/>
              </w:rPr>
              <w:t>明火</w:t>
            </w:r>
            <w:r>
              <w:rPr>
                <w:rFonts w:ascii="Times New Roman" w:hAnsi="Times New Roman" w:cs="Times New Roman"/>
                <w:sz w:val="21"/>
                <w:szCs w:val="21"/>
              </w:rPr>
              <w:fldChar w:fldCharType="end"/>
            </w:r>
            <w:r>
              <w:rPr>
                <w:rFonts w:ascii="Times New Roman" w:hAnsi="Times New Roman" w:cs="Times New Roman"/>
                <w:sz w:val="21"/>
                <w:szCs w:val="21"/>
              </w:rPr>
              <w:t>高热可燃</w:t>
            </w:r>
          </w:p>
        </w:tc>
        <w:tc>
          <w:tcPr>
            <w:tcW w:w="813" w:type="pct"/>
            <w:shd w:val="clear" w:color="auto" w:fill="auto"/>
            <w:noWrap w:val="0"/>
            <w:vAlign w:val="center"/>
          </w:tcPr>
          <w:p w14:paraId="4E05A670">
            <w:pPr>
              <w:widowControl w:val="0"/>
              <w:bidi w:val="0"/>
              <w:spacing w:line="240" w:lineRule="auto"/>
              <w:jc w:val="center"/>
              <w:rPr>
                <w:rFonts w:hint="default"/>
                <w:sz w:val="21"/>
                <w:szCs w:val="21"/>
                <w:lang w:val="en-US" w:eastAsia="zh-CN"/>
              </w:rPr>
            </w:pPr>
            <w:r>
              <w:rPr>
                <w:rFonts w:ascii="Times New Roman" w:hAnsi="Times New Roman" w:cs="Times New Roman"/>
                <w:sz w:val="21"/>
                <w:szCs w:val="21"/>
              </w:rPr>
              <w:t>LC</w:t>
            </w:r>
            <w:r>
              <w:rPr>
                <w:rFonts w:ascii="Times New Roman" w:hAnsi="Times New Roman" w:cs="Times New Roman"/>
                <w:sz w:val="21"/>
                <w:szCs w:val="21"/>
                <w:vertAlign w:val="subscript"/>
              </w:rPr>
              <w:t>50</w:t>
            </w:r>
            <w:r>
              <w:rPr>
                <w:rFonts w:ascii="Times New Roman" w:hAnsi="Times New Roman" w:cs="Times New Roman"/>
                <w:sz w:val="21"/>
                <w:szCs w:val="21"/>
              </w:rPr>
              <w:t>：2300~5700mg/m³，(小鼠吸入)</w:t>
            </w:r>
          </w:p>
        </w:tc>
      </w:tr>
    </w:tbl>
    <w:p w14:paraId="0F1E2DF3">
      <w:pPr>
        <w:bidi w:val="0"/>
        <w:jc w:val="center"/>
        <w:rPr>
          <w:rFonts w:hint="eastAsia"/>
          <w:b/>
          <w:bCs/>
          <w:lang w:val="en-US" w:eastAsia="zh-CN"/>
        </w:rPr>
      </w:pPr>
      <w:r>
        <w:rPr>
          <w:rFonts w:hint="eastAsia"/>
          <w:b/>
          <w:bCs/>
          <w:lang w:val="en-US" w:eastAsia="zh-CN"/>
        </w:rPr>
        <w:t>表6.2.6-2 重点关注的危险物质大气毒性终点浓度值选取</w:t>
      </w:r>
    </w:p>
    <w:tbl>
      <w:tblPr>
        <w:tblStyle w:val="1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2"/>
        <w:gridCol w:w="1959"/>
        <w:gridCol w:w="1645"/>
        <w:gridCol w:w="4863"/>
        <w:gridCol w:w="4864"/>
      </w:tblGrid>
      <w:tr w14:paraId="5165E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13D584B1">
            <w:pPr>
              <w:spacing w:line="360" w:lineRule="exact"/>
              <w:jc w:val="center"/>
              <w:rPr>
                <w:rFonts w:ascii="Times New Roman" w:hAnsi="Times New Roman" w:cs="Times New Roman"/>
                <w:b/>
                <w:bCs/>
                <w:sz w:val="21"/>
                <w:szCs w:val="21"/>
              </w:rPr>
            </w:pPr>
            <w:r>
              <w:rPr>
                <w:rFonts w:ascii="Times New Roman" w:hAnsi="Times New Roman" w:cs="Times New Roman"/>
                <w:b/>
                <w:bCs/>
                <w:sz w:val="21"/>
                <w:szCs w:val="21"/>
              </w:rPr>
              <w:t>序号</w:t>
            </w:r>
          </w:p>
        </w:tc>
        <w:tc>
          <w:tcPr>
            <w:tcW w:w="675" w:type="pct"/>
            <w:vAlign w:val="center"/>
          </w:tcPr>
          <w:p w14:paraId="015043BC">
            <w:pPr>
              <w:spacing w:line="360" w:lineRule="exact"/>
              <w:jc w:val="center"/>
              <w:rPr>
                <w:rFonts w:ascii="Times New Roman" w:hAnsi="Times New Roman" w:cs="Times New Roman"/>
                <w:b/>
                <w:bCs/>
                <w:sz w:val="21"/>
                <w:szCs w:val="21"/>
              </w:rPr>
            </w:pPr>
            <w:r>
              <w:rPr>
                <w:rFonts w:ascii="Times New Roman" w:hAnsi="Times New Roman" w:cs="Times New Roman"/>
                <w:b/>
                <w:bCs/>
                <w:sz w:val="21"/>
                <w:szCs w:val="21"/>
              </w:rPr>
              <w:t>物质名称</w:t>
            </w:r>
          </w:p>
        </w:tc>
        <w:tc>
          <w:tcPr>
            <w:tcW w:w="567" w:type="pct"/>
            <w:vAlign w:val="center"/>
          </w:tcPr>
          <w:p w14:paraId="7F433712">
            <w:pPr>
              <w:spacing w:line="360" w:lineRule="exact"/>
              <w:jc w:val="center"/>
              <w:rPr>
                <w:rFonts w:ascii="Times New Roman" w:hAnsi="Times New Roman" w:cs="Times New Roman"/>
                <w:b/>
                <w:bCs/>
                <w:sz w:val="21"/>
                <w:szCs w:val="21"/>
              </w:rPr>
            </w:pPr>
            <w:r>
              <w:rPr>
                <w:rFonts w:ascii="Times New Roman" w:hAnsi="Times New Roman" w:cs="Times New Roman"/>
                <w:b/>
                <w:bCs/>
                <w:sz w:val="21"/>
                <w:szCs w:val="21"/>
              </w:rPr>
              <w:t>CAS号</w:t>
            </w:r>
          </w:p>
        </w:tc>
        <w:tc>
          <w:tcPr>
            <w:tcW w:w="1676" w:type="pct"/>
            <w:vAlign w:val="center"/>
          </w:tcPr>
          <w:p w14:paraId="50A49B16">
            <w:pPr>
              <w:spacing w:line="360" w:lineRule="exact"/>
              <w:jc w:val="center"/>
              <w:rPr>
                <w:rFonts w:ascii="Times New Roman" w:hAnsi="Times New Roman" w:cs="Times New Roman"/>
                <w:b/>
                <w:bCs/>
                <w:sz w:val="21"/>
                <w:szCs w:val="21"/>
              </w:rPr>
            </w:pPr>
            <w:r>
              <w:rPr>
                <w:rFonts w:ascii="Times New Roman" w:hAnsi="Times New Roman" w:cs="Times New Roman"/>
                <w:b/>
                <w:bCs/>
                <w:sz w:val="21"/>
                <w:szCs w:val="21"/>
              </w:rPr>
              <w:t>毒性终点浓度-1（mg/m³）</w:t>
            </w:r>
          </w:p>
        </w:tc>
        <w:tc>
          <w:tcPr>
            <w:tcW w:w="1676" w:type="pct"/>
            <w:vAlign w:val="center"/>
          </w:tcPr>
          <w:p w14:paraId="55DE6F6F">
            <w:pPr>
              <w:spacing w:line="360" w:lineRule="exact"/>
              <w:jc w:val="center"/>
              <w:rPr>
                <w:rFonts w:ascii="Times New Roman" w:hAnsi="Times New Roman" w:cs="Times New Roman"/>
                <w:b/>
                <w:bCs/>
                <w:sz w:val="21"/>
                <w:szCs w:val="21"/>
              </w:rPr>
            </w:pPr>
            <w:r>
              <w:rPr>
                <w:rFonts w:ascii="Times New Roman" w:hAnsi="Times New Roman" w:cs="Times New Roman"/>
                <w:b/>
                <w:bCs/>
                <w:sz w:val="21"/>
                <w:szCs w:val="21"/>
              </w:rPr>
              <w:t>毒性终点浓度-2（mg/m³）</w:t>
            </w:r>
          </w:p>
        </w:tc>
      </w:tr>
      <w:tr w14:paraId="3F1EAD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4" w:type="pct"/>
            <w:vAlign w:val="center"/>
          </w:tcPr>
          <w:p w14:paraId="4074A631">
            <w:pPr>
              <w:spacing w:line="360" w:lineRule="exact"/>
              <w:jc w:val="center"/>
              <w:rPr>
                <w:rFonts w:hint="eastAsia" w:ascii="Times New Roman" w:hAnsi="Times New Roman" w:eastAsia="宋体" w:cs="Times New Roman"/>
                <w:sz w:val="21"/>
                <w:szCs w:val="21"/>
                <w:lang w:eastAsia="zh-CN"/>
              </w:rPr>
            </w:pPr>
            <w:r>
              <w:rPr>
                <w:rFonts w:hint="eastAsia" w:ascii="Times New Roman" w:hAnsi="Times New Roman" w:cs="Times New Roman"/>
                <w:sz w:val="21"/>
                <w:szCs w:val="21"/>
                <w:lang w:val="en-US" w:eastAsia="zh-CN"/>
              </w:rPr>
              <w:t>1</w:t>
            </w:r>
          </w:p>
        </w:tc>
        <w:tc>
          <w:tcPr>
            <w:tcW w:w="675" w:type="pct"/>
            <w:vAlign w:val="center"/>
          </w:tcPr>
          <w:p w14:paraId="56187AEC">
            <w:pPr>
              <w:spacing w:line="360" w:lineRule="exact"/>
              <w:jc w:val="center"/>
              <w:rPr>
                <w:rFonts w:ascii="Times New Roman" w:hAnsi="Times New Roman" w:cs="Times New Roman"/>
                <w:sz w:val="21"/>
                <w:szCs w:val="21"/>
              </w:rPr>
            </w:pPr>
            <w:r>
              <w:rPr>
                <w:rFonts w:hint="eastAsia" w:ascii="Times New Roman" w:hAnsi="Times New Roman" w:cs="Times New Roman"/>
                <w:sz w:val="21"/>
                <w:szCs w:val="21"/>
              </w:rPr>
              <w:t>一氧化碳</w:t>
            </w:r>
          </w:p>
        </w:tc>
        <w:tc>
          <w:tcPr>
            <w:tcW w:w="567" w:type="pct"/>
            <w:vAlign w:val="center"/>
          </w:tcPr>
          <w:p w14:paraId="04308768">
            <w:pPr>
              <w:spacing w:line="360" w:lineRule="exact"/>
              <w:jc w:val="center"/>
              <w:rPr>
                <w:rFonts w:ascii="Times New Roman" w:hAnsi="Times New Roman" w:cs="Times New Roman"/>
                <w:sz w:val="21"/>
                <w:szCs w:val="21"/>
              </w:rPr>
            </w:pPr>
            <w:r>
              <w:rPr>
                <w:rFonts w:hint="eastAsia" w:ascii="Times New Roman" w:hAnsi="Times New Roman" w:cs="Times New Roman"/>
                <w:sz w:val="21"/>
                <w:szCs w:val="21"/>
              </w:rPr>
              <w:t>630-08-0</w:t>
            </w:r>
          </w:p>
        </w:tc>
        <w:tc>
          <w:tcPr>
            <w:tcW w:w="1676" w:type="pct"/>
            <w:vAlign w:val="center"/>
          </w:tcPr>
          <w:p w14:paraId="54C741D3">
            <w:pPr>
              <w:spacing w:line="360" w:lineRule="exact"/>
              <w:jc w:val="center"/>
              <w:rPr>
                <w:rFonts w:ascii="Times New Roman" w:hAnsi="Times New Roman" w:cs="Times New Roman"/>
                <w:sz w:val="21"/>
                <w:szCs w:val="21"/>
              </w:rPr>
            </w:pPr>
            <w:r>
              <w:rPr>
                <w:rFonts w:hint="eastAsia" w:ascii="Times New Roman" w:hAnsi="Times New Roman" w:cs="Times New Roman"/>
                <w:sz w:val="21"/>
                <w:szCs w:val="21"/>
              </w:rPr>
              <w:t>380</w:t>
            </w:r>
          </w:p>
        </w:tc>
        <w:tc>
          <w:tcPr>
            <w:tcW w:w="1676" w:type="pct"/>
            <w:vAlign w:val="center"/>
          </w:tcPr>
          <w:p w14:paraId="7B351976">
            <w:pPr>
              <w:spacing w:line="360" w:lineRule="exact"/>
              <w:jc w:val="center"/>
              <w:rPr>
                <w:rFonts w:ascii="Times New Roman" w:hAnsi="Times New Roman" w:cs="Times New Roman"/>
                <w:sz w:val="21"/>
                <w:szCs w:val="21"/>
              </w:rPr>
            </w:pPr>
            <w:r>
              <w:rPr>
                <w:rFonts w:hint="eastAsia" w:ascii="Times New Roman" w:hAnsi="Times New Roman" w:cs="Times New Roman"/>
                <w:sz w:val="21"/>
                <w:szCs w:val="21"/>
              </w:rPr>
              <w:t>95</w:t>
            </w:r>
          </w:p>
        </w:tc>
      </w:tr>
    </w:tbl>
    <w:p w14:paraId="704311A2">
      <w:pPr>
        <w:bidi w:val="0"/>
        <w:rPr>
          <w:rFonts w:hint="default"/>
          <w:lang w:val="en-US" w:eastAsia="zh-CN"/>
        </w:rPr>
      </w:pPr>
    </w:p>
    <w:p w14:paraId="36F3B95D">
      <w:pPr>
        <w:bidi w:val="0"/>
        <w:rPr>
          <w:rFonts w:hint="default"/>
          <w:lang w:val="en-US" w:eastAsia="zh-CN"/>
        </w:rPr>
        <w:sectPr>
          <w:pgSz w:w="16838" w:h="11905" w:orient="landscape"/>
          <w:pgMar w:top="1417" w:right="1417" w:bottom="1134" w:left="1134" w:header="851" w:footer="992" w:gutter="0"/>
          <w:pgNumType w:fmt="decimal"/>
          <w:cols w:space="0" w:num="1"/>
          <w:rtlGutter w:val="0"/>
          <w:docGrid w:type="lines" w:linePitch="346" w:charSpace="0"/>
        </w:sectPr>
      </w:pPr>
    </w:p>
    <w:p w14:paraId="286C36DF">
      <w:pPr>
        <w:ind w:firstLine="480" w:firstLineChars="200"/>
        <w:rPr>
          <w:rFonts w:hint="default"/>
          <w:lang w:val="en-US" w:eastAsia="zh-CN"/>
        </w:rPr>
      </w:pPr>
      <w:r>
        <w:rPr>
          <w:rFonts w:hint="default"/>
          <w:lang w:val="en-US" w:eastAsia="zh-CN"/>
        </w:rPr>
        <w:t>②危险物质分布</w:t>
      </w:r>
    </w:p>
    <w:p w14:paraId="330111CE">
      <w:pPr>
        <w:ind w:firstLine="480" w:firstLineChars="200"/>
        <w:rPr>
          <w:rFonts w:hint="default"/>
          <w:lang w:val="en-US" w:eastAsia="zh-CN"/>
        </w:rPr>
      </w:pPr>
      <w:r>
        <w:rPr>
          <w:rFonts w:hint="eastAsia"/>
          <w:color w:val="auto"/>
          <w:lang w:val="en-US" w:eastAsia="zh-CN"/>
        </w:rPr>
        <w:t>本次技改项目涉及到的</w:t>
      </w:r>
      <w:r>
        <w:rPr>
          <w:rFonts w:hint="default"/>
          <w:lang w:val="en-US" w:eastAsia="zh-CN"/>
        </w:rPr>
        <w:t>危险物质</w:t>
      </w:r>
      <w:r>
        <w:rPr>
          <w:rFonts w:hint="eastAsia"/>
          <w:color w:val="auto"/>
          <w:lang w:val="en-US" w:eastAsia="zh-CN"/>
        </w:rPr>
        <w:t>主要为银浆、银包铜浆料、</w:t>
      </w:r>
      <w:r>
        <w:rPr>
          <w:color w:val="auto"/>
        </w:rPr>
        <w:t>三甲基铝</w:t>
      </w:r>
      <w:r>
        <w:rPr>
          <w:rFonts w:hint="eastAsia"/>
          <w:color w:val="auto"/>
          <w:lang w:val="en-US" w:eastAsia="zh-CN"/>
        </w:rPr>
        <w:t>和危险废物等，</w:t>
      </w:r>
      <w:r>
        <w:rPr>
          <w:rFonts w:hint="default"/>
          <w:lang w:val="en-US" w:eastAsia="zh-CN"/>
        </w:rPr>
        <w:t>危险物质分布见下表。</w:t>
      </w:r>
    </w:p>
    <w:p w14:paraId="78CC547F">
      <w:pPr>
        <w:jc w:val="center"/>
        <w:rPr>
          <w:rFonts w:hint="default"/>
          <w:b/>
          <w:bCs/>
          <w:lang w:val="en-US" w:eastAsia="zh-CN"/>
        </w:rPr>
      </w:pPr>
      <w:r>
        <w:rPr>
          <w:rFonts w:hint="default"/>
          <w:b/>
          <w:bCs/>
          <w:lang w:val="en-US" w:eastAsia="zh-CN"/>
        </w:rPr>
        <w:t>表6.2.6-3 主要危险物质分布一览表</w:t>
      </w:r>
    </w:p>
    <w:tbl>
      <w:tblPr>
        <w:tblStyle w:val="17"/>
        <w:tblW w:w="507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04"/>
        <w:gridCol w:w="1567"/>
        <w:gridCol w:w="1483"/>
        <w:gridCol w:w="5750"/>
      </w:tblGrid>
      <w:tr w14:paraId="58785C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1" w:hRule="exact"/>
          <w:tblHeader/>
          <w:jc w:val="center"/>
        </w:trPr>
        <w:tc>
          <w:tcPr>
            <w:tcW w:w="370" w:type="pct"/>
            <w:vAlign w:val="center"/>
          </w:tcPr>
          <w:p w14:paraId="31A27340">
            <w:pPr>
              <w:spacing w:line="240" w:lineRule="auto"/>
              <w:jc w:val="center"/>
              <w:rPr>
                <w:rFonts w:hint="default"/>
                <w:b/>
                <w:bCs/>
                <w:sz w:val="21"/>
                <w:szCs w:val="21"/>
                <w:lang w:val="en-US" w:eastAsia="zh-CN"/>
              </w:rPr>
            </w:pPr>
            <w:r>
              <w:rPr>
                <w:rFonts w:hint="default"/>
                <w:b/>
                <w:bCs/>
                <w:sz w:val="21"/>
                <w:szCs w:val="21"/>
                <w:lang w:val="en-US" w:eastAsia="zh-CN"/>
              </w:rPr>
              <w:t>序号</w:t>
            </w:r>
          </w:p>
        </w:tc>
        <w:tc>
          <w:tcPr>
            <w:tcW w:w="1604" w:type="pct"/>
            <w:gridSpan w:val="2"/>
            <w:vAlign w:val="center"/>
          </w:tcPr>
          <w:p w14:paraId="65F9CE39">
            <w:pPr>
              <w:spacing w:line="240" w:lineRule="auto"/>
              <w:jc w:val="center"/>
              <w:rPr>
                <w:rFonts w:hint="default"/>
                <w:b/>
                <w:bCs/>
                <w:sz w:val="21"/>
                <w:szCs w:val="21"/>
                <w:lang w:val="en-US" w:eastAsia="zh-CN"/>
              </w:rPr>
            </w:pPr>
            <w:r>
              <w:rPr>
                <w:rFonts w:hint="default"/>
                <w:b/>
                <w:bCs/>
                <w:sz w:val="21"/>
                <w:szCs w:val="21"/>
                <w:lang w:val="en-US" w:eastAsia="zh-CN"/>
              </w:rPr>
              <w:t>装置名称</w:t>
            </w:r>
          </w:p>
        </w:tc>
        <w:tc>
          <w:tcPr>
            <w:tcW w:w="3024" w:type="pct"/>
            <w:vAlign w:val="center"/>
          </w:tcPr>
          <w:p w14:paraId="1CB252C6">
            <w:pPr>
              <w:spacing w:line="240" w:lineRule="auto"/>
              <w:jc w:val="center"/>
              <w:rPr>
                <w:rFonts w:hint="default"/>
                <w:b/>
                <w:bCs/>
                <w:sz w:val="21"/>
                <w:szCs w:val="21"/>
                <w:lang w:val="en-US" w:eastAsia="zh-CN"/>
              </w:rPr>
            </w:pPr>
            <w:r>
              <w:rPr>
                <w:rFonts w:hint="default"/>
                <w:b/>
                <w:bCs/>
                <w:sz w:val="21"/>
                <w:szCs w:val="21"/>
                <w:lang w:val="en-US" w:eastAsia="zh-CN"/>
              </w:rPr>
              <w:t>主要危险物质</w:t>
            </w:r>
          </w:p>
        </w:tc>
      </w:tr>
      <w:tr w14:paraId="0F1B2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33" w:hRule="exact"/>
          <w:jc w:val="center"/>
        </w:trPr>
        <w:tc>
          <w:tcPr>
            <w:tcW w:w="370" w:type="pct"/>
            <w:vAlign w:val="center"/>
          </w:tcPr>
          <w:p w14:paraId="2A5308F9">
            <w:pPr>
              <w:spacing w:line="240" w:lineRule="auto"/>
              <w:jc w:val="center"/>
              <w:rPr>
                <w:rFonts w:hint="default"/>
                <w:sz w:val="21"/>
                <w:szCs w:val="21"/>
                <w:lang w:val="en-US" w:eastAsia="zh-CN"/>
              </w:rPr>
            </w:pPr>
            <w:r>
              <w:rPr>
                <w:rFonts w:hint="eastAsia"/>
                <w:sz w:val="21"/>
                <w:szCs w:val="21"/>
                <w:lang w:val="en-US" w:eastAsia="zh-CN"/>
              </w:rPr>
              <w:t>1</w:t>
            </w:r>
          </w:p>
        </w:tc>
        <w:tc>
          <w:tcPr>
            <w:tcW w:w="1604" w:type="pct"/>
            <w:gridSpan w:val="2"/>
            <w:vAlign w:val="center"/>
          </w:tcPr>
          <w:p w14:paraId="0A081ECC">
            <w:pPr>
              <w:spacing w:line="240" w:lineRule="auto"/>
              <w:jc w:val="center"/>
              <w:rPr>
                <w:rFonts w:hint="default"/>
                <w:sz w:val="21"/>
                <w:szCs w:val="21"/>
                <w:lang w:val="en-US" w:eastAsia="zh-CN"/>
              </w:rPr>
            </w:pPr>
            <w:r>
              <w:rPr>
                <w:rFonts w:hint="eastAsia"/>
                <w:sz w:val="21"/>
                <w:szCs w:val="21"/>
                <w:lang w:val="en-US" w:eastAsia="zh-CN"/>
              </w:rPr>
              <w:t>电池车间1</w:t>
            </w:r>
          </w:p>
        </w:tc>
        <w:tc>
          <w:tcPr>
            <w:tcW w:w="3024" w:type="pct"/>
            <w:vAlign w:val="center"/>
          </w:tcPr>
          <w:p w14:paraId="4A947BA2">
            <w:pPr>
              <w:spacing w:line="240" w:lineRule="auto"/>
              <w:jc w:val="center"/>
              <w:rPr>
                <w:rFonts w:hint="default"/>
                <w:sz w:val="21"/>
                <w:szCs w:val="21"/>
                <w:lang w:val="en-US" w:eastAsia="zh-CN"/>
              </w:rPr>
            </w:pPr>
            <w:r>
              <w:rPr>
                <w:rFonts w:hint="default"/>
                <w:sz w:val="21"/>
                <w:szCs w:val="21"/>
                <w:lang w:val="en-US" w:eastAsia="zh-CN"/>
              </w:rPr>
              <w:t>银浆、银包铜浆料、三甲基铝</w:t>
            </w:r>
          </w:p>
        </w:tc>
      </w:tr>
      <w:tr w14:paraId="08DF2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00" w:hRule="exact"/>
          <w:jc w:val="center"/>
        </w:trPr>
        <w:tc>
          <w:tcPr>
            <w:tcW w:w="370" w:type="pct"/>
            <w:vAlign w:val="center"/>
          </w:tcPr>
          <w:p w14:paraId="1D786A2E">
            <w:pPr>
              <w:spacing w:line="240" w:lineRule="auto"/>
              <w:jc w:val="center"/>
              <w:rPr>
                <w:rFonts w:hint="default"/>
                <w:sz w:val="21"/>
                <w:szCs w:val="21"/>
                <w:lang w:val="en-US" w:eastAsia="zh-CN"/>
              </w:rPr>
            </w:pPr>
            <w:r>
              <w:rPr>
                <w:rFonts w:hint="eastAsia"/>
                <w:sz w:val="21"/>
                <w:szCs w:val="21"/>
                <w:lang w:val="en-US" w:eastAsia="zh-CN"/>
              </w:rPr>
              <w:t>2</w:t>
            </w:r>
          </w:p>
        </w:tc>
        <w:tc>
          <w:tcPr>
            <w:tcW w:w="824" w:type="pct"/>
            <w:vMerge w:val="restart"/>
            <w:vAlign w:val="center"/>
          </w:tcPr>
          <w:p w14:paraId="0B3C0121">
            <w:pPr>
              <w:spacing w:line="240" w:lineRule="auto"/>
              <w:jc w:val="center"/>
              <w:rPr>
                <w:rFonts w:hint="default"/>
                <w:sz w:val="21"/>
                <w:szCs w:val="21"/>
                <w:lang w:val="en-US" w:eastAsia="zh-CN"/>
              </w:rPr>
            </w:pPr>
            <w:r>
              <w:rPr>
                <w:rFonts w:hint="default"/>
                <w:sz w:val="21"/>
                <w:szCs w:val="21"/>
                <w:lang w:val="en-US" w:eastAsia="zh-CN"/>
              </w:rPr>
              <w:t>仓储</w:t>
            </w:r>
            <w:r>
              <w:rPr>
                <w:rFonts w:hint="eastAsia"/>
                <w:sz w:val="21"/>
                <w:szCs w:val="21"/>
                <w:lang w:val="en-US" w:eastAsia="zh-CN"/>
              </w:rPr>
              <w:t>区</w:t>
            </w:r>
          </w:p>
        </w:tc>
        <w:tc>
          <w:tcPr>
            <w:tcW w:w="780" w:type="pct"/>
            <w:vAlign w:val="center"/>
          </w:tcPr>
          <w:p w14:paraId="43F62737">
            <w:pPr>
              <w:spacing w:line="240" w:lineRule="auto"/>
              <w:jc w:val="center"/>
              <w:rPr>
                <w:rFonts w:hint="default"/>
                <w:sz w:val="21"/>
                <w:szCs w:val="21"/>
                <w:lang w:val="en-US" w:eastAsia="zh-CN"/>
              </w:rPr>
            </w:pPr>
            <w:r>
              <w:rPr>
                <w:rFonts w:hint="eastAsia"/>
                <w:sz w:val="21"/>
                <w:szCs w:val="21"/>
                <w:lang w:val="en-US" w:eastAsia="zh-CN"/>
              </w:rPr>
              <w:t>网版浆料仓</w:t>
            </w:r>
          </w:p>
        </w:tc>
        <w:tc>
          <w:tcPr>
            <w:tcW w:w="3024" w:type="pct"/>
            <w:vAlign w:val="center"/>
          </w:tcPr>
          <w:p w14:paraId="1DBE5771">
            <w:pPr>
              <w:spacing w:line="240" w:lineRule="auto"/>
              <w:jc w:val="center"/>
              <w:rPr>
                <w:rFonts w:hint="default"/>
                <w:sz w:val="21"/>
                <w:szCs w:val="21"/>
                <w:lang w:val="en-US" w:eastAsia="zh-CN"/>
              </w:rPr>
            </w:pPr>
            <w:r>
              <w:rPr>
                <w:rFonts w:hint="default"/>
                <w:sz w:val="21"/>
                <w:szCs w:val="21"/>
                <w:lang w:val="en-US" w:eastAsia="zh-CN"/>
              </w:rPr>
              <w:t>银浆、银包铜浆料</w:t>
            </w:r>
          </w:p>
        </w:tc>
      </w:tr>
      <w:tr w14:paraId="6C73F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5" w:hRule="exact"/>
          <w:jc w:val="center"/>
        </w:trPr>
        <w:tc>
          <w:tcPr>
            <w:tcW w:w="370" w:type="pct"/>
            <w:vAlign w:val="center"/>
          </w:tcPr>
          <w:p w14:paraId="73BE0DD7">
            <w:pPr>
              <w:spacing w:line="240" w:lineRule="auto"/>
              <w:jc w:val="center"/>
              <w:rPr>
                <w:rFonts w:hint="default"/>
                <w:sz w:val="21"/>
                <w:szCs w:val="21"/>
                <w:lang w:val="en-US" w:eastAsia="zh-CN"/>
              </w:rPr>
            </w:pPr>
            <w:r>
              <w:rPr>
                <w:rFonts w:hint="eastAsia"/>
                <w:sz w:val="21"/>
                <w:szCs w:val="21"/>
                <w:lang w:val="en-US" w:eastAsia="zh-CN"/>
              </w:rPr>
              <w:t>3</w:t>
            </w:r>
          </w:p>
        </w:tc>
        <w:tc>
          <w:tcPr>
            <w:tcW w:w="824" w:type="pct"/>
            <w:vMerge w:val="continue"/>
            <w:vAlign w:val="center"/>
          </w:tcPr>
          <w:p w14:paraId="5F997ED4">
            <w:pPr>
              <w:spacing w:line="240" w:lineRule="auto"/>
              <w:jc w:val="center"/>
              <w:rPr>
                <w:rFonts w:hint="default"/>
                <w:sz w:val="21"/>
                <w:szCs w:val="21"/>
                <w:lang w:val="en-US" w:eastAsia="zh-CN"/>
              </w:rPr>
            </w:pPr>
          </w:p>
        </w:tc>
        <w:tc>
          <w:tcPr>
            <w:tcW w:w="780" w:type="pct"/>
            <w:vAlign w:val="center"/>
          </w:tcPr>
          <w:p w14:paraId="11AE806E">
            <w:pPr>
              <w:spacing w:line="240" w:lineRule="auto"/>
              <w:jc w:val="center"/>
              <w:rPr>
                <w:rFonts w:hint="default"/>
                <w:sz w:val="21"/>
                <w:szCs w:val="21"/>
                <w:lang w:val="en-US" w:eastAsia="zh-CN"/>
              </w:rPr>
            </w:pPr>
            <w:r>
              <w:rPr>
                <w:sz w:val="21"/>
                <w:szCs w:val="21"/>
              </w:rPr>
              <w:t>特气房</w:t>
            </w:r>
          </w:p>
        </w:tc>
        <w:tc>
          <w:tcPr>
            <w:tcW w:w="3024" w:type="pct"/>
            <w:vAlign w:val="center"/>
          </w:tcPr>
          <w:p w14:paraId="3D2D98C5">
            <w:pPr>
              <w:spacing w:line="240" w:lineRule="auto"/>
              <w:jc w:val="center"/>
              <w:rPr>
                <w:rFonts w:hint="default"/>
                <w:sz w:val="21"/>
                <w:szCs w:val="21"/>
                <w:lang w:val="en-US" w:eastAsia="zh-CN"/>
              </w:rPr>
            </w:pPr>
            <w:r>
              <w:rPr>
                <w:sz w:val="21"/>
                <w:szCs w:val="21"/>
                <w:lang w:val="en-US" w:eastAsia="en-US"/>
              </w:rPr>
              <w:t>三甲基铝</w:t>
            </w:r>
          </w:p>
        </w:tc>
      </w:tr>
      <w:tr w14:paraId="50A2C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07" w:hRule="exact"/>
          <w:jc w:val="center"/>
        </w:trPr>
        <w:tc>
          <w:tcPr>
            <w:tcW w:w="370" w:type="pct"/>
            <w:vAlign w:val="center"/>
          </w:tcPr>
          <w:p w14:paraId="2F780A36">
            <w:pPr>
              <w:spacing w:line="240" w:lineRule="auto"/>
              <w:jc w:val="center"/>
              <w:rPr>
                <w:rFonts w:hint="default"/>
                <w:sz w:val="21"/>
                <w:szCs w:val="21"/>
                <w:lang w:val="en-US" w:eastAsia="zh-CN"/>
              </w:rPr>
            </w:pPr>
            <w:r>
              <w:rPr>
                <w:rFonts w:hint="eastAsia"/>
                <w:sz w:val="21"/>
                <w:szCs w:val="21"/>
                <w:lang w:val="en-US" w:eastAsia="zh-CN"/>
              </w:rPr>
              <w:t>4</w:t>
            </w:r>
          </w:p>
        </w:tc>
        <w:tc>
          <w:tcPr>
            <w:tcW w:w="824" w:type="pct"/>
            <w:vAlign w:val="center"/>
          </w:tcPr>
          <w:p w14:paraId="3C268FBA">
            <w:pPr>
              <w:spacing w:line="240" w:lineRule="auto"/>
              <w:jc w:val="center"/>
              <w:rPr>
                <w:rFonts w:hint="default"/>
                <w:sz w:val="21"/>
                <w:szCs w:val="21"/>
                <w:lang w:val="en-US" w:eastAsia="zh-CN"/>
              </w:rPr>
            </w:pPr>
            <w:r>
              <w:rPr>
                <w:rFonts w:hint="default"/>
                <w:sz w:val="21"/>
                <w:szCs w:val="21"/>
                <w:lang w:val="en-US" w:eastAsia="zh-CN"/>
              </w:rPr>
              <w:t>环保装置</w:t>
            </w:r>
          </w:p>
        </w:tc>
        <w:tc>
          <w:tcPr>
            <w:tcW w:w="780" w:type="pct"/>
            <w:vAlign w:val="center"/>
          </w:tcPr>
          <w:p w14:paraId="000C6B21">
            <w:pPr>
              <w:spacing w:line="240" w:lineRule="auto"/>
              <w:jc w:val="center"/>
              <w:rPr>
                <w:rFonts w:hint="default"/>
                <w:sz w:val="21"/>
                <w:szCs w:val="21"/>
                <w:lang w:val="en-US" w:eastAsia="zh-CN"/>
              </w:rPr>
            </w:pPr>
            <w:r>
              <w:rPr>
                <w:rFonts w:hint="default"/>
                <w:sz w:val="21"/>
                <w:szCs w:val="21"/>
                <w:lang w:val="en-US" w:eastAsia="zh-CN"/>
              </w:rPr>
              <w:t>危废</w:t>
            </w:r>
            <w:r>
              <w:rPr>
                <w:rFonts w:hint="eastAsia"/>
                <w:sz w:val="21"/>
                <w:szCs w:val="21"/>
                <w:lang w:val="en-US" w:eastAsia="zh-CN"/>
              </w:rPr>
              <w:t>暂存间</w:t>
            </w:r>
          </w:p>
        </w:tc>
        <w:tc>
          <w:tcPr>
            <w:tcW w:w="3024" w:type="pct"/>
            <w:vAlign w:val="center"/>
          </w:tcPr>
          <w:p w14:paraId="5800812B">
            <w:pPr>
              <w:spacing w:line="240" w:lineRule="auto"/>
              <w:jc w:val="center"/>
              <w:rPr>
                <w:rFonts w:hint="default"/>
                <w:sz w:val="21"/>
                <w:szCs w:val="21"/>
                <w:lang w:val="en-US" w:eastAsia="zh-CN"/>
              </w:rPr>
            </w:pPr>
            <w:r>
              <w:rPr>
                <w:rFonts w:hint="default"/>
                <w:sz w:val="21"/>
                <w:szCs w:val="21"/>
                <w:lang w:val="en-US" w:eastAsia="zh-CN"/>
              </w:rPr>
              <w:t>危险废物</w:t>
            </w:r>
          </w:p>
        </w:tc>
      </w:tr>
    </w:tbl>
    <w:p w14:paraId="62538436">
      <w:pPr>
        <w:ind w:firstLine="480" w:firstLineChars="200"/>
        <w:rPr>
          <w:rFonts w:hint="default"/>
          <w:lang w:val="en-US" w:eastAsia="zh-CN"/>
        </w:rPr>
      </w:pPr>
      <w:r>
        <w:rPr>
          <w:rFonts w:hint="default"/>
          <w:lang w:val="en-US" w:eastAsia="zh-CN"/>
        </w:rPr>
        <w:t>2、生产系统危险性识别</w:t>
      </w:r>
    </w:p>
    <w:p w14:paraId="15992908">
      <w:pPr>
        <w:ind w:firstLine="480" w:firstLineChars="200"/>
        <w:rPr>
          <w:rFonts w:hint="default"/>
          <w:lang w:val="en-US" w:eastAsia="zh-CN"/>
        </w:rPr>
      </w:pPr>
      <w:r>
        <w:rPr>
          <w:rFonts w:hint="default"/>
          <w:lang w:val="en-US" w:eastAsia="zh-CN"/>
        </w:rPr>
        <w:t>（1）危险单元的划分及危险工艺的识别</w:t>
      </w:r>
    </w:p>
    <w:p w14:paraId="290E1985">
      <w:pPr>
        <w:ind w:firstLine="480" w:firstLineChars="200"/>
        <w:rPr>
          <w:rFonts w:hint="default"/>
          <w:lang w:val="en-US" w:eastAsia="zh-CN"/>
        </w:rPr>
      </w:pPr>
      <w:r>
        <w:rPr>
          <w:rFonts w:hint="default"/>
          <w:lang w:val="en-US" w:eastAsia="zh-CN"/>
        </w:rPr>
        <w:t>根据项目工艺流程、平面布置功能划分，结合物质危险性识别结果和设计资料，</w:t>
      </w:r>
      <w:r>
        <w:rPr>
          <w:rFonts w:hint="eastAsia"/>
          <w:color w:val="auto"/>
          <w:lang w:val="en-US" w:eastAsia="zh-CN"/>
        </w:rPr>
        <w:t>本次技改项目涉及到的</w:t>
      </w:r>
      <w:r>
        <w:rPr>
          <w:rFonts w:hint="default"/>
          <w:lang w:val="en-US" w:eastAsia="zh-CN"/>
        </w:rPr>
        <w:t>危险单元划分及各危险物质分布情况见表2.3.1-7，项目危险单元分布见图6.2.6-</w:t>
      </w:r>
      <w:r>
        <w:rPr>
          <w:rFonts w:hint="eastAsia"/>
          <w:lang w:val="en-US" w:eastAsia="zh-CN"/>
        </w:rPr>
        <w:t>1</w:t>
      </w:r>
      <w:r>
        <w:rPr>
          <w:rFonts w:hint="default"/>
          <w:lang w:val="en-US" w:eastAsia="zh-CN"/>
        </w:rPr>
        <w:t>。</w:t>
      </w:r>
      <w:r>
        <w:rPr>
          <w:rFonts w:hint="eastAsia"/>
          <w:color w:val="auto"/>
          <w:lang w:val="en-US" w:eastAsia="zh-CN"/>
        </w:rPr>
        <w:t>本次技改项目生产过程涉及危险物质的高温工艺</w:t>
      </w:r>
      <w:r>
        <w:rPr>
          <w:rFonts w:hint="eastAsia" w:ascii="Times New Roman" w:hAnsi="Times New Roman" w:cs="Times New Roman"/>
          <w:lang w:val="en-US" w:eastAsia="zh-CN"/>
        </w:rPr>
        <w:t>主要</w:t>
      </w:r>
      <w:r>
        <w:rPr>
          <w:rFonts w:ascii="Times New Roman" w:hAnsi="Times New Roman" w:cs="Times New Roman"/>
        </w:rPr>
        <w:t>包括</w:t>
      </w:r>
      <w:r>
        <w:rPr>
          <w:rFonts w:hint="eastAsia" w:cs="Times New Roman"/>
          <w:lang w:val="en-US" w:eastAsia="zh-CN"/>
        </w:rPr>
        <w:t>烧结</w:t>
      </w:r>
      <w:r>
        <w:rPr>
          <w:rFonts w:hint="eastAsia" w:ascii="Times New Roman" w:hAnsi="Times New Roman" w:cs="Times New Roman"/>
        </w:rPr>
        <w:t>工艺</w:t>
      </w:r>
      <w:r>
        <w:rPr>
          <w:rFonts w:hint="eastAsia" w:cs="Times New Roman"/>
          <w:lang w:eastAsia="zh-CN"/>
        </w:rPr>
        <w:t>、</w:t>
      </w:r>
      <w:r>
        <w:rPr>
          <w:rFonts w:hint="eastAsia" w:cs="Times New Roman"/>
          <w:lang w:val="en-US" w:eastAsia="zh-CN"/>
        </w:rPr>
        <w:t>四份片钝化</w:t>
      </w:r>
      <w:r>
        <w:rPr>
          <w:rFonts w:hint="eastAsia" w:ascii="Times New Roman" w:hAnsi="Times New Roman" w:cs="Times New Roman"/>
        </w:rPr>
        <w:t>工艺</w:t>
      </w:r>
      <w:r>
        <w:rPr>
          <w:rFonts w:ascii="Times New Roman" w:hAnsi="Times New Roman" w:cs="Times New Roman"/>
        </w:rPr>
        <w:t>等。</w:t>
      </w:r>
    </w:p>
    <w:p w14:paraId="33AD6D48">
      <w:pPr>
        <w:bidi w:val="0"/>
        <w:rPr>
          <w:rFonts w:hint="default"/>
          <w:lang w:val="en-US" w:eastAsia="zh-CN"/>
        </w:rPr>
      </w:pPr>
      <w:r>
        <w:drawing>
          <wp:inline distT="0" distB="0" distL="114300" distR="114300">
            <wp:extent cx="5930265" cy="4044315"/>
            <wp:effectExtent l="0" t="0" r="13335" b="1333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27"/>
                    <a:stretch>
                      <a:fillRect/>
                    </a:stretch>
                  </pic:blipFill>
                  <pic:spPr>
                    <a:xfrm>
                      <a:off x="0" y="0"/>
                      <a:ext cx="5930265" cy="4044315"/>
                    </a:xfrm>
                    <a:prstGeom prst="rect">
                      <a:avLst/>
                    </a:prstGeom>
                    <a:noFill/>
                    <a:ln>
                      <a:noFill/>
                    </a:ln>
                  </pic:spPr>
                </pic:pic>
              </a:graphicData>
            </a:graphic>
          </wp:inline>
        </w:drawing>
      </w:r>
    </w:p>
    <w:p w14:paraId="4255A5BF">
      <w:pPr>
        <w:bidi w:val="0"/>
        <w:jc w:val="center"/>
        <w:rPr>
          <w:rFonts w:hint="default"/>
          <w:b/>
          <w:bCs/>
          <w:lang w:val="en-US" w:eastAsia="zh-CN"/>
        </w:rPr>
      </w:pPr>
      <w:r>
        <w:rPr>
          <w:rFonts w:hint="default"/>
          <w:b/>
          <w:bCs/>
          <w:lang w:val="en-US" w:eastAsia="zh-CN"/>
        </w:rPr>
        <w:t>图6.2.6-</w:t>
      </w:r>
      <w:r>
        <w:rPr>
          <w:rFonts w:hint="eastAsia"/>
          <w:b/>
          <w:bCs/>
          <w:lang w:val="en-US" w:eastAsia="zh-CN"/>
        </w:rPr>
        <w:t>1 本次技改项目涉及的危险单元分布图</w:t>
      </w:r>
    </w:p>
    <w:p w14:paraId="4CBEECAC">
      <w:pPr>
        <w:bidi w:val="0"/>
        <w:ind w:firstLine="480" w:firstLineChars="200"/>
        <w:rPr>
          <w:rFonts w:hint="default"/>
          <w:lang w:val="en-US" w:eastAsia="zh-CN"/>
        </w:rPr>
      </w:pPr>
      <w:r>
        <w:rPr>
          <w:rFonts w:hint="default"/>
          <w:lang w:val="en-US" w:eastAsia="zh-CN"/>
        </w:rPr>
        <w:t>（2）储运系统危险性及触发因素</w:t>
      </w:r>
    </w:p>
    <w:p w14:paraId="5FE93D3A">
      <w:pPr>
        <w:bidi w:val="0"/>
        <w:ind w:firstLine="480" w:firstLineChars="200"/>
        <w:rPr>
          <w:rFonts w:hint="default"/>
          <w:lang w:val="en-US" w:eastAsia="zh-CN"/>
        </w:rPr>
      </w:pPr>
      <w:r>
        <w:rPr>
          <w:rFonts w:hint="eastAsia"/>
          <w:color w:val="auto"/>
          <w:lang w:val="en-US" w:eastAsia="zh-CN"/>
        </w:rPr>
        <w:t>本次技改项目涉及到的</w:t>
      </w:r>
      <w:r>
        <w:rPr>
          <w:rFonts w:hint="default"/>
          <w:lang w:val="en-US" w:eastAsia="zh-CN"/>
        </w:rPr>
        <w:t>厂区储运系统主要为网版浆料仓和特气房，</w:t>
      </w:r>
      <w:r>
        <w:rPr>
          <w:rFonts w:hint="eastAsia"/>
          <w:color w:val="auto"/>
          <w:lang w:val="en-US" w:eastAsia="zh-CN"/>
        </w:rPr>
        <w:t>本次技改项目涉及到</w:t>
      </w:r>
      <w:r>
        <w:rPr>
          <w:rFonts w:hint="default"/>
          <w:lang w:val="en-US" w:eastAsia="zh-CN"/>
        </w:rPr>
        <w:t>危险物质银浆、银包铜浆料、三甲基铝储存主要依托现有网版浆料仓和特气房。各储运设施危险性及触发因素见下表。</w:t>
      </w:r>
    </w:p>
    <w:p w14:paraId="3DE55A71">
      <w:pPr>
        <w:bidi w:val="0"/>
        <w:jc w:val="center"/>
        <w:rPr>
          <w:rFonts w:hint="default"/>
          <w:b/>
          <w:bCs/>
          <w:lang w:val="en-US" w:eastAsia="zh-CN"/>
        </w:rPr>
      </w:pPr>
      <w:r>
        <w:rPr>
          <w:rFonts w:hint="default"/>
          <w:b/>
          <w:bCs/>
          <w:lang w:val="en-US" w:eastAsia="zh-CN"/>
        </w:rPr>
        <w:t>表6.2.6-4  储运系统设施危险性及触发因素一览表</w:t>
      </w:r>
    </w:p>
    <w:tbl>
      <w:tblPr>
        <w:tblStyle w:val="1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1256"/>
        <w:gridCol w:w="1584"/>
        <w:gridCol w:w="1011"/>
        <w:gridCol w:w="3236"/>
        <w:gridCol w:w="1737"/>
      </w:tblGrid>
      <w:tr w14:paraId="44F6EA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0" w:type="pct"/>
            <w:vAlign w:val="center"/>
          </w:tcPr>
          <w:p w14:paraId="405780E2">
            <w:pPr>
              <w:bidi w:val="0"/>
              <w:spacing w:line="240" w:lineRule="auto"/>
              <w:jc w:val="center"/>
              <w:rPr>
                <w:rFonts w:hint="default"/>
                <w:b/>
                <w:bCs/>
                <w:sz w:val="21"/>
                <w:szCs w:val="21"/>
                <w:lang w:val="en-US" w:eastAsia="zh-CN"/>
              </w:rPr>
            </w:pPr>
            <w:r>
              <w:rPr>
                <w:rFonts w:hint="default"/>
                <w:b/>
                <w:bCs/>
                <w:sz w:val="21"/>
                <w:szCs w:val="21"/>
                <w:lang w:val="en-US" w:eastAsia="zh-CN"/>
              </w:rPr>
              <w:t>序号</w:t>
            </w:r>
          </w:p>
        </w:tc>
        <w:tc>
          <w:tcPr>
            <w:tcW w:w="656" w:type="pct"/>
            <w:vAlign w:val="center"/>
          </w:tcPr>
          <w:p w14:paraId="20248250">
            <w:pPr>
              <w:bidi w:val="0"/>
              <w:spacing w:line="240" w:lineRule="auto"/>
              <w:jc w:val="center"/>
              <w:rPr>
                <w:rFonts w:hint="default"/>
                <w:b/>
                <w:bCs/>
                <w:sz w:val="21"/>
                <w:szCs w:val="21"/>
                <w:lang w:val="en-US" w:eastAsia="zh-CN"/>
              </w:rPr>
            </w:pPr>
            <w:r>
              <w:rPr>
                <w:rFonts w:hint="default"/>
                <w:b/>
                <w:bCs/>
                <w:sz w:val="21"/>
                <w:szCs w:val="21"/>
                <w:lang w:val="en-US" w:eastAsia="zh-CN"/>
              </w:rPr>
              <w:t>危险单元</w:t>
            </w:r>
          </w:p>
        </w:tc>
        <w:tc>
          <w:tcPr>
            <w:tcW w:w="827" w:type="pct"/>
            <w:vAlign w:val="center"/>
          </w:tcPr>
          <w:p w14:paraId="08B23CEB">
            <w:pPr>
              <w:bidi w:val="0"/>
              <w:spacing w:line="240" w:lineRule="auto"/>
              <w:jc w:val="center"/>
              <w:rPr>
                <w:rFonts w:hint="default"/>
                <w:b/>
                <w:bCs/>
                <w:sz w:val="21"/>
                <w:szCs w:val="21"/>
                <w:lang w:val="en-US" w:eastAsia="zh-CN"/>
              </w:rPr>
            </w:pPr>
            <w:r>
              <w:rPr>
                <w:rFonts w:hint="default"/>
                <w:b/>
                <w:bCs/>
                <w:sz w:val="21"/>
                <w:szCs w:val="21"/>
                <w:lang w:val="en-US" w:eastAsia="zh-CN"/>
              </w:rPr>
              <w:t>危险物质</w:t>
            </w:r>
          </w:p>
        </w:tc>
        <w:tc>
          <w:tcPr>
            <w:tcW w:w="528" w:type="pct"/>
            <w:vAlign w:val="center"/>
          </w:tcPr>
          <w:p w14:paraId="74030299">
            <w:pPr>
              <w:bidi w:val="0"/>
              <w:spacing w:line="240" w:lineRule="auto"/>
              <w:jc w:val="center"/>
              <w:rPr>
                <w:rFonts w:hint="default"/>
                <w:b/>
                <w:bCs/>
                <w:sz w:val="21"/>
                <w:szCs w:val="21"/>
                <w:lang w:val="en-US" w:eastAsia="zh-CN"/>
              </w:rPr>
            </w:pPr>
            <w:r>
              <w:rPr>
                <w:rFonts w:hint="eastAsia"/>
                <w:b/>
                <w:bCs/>
                <w:sz w:val="21"/>
                <w:szCs w:val="21"/>
                <w:lang w:val="en-US" w:eastAsia="zh-CN"/>
              </w:rPr>
              <w:t>储存方式</w:t>
            </w:r>
          </w:p>
        </w:tc>
        <w:tc>
          <w:tcPr>
            <w:tcW w:w="1690" w:type="pct"/>
            <w:vAlign w:val="center"/>
          </w:tcPr>
          <w:p w14:paraId="099E0C97">
            <w:pPr>
              <w:bidi w:val="0"/>
              <w:spacing w:line="240" w:lineRule="auto"/>
              <w:jc w:val="center"/>
              <w:rPr>
                <w:rFonts w:hint="default"/>
                <w:b/>
                <w:bCs/>
                <w:sz w:val="21"/>
                <w:szCs w:val="21"/>
                <w:lang w:val="en-US" w:eastAsia="zh-CN"/>
              </w:rPr>
            </w:pPr>
            <w:r>
              <w:rPr>
                <w:rFonts w:hint="default"/>
                <w:b/>
                <w:bCs/>
                <w:sz w:val="21"/>
                <w:szCs w:val="21"/>
                <w:lang w:val="en-US" w:eastAsia="zh-CN"/>
              </w:rPr>
              <w:t>危险性</w:t>
            </w:r>
          </w:p>
        </w:tc>
        <w:tc>
          <w:tcPr>
            <w:tcW w:w="907" w:type="pct"/>
            <w:vAlign w:val="center"/>
          </w:tcPr>
          <w:p w14:paraId="477850C5">
            <w:pPr>
              <w:bidi w:val="0"/>
              <w:spacing w:line="240" w:lineRule="auto"/>
              <w:jc w:val="center"/>
              <w:rPr>
                <w:rFonts w:hint="default"/>
                <w:b/>
                <w:bCs/>
                <w:sz w:val="21"/>
                <w:szCs w:val="21"/>
                <w:lang w:val="en-US" w:eastAsia="zh-CN"/>
              </w:rPr>
            </w:pPr>
            <w:r>
              <w:rPr>
                <w:rFonts w:hint="default"/>
                <w:b/>
                <w:bCs/>
                <w:sz w:val="21"/>
                <w:szCs w:val="21"/>
                <w:lang w:val="en-US" w:eastAsia="zh-CN"/>
              </w:rPr>
              <w:t>触发因素</w:t>
            </w:r>
          </w:p>
        </w:tc>
      </w:tr>
      <w:tr w14:paraId="6D72B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0" w:type="pct"/>
            <w:vAlign w:val="center"/>
          </w:tcPr>
          <w:p w14:paraId="77C67850">
            <w:pPr>
              <w:bidi w:val="0"/>
              <w:spacing w:line="240" w:lineRule="auto"/>
              <w:jc w:val="center"/>
              <w:rPr>
                <w:rFonts w:hint="default"/>
                <w:sz w:val="21"/>
                <w:szCs w:val="21"/>
                <w:lang w:val="en-US" w:eastAsia="zh-CN"/>
              </w:rPr>
            </w:pPr>
            <w:r>
              <w:rPr>
                <w:rFonts w:hint="default"/>
                <w:sz w:val="21"/>
                <w:szCs w:val="21"/>
                <w:lang w:val="en-US" w:eastAsia="zh-CN"/>
              </w:rPr>
              <w:t>1</w:t>
            </w:r>
          </w:p>
        </w:tc>
        <w:tc>
          <w:tcPr>
            <w:tcW w:w="656" w:type="pct"/>
            <w:vAlign w:val="center"/>
          </w:tcPr>
          <w:p w14:paraId="3B5BD6E0">
            <w:pPr>
              <w:bidi w:val="0"/>
              <w:spacing w:line="240" w:lineRule="auto"/>
              <w:jc w:val="center"/>
              <w:rPr>
                <w:rFonts w:hint="default"/>
                <w:sz w:val="21"/>
                <w:szCs w:val="21"/>
                <w:lang w:val="en-US" w:eastAsia="zh-CN"/>
              </w:rPr>
            </w:pPr>
            <w:r>
              <w:rPr>
                <w:rFonts w:hint="default"/>
                <w:sz w:val="21"/>
                <w:szCs w:val="21"/>
                <w:lang w:val="en-US" w:eastAsia="zh-CN"/>
              </w:rPr>
              <w:t>网版浆料仓</w:t>
            </w:r>
          </w:p>
        </w:tc>
        <w:tc>
          <w:tcPr>
            <w:tcW w:w="827" w:type="pct"/>
            <w:vAlign w:val="center"/>
          </w:tcPr>
          <w:p w14:paraId="27947FF9">
            <w:pPr>
              <w:bidi w:val="0"/>
              <w:spacing w:line="240" w:lineRule="auto"/>
              <w:jc w:val="center"/>
              <w:rPr>
                <w:rFonts w:hint="default"/>
                <w:sz w:val="21"/>
                <w:szCs w:val="21"/>
                <w:lang w:val="en-US" w:eastAsia="zh-CN"/>
              </w:rPr>
            </w:pPr>
            <w:r>
              <w:rPr>
                <w:rFonts w:hint="default"/>
                <w:sz w:val="21"/>
                <w:szCs w:val="21"/>
                <w:lang w:val="en-US" w:eastAsia="zh-CN"/>
              </w:rPr>
              <w:t>银浆、银包铜浆料</w:t>
            </w:r>
          </w:p>
        </w:tc>
        <w:tc>
          <w:tcPr>
            <w:tcW w:w="528" w:type="pct"/>
            <w:vAlign w:val="center"/>
          </w:tcPr>
          <w:p w14:paraId="774E1F75">
            <w:pPr>
              <w:bidi w:val="0"/>
              <w:spacing w:line="240" w:lineRule="auto"/>
              <w:jc w:val="center"/>
              <w:rPr>
                <w:rFonts w:hint="default"/>
                <w:sz w:val="21"/>
                <w:szCs w:val="21"/>
                <w:lang w:val="en-US" w:eastAsia="zh-CN"/>
              </w:rPr>
            </w:pPr>
            <w:r>
              <w:rPr>
                <w:rFonts w:hint="eastAsia"/>
                <w:sz w:val="21"/>
                <w:szCs w:val="21"/>
                <w:lang w:val="en-US" w:eastAsia="zh-CN"/>
              </w:rPr>
              <w:t>桶装</w:t>
            </w:r>
          </w:p>
        </w:tc>
        <w:tc>
          <w:tcPr>
            <w:tcW w:w="1690" w:type="pct"/>
            <w:vAlign w:val="center"/>
          </w:tcPr>
          <w:p w14:paraId="7042DB3B">
            <w:pPr>
              <w:bidi w:val="0"/>
              <w:spacing w:line="240" w:lineRule="auto"/>
              <w:jc w:val="center"/>
              <w:rPr>
                <w:rFonts w:hint="default"/>
                <w:sz w:val="21"/>
                <w:szCs w:val="21"/>
                <w:lang w:val="en-US" w:eastAsia="zh-CN"/>
              </w:rPr>
            </w:pPr>
            <w:r>
              <w:rPr>
                <w:rFonts w:hint="default"/>
                <w:sz w:val="21"/>
                <w:szCs w:val="21"/>
                <w:lang w:val="en-US" w:eastAsia="zh-CN"/>
              </w:rPr>
              <w:t>泄露，</w:t>
            </w:r>
            <w:r>
              <w:rPr>
                <w:rFonts w:hint="eastAsia"/>
                <w:sz w:val="21"/>
                <w:szCs w:val="21"/>
                <w:lang w:val="en-US" w:eastAsia="zh-CN"/>
              </w:rPr>
              <w:t>污染土壤及地下水</w:t>
            </w:r>
          </w:p>
        </w:tc>
        <w:tc>
          <w:tcPr>
            <w:tcW w:w="907" w:type="pct"/>
            <w:vMerge w:val="restart"/>
            <w:vAlign w:val="center"/>
          </w:tcPr>
          <w:p w14:paraId="506A7180">
            <w:pPr>
              <w:bidi w:val="0"/>
              <w:spacing w:line="240" w:lineRule="auto"/>
              <w:jc w:val="center"/>
              <w:rPr>
                <w:rFonts w:hint="default"/>
                <w:sz w:val="21"/>
                <w:szCs w:val="21"/>
                <w:lang w:val="en-US" w:eastAsia="zh-CN"/>
              </w:rPr>
            </w:pPr>
            <w:r>
              <w:rPr>
                <w:rFonts w:hint="eastAsia"/>
                <w:sz w:val="21"/>
                <w:szCs w:val="21"/>
                <w:lang w:val="en-US" w:eastAsia="zh-CN"/>
              </w:rPr>
              <w:t>包装桶破损；钢瓶</w:t>
            </w:r>
            <w:r>
              <w:rPr>
                <w:rFonts w:hint="default"/>
                <w:sz w:val="21"/>
                <w:szCs w:val="21"/>
                <w:lang w:val="en-US" w:eastAsia="zh-CN"/>
              </w:rPr>
              <w:t>管道焊接质量缺陷</w:t>
            </w:r>
            <w:r>
              <w:rPr>
                <w:rFonts w:hint="eastAsia"/>
                <w:sz w:val="21"/>
                <w:szCs w:val="21"/>
                <w:lang w:val="en-US" w:eastAsia="zh-CN"/>
              </w:rPr>
              <w:t>，</w:t>
            </w:r>
            <w:r>
              <w:rPr>
                <w:rFonts w:hint="default"/>
                <w:sz w:val="21"/>
                <w:szCs w:val="21"/>
                <w:lang w:val="en-US" w:eastAsia="zh-CN"/>
              </w:rPr>
              <w:t>阀门、法兰、垫片安装不良</w:t>
            </w:r>
          </w:p>
        </w:tc>
      </w:tr>
      <w:tr w14:paraId="6A5DF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0" w:type="pct"/>
            <w:vAlign w:val="center"/>
          </w:tcPr>
          <w:p w14:paraId="0892C39B">
            <w:pPr>
              <w:bidi w:val="0"/>
              <w:spacing w:line="240" w:lineRule="auto"/>
              <w:jc w:val="center"/>
              <w:rPr>
                <w:rFonts w:hint="default"/>
                <w:sz w:val="21"/>
                <w:szCs w:val="21"/>
                <w:lang w:val="en-US" w:eastAsia="zh-CN"/>
              </w:rPr>
            </w:pPr>
            <w:r>
              <w:rPr>
                <w:rFonts w:hint="default"/>
                <w:sz w:val="21"/>
                <w:szCs w:val="21"/>
                <w:lang w:val="en-US" w:eastAsia="zh-CN"/>
              </w:rPr>
              <w:t>2</w:t>
            </w:r>
          </w:p>
        </w:tc>
        <w:tc>
          <w:tcPr>
            <w:tcW w:w="656" w:type="pct"/>
            <w:vAlign w:val="center"/>
          </w:tcPr>
          <w:p w14:paraId="6E721C8E">
            <w:pPr>
              <w:bidi w:val="0"/>
              <w:spacing w:line="240" w:lineRule="auto"/>
              <w:jc w:val="center"/>
              <w:rPr>
                <w:rFonts w:hint="default"/>
                <w:sz w:val="21"/>
                <w:szCs w:val="21"/>
                <w:lang w:val="en-US" w:eastAsia="zh-CN"/>
              </w:rPr>
            </w:pPr>
            <w:r>
              <w:rPr>
                <w:rFonts w:hint="default"/>
                <w:sz w:val="21"/>
                <w:szCs w:val="21"/>
                <w:lang w:val="en-US" w:eastAsia="zh-CN"/>
              </w:rPr>
              <w:t>特气房</w:t>
            </w:r>
          </w:p>
        </w:tc>
        <w:tc>
          <w:tcPr>
            <w:tcW w:w="827" w:type="pct"/>
            <w:vAlign w:val="center"/>
          </w:tcPr>
          <w:p w14:paraId="4D0AA303">
            <w:pPr>
              <w:bidi w:val="0"/>
              <w:spacing w:line="240" w:lineRule="auto"/>
              <w:jc w:val="center"/>
              <w:rPr>
                <w:rFonts w:hint="default"/>
                <w:sz w:val="21"/>
                <w:szCs w:val="21"/>
                <w:lang w:val="en-US" w:eastAsia="zh-CN"/>
              </w:rPr>
            </w:pPr>
            <w:r>
              <w:rPr>
                <w:rFonts w:hint="default"/>
                <w:sz w:val="21"/>
                <w:szCs w:val="21"/>
                <w:lang w:val="en-US" w:eastAsia="zh-CN"/>
              </w:rPr>
              <w:t>三甲基铝</w:t>
            </w:r>
          </w:p>
        </w:tc>
        <w:tc>
          <w:tcPr>
            <w:tcW w:w="528" w:type="pct"/>
            <w:vAlign w:val="center"/>
          </w:tcPr>
          <w:p w14:paraId="4BA5FE1E">
            <w:pPr>
              <w:bidi w:val="0"/>
              <w:spacing w:line="240" w:lineRule="auto"/>
              <w:jc w:val="center"/>
              <w:rPr>
                <w:rFonts w:hint="default"/>
                <w:sz w:val="21"/>
                <w:szCs w:val="21"/>
                <w:lang w:val="en-US" w:eastAsia="zh-CN"/>
              </w:rPr>
            </w:pPr>
            <w:r>
              <w:rPr>
                <w:rFonts w:hint="eastAsia"/>
                <w:sz w:val="21"/>
                <w:szCs w:val="21"/>
                <w:lang w:val="en-US" w:eastAsia="zh-CN"/>
              </w:rPr>
              <w:t>钢瓶</w:t>
            </w:r>
          </w:p>
        </w:tc>
        <w:tc>
          <w:tcPr>
            <w:tcW w:w="1690" w:type="pct"/>
            <w:vAlign w:val="center"/>
          </w:tcPr>
          <w:p w14:paraId="3AEC22B8">
            <w:pPr>
              <w:bidi w:val="0"/>
              <w:spacing w:line="240" w:lineRule="auto"/>
              <w:jc w:val="center"/>
              <w:rPr>
                <w:rFonts w:hint="default"/>
                <w:sz w:val="21"/>
                <w:szCs w:val="21"/>
                <w:lang w:val="en-US" w:eastAsia="zh-CN"/>
              </w:rPr>
            </w:pPr>
            <w:r>
              <w:rPr>
                <w:rFonts w:hint="default"/>
                <w:sz w:val="21"/>
                <w:szCs w:val="21"/>
                <w:lang w:val="en-US" w:eastAsia="zh-CN"/>
              </w:rPr>
              <w:t>泄露，易挥发、</w:t>
            </w:r>
            <w:r>
              <w:rPr>
                <w:rFonts w:hint="eastAsia"/>
                <w:sz w:val="21"/>
                <w:szCs w:val="21"/>
                <w:lang w:val="en-US" w:eastAsia="zh-CN"/>
              </w:rPr>
              <w:t>易自燃</w:t>
            </w:r>
            <w:r>
              <w:rPr>
                <w:rFonts w:hint="default"/>
                <w:sz w:val="21"/>
                <w:szCs w:val="21"/>
                <w:lang w:val="en-US" w:eastAsia="zh-CN"/>
              </w:rPr>
              <w:t>，有引起燃烧爆炸的危险，燃烧产生CO等有毒物质</w:t>
            </w:r>
          </w:p>
        </w:tc>
        <w:tc>
          <w:tcPr>
            <w:tcW w:w="907" w:type="pct"/>
            <w:vMerge w:val="continue"/>
            <w:vAlign w:val="center"/>
          </w:tcPr>
          <w:p w14:paraId="4A7BFFBC">
            <w:pPr>
              <w:bidi w:val="0"/>
              <w:spacing w:line="240" w:lineRule="auto"/>
              <w:rPr>
                <w:rFonts w:hint="default"/>
                <w:sz w:val="21"/>
                <w:szCs w:val="21"/>
                <w:lang w:val="en-US" w:eastAsia="zh-CN"/>
              </w:rPr>
            </w:pPr>
          </w:p>
        </w:tc>
      </w:tr>
    </w:tbl>
    <w:p w14:paraId="6F1FF094">
      <w:pPr>
        <w:bidi w:val="0"/>
        <w:ind w:firstLine="480" w:firstLineChars="200"/>
        <w:rPr>
          <w:rFonts w:hint="default"/>
          <w:lang w:val="en-US" w:eastAsia="zh-CN"/>
        </w:rPr>
      </w:pPr>
      <w:r>
        <w:rPr>
          <w:rFonts w:hint="default"/>
          <w:lang w:val="en-US" w:eastAsia="zh-CN"/>
        </w:rPr>
        <w:t>厂区专门设置有汽车装卸区，用于液体产品的运输。液体产品的储运流程比较相似，即槽车中液体原料经装卸鹤管和管道泵，送入对应的原料罐。装卸作业较常见的事故类型是装卸软管破损导致易燃易爆、有毒物料泄漏引发火灾爆炸或人员中毒事故。汽车装车栈台作业时，输送的物料属易燃易；爆物质，物料流速快，同管壁摩擦，物料喷射时均能产生静电，若汽车槽车和装车鹤管接地相连接时，没有形成等电位，也能导致静电积聚。槽车车体与接地极相连的临时卡具没有卡结牢固，也会导致静电积聚。当上述因素使静电电位达到放电值时，放电产生火花，引起槽车物料火灾。</w:t>
      </w:r>
    </w:p>
    <w:p w14:paraId="125B51EB">
      <w:pPr>
        <w:bidi w:val="0"/>
        <w:ind w:firstLine="480" w:firstLineChars="200"/>
        <w:rPr>
          <w:rFonts w:hint="default"/>
          <w:lang w:val="en-US" w:eastAsia="zh-CN"/>
        </w:rPr>
      </w:pPr>
      <w:r>
        <w:rPr>
          <w:rFonts w:hint="default"/>
          <w:lang w:val="en-US" w:eastAsia="zh-CN"/>
        </w:rPr>
        <w:t>（3）管线运输系统危险因素识别</w:t>
      </w:r>
    </w:p>
    <w:p w14:paraId="4A5AF02D">
      <w:pPr>
        <w:bidi w:val="0"/>
        <w:ind w:firstLine="480" w:firstLineChars="200"/>
        <w:rPr>
          <w:rFonts w:hint="default"/>
          <w:lang w:val="en-US" w:eastAsia="zh-CN"/>
        </w:rPr>
      </w:pPr>
      <w:r>
        <w:rPr>
          <w:rFonts w:hint="eastAsia"/>
          <w:color w:val="auto"/>
          <w:lang w:val="en-US" w:eastAsia="zh-CN"/>
        </w:rPr>
        <w:t>本次技改项目涉及到的三甲基铝</w:t>
      </w:r>
      <w:r>
        <w:rPr>
          <w:rFonts w:hint="default"/>
          <w:lang w:val="en-US" w:eastAsia="zh-CN"/>
        </w:rPr>
        <w:t>采用管道运输</w:t>
      </w:r>
      <w:r>
        <w:rPr>
          <w:rFonts w:hint="eastAsia"/>
          <w:lang w:val="en-US" w:eastAsia="zh-CN"/>
        </w:rPr>
        <w:t>；银浆、银包铜浆料采用</w:t>
      </w:r>
      <w:r>
        <w:rPr>
          <w:rFonts w:hint="default"/>
          <w:lang w:val="en-US" w:eastAsia="zh-CN"/>
        </w:rPr>
        <w:t>叉车运输和公路运输相结合的方式，在厂内运输和外部输送过程中，会由于种种原因存在潜在的环境风险污染因素。</w:t>
      </w:r>
    </w:p>
    <w:p w14:paraId="12D32134">
      <w:pPr>
        <w:bidi w:val="0"/>
        <w:ind w:firstLine="480" w:firstLineChars="200"/>
        <w:rPr>
          <w:rFonts w:hint="default"/>
          <w:lang w:val="en-US" w:eastAsia="zh-CN"/>
        </w:rPr>
      </w:pPr>
      <w:r>
        <w:rPr>
          <w:rFonts w:hint="default"/>
          <w:lang w:val="en-US" w:eastAsia="zh-CN"/>
        </w:rPr>
        <w:t>①厂内运输</w:t>
      </w:r>
    </w:p>
    <w:p w14:paraId="70381607">
      <w:pPr>
        <w:bidi w:val="0"/>
        <w:ind w:firstLine="480" w:firstLineChars="200"/>
        <w:rPr>
          <w:rFonts w:hint="default"/>
          <w:lang w:val="en-US" w:eastAsia="zh-CN"/>
        </w:rPr>
      </w:pPr>
      <w:r>
        <w:rPr>
          <w:rFonts w:hint="default"/>
          <w:lang w:val="en-US" w:eastAsia="zh-CN"/>
        </w:rPr>
        <w:t>根据设计方案，本项目生产过程中，</w:t>
      </w:r>
      <w:r>
        <w:rPr>
          <w:rFonts w:hint="eastAsia"/>
          <w:color w:val="auto"/>
          <w:lang w:val="en-US" w:eastAsia="zh-CN"/>
        </w:rPr>
        <w:t>三甲基铝</w:t>
      </w:r>
      <w:r>
        <w:rPr>
          <w:rFonts w:hint="default"/>
          <w:lang w:val="en-US" w:eastAsia="zh-CN"/>
        </w:rPr>
        <w:t>采用管道运输的方式，在物料运输过程中，运输管道破裂以及阀门破损，均会导致有毒有害物质的泄漏，由于储罐物料储存量较大，可能对区域环境质量造成一定威胁；叉车运输</w:t>
      </w:r>
      <w:r>
        <w:rPr>
          <w:rFonts w:hint="eastAsia"/>
          <w:lang w:val="en-US" w:eastAsia="zh-CN"/>
        </w:rPr>
        <w:t>银浆、银包铜浆料</w:t>
      </w:r>
      <w:r>
        <w:rPr>
          <w:rFonts w:hint="default"/>
          <w:lang w:val="en-US" w:eastAsia="zh-CN"/>
        </w:rPr>
        <w:t>过程中翻车或物料包装桶倾翻，同样会导致有毒有害物质泄漏，但由于桶装规格有限，物料储存量较小，对区域环境质量威胁有限。</w:t>
      </w:r>
    </w:p>
    <w:p w14:paraId="43FAF620">
      <w:pPr>
        <w:bidi w:val="0"/>
        <w:ind w:firstLine="480" w:firstLineChars="200"/>
        <w:rPr>
          <w:rFonts w:hint="default"/>
          <w:lang w:val="en-US" w:eastAsia="zh-CN"/>
        </w:rPr>
      </w:pPr>
      <w:r>
        <w:rPr>
          <w:rFonts w:hint="default"/>
          <w:lang w:val="en-US" w:eastAsia="zh-CN"/>
        </w:rPr>
        <w:t>②厂外运输</w:t>
      </w:r>
    </w:p>
    <w:p w14:paraId="3E938BAA">
      <w:pPr>
        <w:bidi w:val="0"/>
        <w:ind w:firstLine="480" w:firstLineChars="200"/>
        <w:rPr>
          <w:rFonts w:hint="default"/>
          <w:lang w:val="en-US" w:eastAsia="zh-CN"/>
        </w:rPr>
      </w:pPr>
      <w:r>
        <w:rPr>
          <w:rFonts w:hint="default"/>
          <w:lang w:val="en-US" w:eastAsia="zh-CN"/>
        </w:rPr>
        <w:t>根据设计方案，本项目厂外运输计划采用公路运输方式。危险物质物料在外运过程均有可能发生翻车、撞车、药品坠落、碰撞及摩擦等险情，易引起危险品的燃烧或爆炸，造成一定的环境风险。</w:t>
      </w:r>
    </w:p>
    <w:p w14:paraId="2324BDF9">
      <w:pPr>
        <w:bidi w:val="0"/>
        <w:ind w:firstLine="480" w:firstLineChars="200"/>
        <w:rPr>
          <w:rFonts w:hint="default"/>
          <w:lang w:val="en-US" w:eastAsia="zh-CN"/>
        </w:rPr>
      </w:pPr>
      <w:r>
        <w:rPr>
          <w:rFonts w:hint="default"/>
          <w:lang w:val="en-US" w:eastAsia="zh-CN"/>
        </w:rPr>
        <w:t>（4）环保工程危险因素识别</w:t>
      </w:r>
    </w:p>
    <w:p w14:paraId="714542F1">
      <w:pPr>
        <w:bidi w:val="0"/>
        <w:ind w:firstLine="480" w:firstLineChars="200"/>
        <w:rPr>
          <w:rFonts w:hint="default"/>
          <w:lang w:val="en-US" w:eastAsia="zh-CN"/>
        </w:rPr>
      </w:pPr>
      <w:r>
        <w:rPr>
          <w:rFonts w:hint="default"/>
          <w:lang w:val="en-US" w:eastAsia="zh-CN"/>
        </w:rPr>
        <w:t>①</w:t>
      </w:r>
      <w:r>
        <w:rPr>
          <w:rFonts w:hint="eastAsia"/>
          <w:lang w:val="en-US" w:eastAsia="zh-CN"/>
        </w:rPr>
        <w:t>项目污水处理设施</w:t>
      </w:r>
      <w:r>
        <w:rPr>
          <w:rFonts w:hint="default"/>
          <w:lang w:val="en-US" w:eastAsia="zh-CN"/>
        </w:rPr>
        <w:t>一旦输送管道、池底池壁破裂，可能造成废水泄漏引起地下水环境风险。</w:t>
      </w:r>
    </w:p>
    <w:p w14:paraId="3A5364DC">
      <w:pPr>
        <w:bidi w:val="0"/>
        <w:ind w:firstLine="480" w:firstLineChars="200"/>
        <w:rPr>
          <w:rFonts w:hint="default"/>
          <w:lang w:val="en-US" w:eastAsia="zh-CN"/>
        </w:rPr>
      </w:pPr>
      <w:r>
        <w:rPr>
          <w:rFonts w:hint="default"/>
          <w:lang w:val="en-US" w:eastAsia="zh-CN"/>
        </w:rPr>
        <w:t>②</w:t>
      </w:r>
      <w:r>
        <w:rPr>
          <w:rFonts w:hint="eastAsia"/>
          <w:lang w:val="en-US" w:eastAsia="zh-CN"/>
        </w:rPr>
        <w:t>本次技改项目涉及到的活性炭吸附装置和布袋除尘器故障</w:t>
      </w:r>
      <w:r>
        <w:rPr>
          <w:rFonts w:hint="default"/>
          <w:lang w:val="en-US" w:eastAsia="zh-CN"/>
        </w:rPr>
        <w:t>，从而导致废气污染物超标排放。</w:t>
      </w:r>
    </w:p>
    <w:p w14:paraId="197F0BD5">
      <w:pPr>
        <w:bidi w:val="0"/>
        <w:ind w:firstLine="480" w:firstLineChars="200"/>
        <w:rPr>
          <w:rFonts w:hint="default"/>
          <w:lang w:val="en-US" w:eastAsia="zh-CN"/>
        </w:rPr>
      </w:pPr>
      <w:r>
        <w:rPr>
          <w:rFonts w:hint="default"/>
          <w:lang w:val="en-US" w:eastAsia="zh-CN"/>
        </w:rPr>
        <w:t xml:space="preserve">（5）重点风险源筛选 </w:t>
      </w:r>
    </w:p>
    <w:p w14:paraId="10B40B75">
      <w:pPr>
        <w:bidi w:val="0"/>
        <w:ind w:firstLine="480" w:firstLineChars="200"/>
        <w:rPr>
          <w:rFonts w:hint="default"/>
          <w:lang w:val="en-US" w:eastAsia="zh-CN"/>
        </w:rPr>
      </w:pPr>
      <w:r>
        <w:rPr>
          <w:rFonts w:hint="eastAsia"/>
          <w:color w:val="auto"/>
          <w:lang w:val="en-US" w:eastAsia="zh-CN"/>
        </w:rPr>
        <w:t>本次技改项目</w:t>
      </w:r>
      <w:r>
        <w:rPr>
          <w:rFonts w:hint="default"/>
          <w:lang w:val="en-US" w:eastAsia="zh-CN"/>
        </w:rPr>
        <w:t>重点风险源筛选结果包括：生产</w:t>
      </w:r>
      <w:r>
        <w:rPr>
          <w:rFonts w:hint="eastAsia"/>
          <w:lang w:val="en-US" w:eastAsia="zh-CN"/>
        </w:rPr>
        <w:t>设备</w:t>
      </w:r>
      <w:r>
        <w:rPr>
          <w:rFonts w:hint="default"/>
          <w:lang w:val="en-US" w:eastAsia="zh-CN"/>
        </w:rPr>
        <w:t>（重点关注</w:t>
      </w:r>
      <w:r>
        <w:rPr>
          <w:rFonts w:hint="eastAsia" w:cs="Times New Roman"/>
          <w:lang w:val="en-US" w:eastAsia="zh-CN"/>
        </w:rPr>
        <w:t>烧结</w:t>
      </w:r>
      <w:r>
        <w:rPr>
          <w:rFonts w:hint="eastAsia" w:ascii="Times New Roman" w:hAnsi="Times New Roman" w:cs="Times New Roman"/>
        </w:rPr>
        <w:t>工艺</w:t>
      </w:r>
      <w:r>
        <w:rPr>
          <w:rFonts w:hint="eastAsia" w:cs="Times New Roman"/>
          <w:lang w:eastAsia="zh-CN"/>
        </w:rPr>
        <w:t>、</w:t>
      </w:r>
      <w:r>
        <w:rPr>
          <w:rFonts w:hint="eastAsia" w:cs="Times New Roman"/>
          <w:lang w:val="en-US" w:eastAsia="zh-CN"/>
        </w:rPr>
        <w:t>四份片钝化</w:t>
      </w:r>
      <w:r>
        <w:rPr>
          <w:rFonts w:hint="eastAsia" w:ascii="Times New Roman" w:hAnsi="Times New Roman" w:cs="Times New Roman"/>
        </w:rPr>
        <w:t>工艺</w:t>
      </w:r>
      <w:r>
        <w:rPr>
          <w:rFonts w:hint="default"/>
          <w:lang w:val="en-US" w:eastAsia="zh-CN"/>
        </w:rPr>
        <w:t>）、网版浆料仓</w:t>
      </w:r>
      <w:r>
        <w:rPr>
          <w:rFonts w:hint="eastAsia"/>
          <w:lang w:val="en-US" w:eastAsia="zh-CN"/>
        </w:rPr>
        <w:t>、</w:t>
      </w:r>
      <w:r>
        <w:rPr>
          <w:rFonts w:hint="default"/>
          <w:lang w:val="en-US" w:eastAsia="zh-CN"/>
        </w:rPr>
        <w:t>特气房、</w:t>
      </w:r>
      <w:r>
        <w:rPr>
          <w:rFonts w:hint="eastAsia"/>
          <w:lang w:val="en-US" w:eastAsia="zh-CN"/>
        </w:rPr>
        <w:t>三甲基铝</w:t>
      </w:r>
      <w:r>
        <w:rPr>
          <w:rFonts w:hint="default"/>
          <w:lang w:val="en-US" w:eastAsia="zh-CN"/>
        </w:rPr>
        <w:t>输送管道、废气处理系统、废</w:t>
      </w:r>
      <w:r>
        <w:rPr>
          <w:rFonts w:hint="eastAsia"/>
          <w:lang w:val="en-US" w:eastAsia="zh-CN"/>
        </w:rPr>
        <w:t>水</w:t>
      </w:r>
      <w:r>
        <w:rPr>
          <w:rFonts w:hint="default"/>
          <w:lang w:val="en-US" w:eastAsia="zh-CN"/>
        </w:rPr>
        <w:t>处理系统等。</w:t>
      </w:r>
    </w:p>
    <w:p w14:paraId="55972414">
      <w:pPr>
        <w:bidi w:val="0"/>
        <w:ind w:firstLine="480" w:firstLineChars="200"/>
        <w:rPr>
          <w:rFonts w:hint="default"/>
          <w:lang w:val="en-US" w:eastAsia="zh-CN"/>
        </w:rPr>
      </w:pPr>
      <w:r>
        <w:rPr>
          <w:rFonts w:hint="default"/>
          <w:lang w:val="en-US" w:eastAsia="zh-CN"/>
        </w:rPr>
        <w:t>（6）环境风险类型及危险物质转移途径</w:t>
      </w:r>
    </w:p>
    <w:p w14:paraId="3E6F4A62">
      <w:pPr>
        <w:bidi w:val="0"/>
        <w:ind w:firstLine="480" w:firstLineChars="200"/>
        <w:rPr>
          <w:rFonts w:hint="default"/>
          <w:lang w:val="en-US" w:eastAsia="zh-CN"/>
        </w:rPr>
      </w:pPr>
      <w:r>
        <w:rPr>
          <w:rFonts w:hint="eastAsia"/>
          <w:color w:val="auto"/>
          <w:lang w:val="en-US" w:eastAsia="zh-CN"/>
        </w:rPr>
        <w:t>本次技改项目</w:t>
      </w:r>
      <w:r>
        <w:rPr>
          <w:rFonts w:hint="default"/>
          <w:lang w:val="en-US" w:eastAsia="zh-CN"/>
        </w:rPr>
        <w:t>环境风险类型包括危险物质泄漏，火灾、爆炸等引发的次生/伴生污染物排放。</w:t>
      </w:r>
      <w:r>
        <w:rPr>
          <w:rFonts w:hint="eastAsia"/>
          <w:color w:val="auto"/>
          <w:lang w:val="en-US" w:eastAsia="zh-CN"/>
        </w:rPr>
        <w:t>本次技改项目</w:t>
      </w:r>
      <w:r>
        <w:rPr>
          <w:rFonts w:hint="default"/>
          <w:lang w:val="en-US" w:eastAsia="zh-CN"/>
        </w:rPr>
        <w:t>各单元风险类型及危险物质转移途径见下表。</w:t>
      </w:r>
    </w:p>
    <w:p w14:paraId="367DAAED">
      <w:pPr>
        <w:bidi w:val="0"/>
        <w:jc w:val="center"/>
        <w:rPr>
          <w:rFonts w:hint="default"/>
          <w:b/>
          <w:bCs/>
          <w:lang w:val="en-US" w:eastAsia="zh-CN"/>
        </w:rPr>
      </w:pPr>
      <w:r>
        <w:rPr>
          <w:rFonts w:hint="default"/>
          <w:b/>
          <w:bCs/>
          <w:lang w:val="en-US" w:eastAsia="zh-CN"/>
        </w:rPr>
        <w:t>表6.2.6-5 项目环境风险类型及危险物质转移途径一览表</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5"/>
        <w:gridCol w:w="1988"/>
        <w:gridCol w:w="1519"/>
        <w:gridCol w:w="2335"/>
        <w:gridCol w:w="2993"/>
      </w:tblGrid>
      <w:tr w14:paraId="1ED59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84" w:type="pct"/>
            <w:vAlign w:val="center"/>
          </w:tcPr>
          <w:p w14:paraId="0ABBB218">
            <w:pPr>
              <w:bidi w:val="0"/>
              <w:spacing w:line="240" w:lineRule="auto"/>
              <w:jc w:val="center"/>
              <w:rPr>
                <w:rFonts w:hint="default"/>
                <w:b/>
                <w:bCs/>
                <w:sz w:val="21"/>
                <w:szCs w:val="21"/>
                <w:lang w:val="en-US" w:eastAsia="zh-CN"/>
              </w:rPr>
            </w:pPr>
            <w:r>
              <w:rPr>
                <w:rFonts w:hint="default"/>
                <w:b/>
                <w:bCs/>
                <w:sz w:val="21"/>
                <w:szCs w:val="21"/>
                <w:lang w:val="en-US" w:eastAsia="zh-CN"/>
              </w:rPr>
              <w:t>单元</w:t>
            </w:r>
          </w:p>
        </w:tc>
        <w:tc>
          <w:tcPr>
            <w:tcW w:w="1038" w:type="pct"/>
            <w:vAlign w:val="center"/>
          </w:tcPr>
          <w:p w14:paraId="7B19E25F">
            <w:pPr>
              <w:bidi w:val="0"/>
              <w:spacing w:line="240" w:lineRule="auto"/>
              <w:jc w:val="center"/>
              <w:rPr>
                <w:rFonts w:hint="default"/>
                <w:b/>
                <w:bCs/>
                <w:sz w:val="21"/>
                <w:szCs w:val="21"/>
                <w:lang w:val="en-US" w:eastAsia="zh-CN"/>
              </w:rPr>
            </w:pPr>
            <w:r>
              <w:rPr>
                <w:rFonts w:hint="default"/>
                <w:b/>
                <w:bCs/>
                <w:sz w:val="21"/>
                <w:szCs w:val="21"/>
                <w:lang w:val="en-US" w:eastAsia="zh-CN"/>
              </w:rPr>
              <w:t>风险产生部位</w:t>
            </w:r>
          </w:p>
        </w:tc>
        <w:tc>
          <w:tcPr>
            <w:tcW w:w="793" w:type="pct"/>
            <w:vAlign w:val="center"/>
          </w:tcPr>
          <w:p w14:paraId="17F43946">
            <w:pPr>
              <w:bidi w:val="0"/>
              <w:spacing w:line="240" w:lineRule="auto"/>
              <w:jc w:val="center"/>
              <w:rPr>
                <w:rFonts w:hint="default"/>
                <w:b/>
                <w:bCs/>
                <w:sz w:val="21"/>
                <w:szCs w:val="21"/>
                <w:lang w:val="en-US" w:eastAsia="zh-CN"/>
              </w:rPr>
            </w:pPr>
            <w:r>
              <w:rPr>
                <w:rFonts w:hint="default"/>
                <w:b/>
                <w:bCs/>
                <w:sz w:val="21"/>
                <w:szCs w:val="21"/>
                <w:lang w:val="en-US" w:eastAsia="zh-CN"/>
              </w:rPr>
              <w:t>风险类型</w:t>
            </w:r>
          </w:p>
        </w:tc>
        <w:tc>
          <w:tcPr>
            <w:tcW w:w="1219" w:type="pct"/>
            <w:vAlign w:val="center"/>
          </w:tcPr>
          <w:p w14:paraId="60F85A9C">
            <w:pPr>
              <w:bidi w:val="0"/>
              <w:spacing w:line="240" w:lineRule="auto"/>
              <w:jc w:val="center"/>
              <w:rPr>
                <w:rFonts w:hint="default"/>
                <w:b/>
                <w:bCs/>
                <w:sz w:val="21"/>
                <w:szCs w:val="21"/>
                <w:lang w:val="en-US" w:eastAsia="zh-CN"/>
              </w:rPr>
            </w:pPr>
            <w:r>
              <w:rPr>
                <w:rFonts w:hint="default"/>
                <w:b/>
                <w:bCs/>
                <w:sz w:val="21"/>
                <w:szCs w:val="21"/>
                <w:lang w:val="en-US" w:eastAsia="zh-CN"/>
              </w:rPr>
              <w:t>主要风险物质</w:t>
            </w:r>
          </w:p>
        </w:tc>
        <w:tc>
          <w:tcPr>
            <w:tcW w:w="1563" w:type="pct"/>
            <w:vAlign w:val="center"/>
          </w:tcPr>
          <w:p w14:paraId="05C90BD4">
            <w:pPr>
              <w:bidi w:val="0"/>
              <w:spacing w:line="240" w:lineRule="auto"/>
              <w:jc w:val="center"/>
              <w:rPr>
                <w:rFonts w:hint="default"/>
                <w:b/>
                <w:bCs/>
                <w:sz w:val="21"/>
                <w:szCs w:val="21"/>
                <w:lang w:val="en-US" w:eastAsia="zh-CN"/>
              </w:rPr>
            </w:pPr>
            <w:r>
              <w:rPr>
                <w:rFonts w:hint="default"/>
                <w:b/>
                <w:bCs/>
                <w:sz w:val="21"/>
                <w:szCs w:val="21"/>
                <w:lang w:val="en-US" w:eastAsia="zh-CN"/>
              </w:rPr>
              <w:t>危险物质转移途径</w:t>
            </w:r>
          </w:p>
        </w:tc>
      </w:tr>
      <w:tr w14:paraId="61E60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384" w:type="pct"/>
            <w:vAlign w:val="center"/>
          </w:tcPr>
          <w:p w14:paraId="3A6A262D">
            <w:pPr>
              <w:bidi w:val="0"/>
              <w:spacing w:line="240" w:lineRule="auto"/>
              <w:jc w:val="center"/>
              <w:rPr>
                <w:rFonts w:hint="default"/>
                <w:sz w:val="21"/>
                <w:szCs w:val="21"/>
                <w:lang w:val="en-US" w:eastAsia="zh-CN"/>
              </w:rPr>
            </w:pPr>
            <w:r>
              <w:rPr>
                <w:rFonts w:hint="default"/>
                <w:sz w:val="21"/>
                <w:szCs w:val="21"/>
                <w:lang w:val="en-US" w:eastAsia="zh-CN"/>
              </w:rPr>
              <w:t>生产</w:t>
            </w:r>
            <w:r>
              <w:rPr>
                <w:rFonts w:hint="eastAsia"/>
                <w:sz w:val="21"/>
                <w:szCs w:val="21"/>
                <w:lang w:val="en-US" w:eastAsia="zh-CN"/>
              </w:rPr>
              <w:t>设备</w:t>
            </w:r>
          </w:p>
        </w:tc>
        <w:tc>
          <w:tcPr>
            <w:tcW w:w="1038" w:type="pct"/>
            <w:vAlign w:val="center"/>
          </w:tcPr>
          <w:p w14:paraId="6D7DD935">
            <w:pPr>
              <w:bidi w:val="0"/>
              <w:spacing w:line="240" w:lineRule="auto"/>
              <w:jc w:val="center"/>
              <w:rPr>
                <w:rFonts w:hint="default"/>
                <w:sz w:val="21"/>
                <w:szCs w:val="21"/>
                <w:lang w:val="en-US" w:eastAsia="zh-CN"/>
              </w:rPr>
            </w:pPr>
            <w:r>
              <w:rPr>
                <w:rFonts w:hint="eastAsia"/>
                <w:sz w:val="21"/>
                <w:szCs w:val="21"/>
                <w:lang w:val="en-US" w:eastAsia="zh-CN"/>
              </w:rPr>
              <w:t>电池车间1</w:t>
            </w:r>
          </w:p>
        </w:tc>
        <w:tc>
          <w:tcPr>
            <w:tcW w:w="793" w:type="pct"/>
            <w:vAlign w:val="center"/>
          </w:tcPr>
          <w:p w14:paraId="5F221B4C">
            <w:pPr>
              <w:bidi w:val="0"/>
              <w:spacing w:line="240" w:lineRule="auto"/>
              <w:jc w:val="center"/>
              <w:rPr>
                <w:rFonts w:hint="default"/>
                <w:sz w:val="21"/>
                <w:szCs w:val="21"/>
                <w:lang w:val="en-US" w:eastAsia="zh-CN"/>
              </w:rPr>
            </w:pPr>
            <w:r>
              <w:rPr>
                <w:rFonts w:hint="default"/>
                <w:sz w:val="21"/>
                <w:szCs w:val="21"/>
                <w:lang w:val="en-US" w:eastAsia="zh-CN"/>
              </w:rPr>
              <w:t>火灾、爆炸、泄漏</w:t>
            </w:r>
          </w:p>
        </w:tc>
        <w:tc>
          <w:tcPr>
            <w:tcW w:w="1219" w:type="pct"/>
            <w:vAlign w:val="center"/>
          </w:tcPr>
          <w:p w14:paraId="6F358A43">
            <w:pPr>
              <w:bidi w:val="0"/>
              <w:spacing w:line="240" w:lineRule="auto"/>
              <w:jc w:val="center"/>
              <w:rPr>
                <w:rFonts w:hint="default"/>
                <w:sz w:val="21"/>
                <w:szCs w:val="21"/>
                <w:lang w:val="en-US" w:eastAsia="zh-CN"/>
              </w:rPr>
            </w:pPr>
            <w:r>
              <w:rPr>
                <w:rFonts w:hint="default"/>
                <w:sz w:val="21"/>
                <w:szCs w:val="21"/>
                <w:lang w:val="en-US" w:eastAsia="zh-CN"/>
              </w:rPr>
              <w:t>银浆、银包铜浆料、三甲基铝</w:t>
            </w:r>
          </w:p>
        </w:tc>
        <w:tc>
          <w:tcPr>
            <w:tcW w:w="1563" w:type="pct"/>
            <w:vMerge w:val="restart"/>
            <w:vAlign w:val="center"/>
          </w:tcPr>
          <w:p w14:paraId="110875B1">
            <w:pPr>
              <w:bidi w:val="0"/>
              <w:spacing w:line="240" w:lineRule="auto"/>
              <w:jc w:val="center"/>
              <w:rPr>
                <w:rFonts w:hint="default"/>
                <w:sz w:val="21"/>
                <w:szCs w:val="21"/>
                <w:lang w:val="en-US" w:eastAsia="zh-CN"/>
              </w:rPr>
            </w:pPr>
            <w:r>
              <w:rPr>
                <w:rFonts w:hint="default"/>
                <w:sz w:val="21"/>
                <w:szCs w:val="21"/>
                <w:lang w:val="en-US" w:eastAsia="zh-CN"/>
              </w:rPr>
              <w:t>1、大气：泄漏液体挥发至大气，或火灾产生CO等次生污染物释放至大气；2、土壤、地下水：泄漏液体或者消防废水经雨水管网进入事故池，在管道或事故池破损时存在渗漏，污染土壤和地下水的风险；3、地表水：项目事故废水收集后由污水站和合肥循环经济示范园第二污水处理厂处理后</w:t>
            </w:r>
            <w:r>
              <w:rPr>
                <w:rFonts w:hint="eastAsia"/>
                <w:sz w:val="21"/>
                <w:szCs w:val="21"/>
                <w:lang w:val="en-US" w:eastAsia="zh-CN"/>
              </w:rPr>
              <w:t>达标排放</w:t>
            </w:r>
            <w:r>
              <w:rPr>
                <w:rFonts w:hint="default"/>
                <w:sz w:val="21"/>
                <w:szCs w:val="21"/>
                <w:lang w:val="en-US" w:eastAsia="zh-CN"/>
              </w:rPr>
              <w:t>，不会造成地表水污染。</w:t>
            </w:r>
          </w:p>
        </w:tc>
      </w:tr>
      <w:tr w14:paraId="02244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4" w:type="pct"/>
            <w:vAlign w:val="center"/>
          </w:tcPr>
          <w:p w14:paraId="4BC741D9">
            <w:pPr>
              <w:bidi w:val="0"/>
              <w:spacing w:line="240" w:lineRule="auto"/>
              <w:jc w:val="center"/>
              <w:rPr>
                <w:rFonts w:hint="default"/>
                <w:sz w:val="21"/>
                <w:szCs w:val="21"/>
                <w:lang w:val="en-US" w:eastAsia="zh-CN"/>
              </w:rPr>
            </w:pPr>
            <w:r>
              <w:rPr>
                <w:rFonts w:hint="default"/>
                <w:sz w:val="21"/>
                <w:szCs w:val="21"/>
                <w:lang w:val="en-US" w:eastAsia="zh-CN"/>
              </w:rPr>
              <w:t>贮存系统</w:t>
            </w:r>
          </w:p>
        </w:tc>
        <w:tc>
          <w:tcPr>
            <w:tcW w:w="1038" w:type="pct"/>
            <w:vAlign w:val="center"/>
          </w:tcPr>
          <w:p w14:paraId="3920481D">
            <w:pPr>
              <w:bidi w:val="0"/>
              <w:spacing w:line="240" w:lineRule="auto"/>
              <w:jc w:val="center"/>
              <w:rPr>
                <w:rFonts w:hint="default"/>
                <w:sz w:val="21"/>
                <w:szCs w:val="21"/>
                <w:lang w:val="en-US" w:eastAsia="zh-CN"/>
              </w:rPr>
            </w:pPr>
            <w:r>
              <w:rPr>
                <w:rFonts w:hint="default"/>
                <w:sz w:val="21"/>
                <w:szCs w:val="21"/>
                <w:lang w:val="en-US" w:eastAsia="zh-CN"/>
              </w:rPr>
              <w:t>网版浆料仓、特气房等</w:t>
            </w:r>
          </w:p>
        </w:tc>
        <w:tc>
          <w:tcPr>
            <w:tcW w:w="793" w:type="pct"/>
            <w:vAlign w:val="center"/>
          </w:tcPr>
          <w:p w14:paraId="357CA375">
            <w:pPr>
              <w:bidi w:val="0"/>
              <w:spacing w:line="240" w:lineRule="auto"/>
              <w:jc w:val="center"/>
              <w:rPr>
                <w:rFonts w:hint="default"/>
                <w:sz w:val="21"/>
                <w:szCs w:val="21"/>
                <w:lang w:val="en-US" w:eastAsia="zh-CN"/>
              </w:rPr>
            </w:pPr>
            <w:r>
              <w:rPr>
                <w:rFonts w:hint="default"/>
                <w:sz w:val="21"/>
                <w:szCs w:val="21"/>
                <w:lang w:val="en-US" w:eastAsia="zh-CN"/>
              </w:rPr>
              <w:t>火灾、爆炸、泄漏</w:t>
            </w:r>
          </w:p>
        </w:tc>
        <w:tc>
          <w:tcPr>
            <w:tcW w:w="1219" w:type="pct"/>
            <w:vAlign w:val="center"/>
          </w:tcPr>
          <w:p w14:paraId="71598268">
            <w:pPr>
              <w:bidi w:val="0"/>
              <w:spacing w:line="240" w:lineRule="auto"/>
              <w:jc w:val="center"/>
              <w:rPr>
                <w:rFonts w:hint="default"/>
                <w:sz w:val="21"/>
                <w:szCs w:val="21"/>
                <w:lang w:val="en-US" w:eastAsia="zh-CN"/>
              </w:rPr>
            </w:pPr>
            <w:r>
              <w:rPr>
                <w:rFonts w:hint="default"/>
                <w:sz w:val="21"/>
                <w:szCs w:val="21"/>
                <w:lang w:val="en-US" w:eastAsia="zh-CN"/>
              </w:rPr>
              <w:t>银浆、银包铜浆料、三甲基铝</w:t>
            </w:r>
          </w:p>
        </w:tc>
        <w:tc>
          <w:tcPr>
            <w:tcW w:w="1563" w:type="pct"/>
            <w:vMerge w:val="continue"/>
            <w:vAlign w:val="center"/>
          </w:tcPr>
          <w:p w14:paraId="06FA23F2">
            <w:pPr>
              <w:bidi w:val="0"/>
              <w:rPr>
                <w:rFonts w:hint="default"/>
                <w:lang w:val="en-US" w:eastAsia="zh-CN"/>
              </w:rPr>
            </w:pPr>
          </w:p>
        </w:tc>
      </w:tr>
      <w:tr w14:paraId="345FD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8" w:hRule="atLeast"/>
          <w:jc w:val="center"/>
        </w:trPr>
        <w:tc>
          <w:tcPr>
            <w:tcW w:w="384" w:type="pct"/>
            <w:vAlign w:val="center"/>
          </w:tcPr>
          <w:p w14:paraId="32B46F6A">
            <w:pPr>
              <w:bidi w:val="0"/>
              <w:spacing w:line="240" w:lineRule="auto"/>
              <w:jc w:val="center"/>
              <w:rPr>
                <w:rFonts w:hint="default"/>
                <w:sz w:val="21"/>
                <w:szCs w:val="21"/>
                <w:lang w:val="en-US" w:eastAsia="zh-CN"/>
              </w:rPr>
            </w:pPr>
            <w:r>
              <w:rPr>
                <w:rFonts w:hint="default"/>
                <w:sz w:val="21"/>
                <w:szCs w:val="21"/>
                <w:lang w:val="en-US" w:eastAsia="zh-CN"/>
              </w:rPr>
              <w:t>输送系统</w:t>
            </w:r>
          </w:p>
        </w:tc>
        <w:tc>
          <w:tcPr>
            <w:tcW w:w="1038" w:type="pct"/>
            <w:vAlign w:val="center"/>
          </w:tcPr>
          <w:p w14:paraId="7D202676">
            <w:pPr>
              <w:bidi w:val="0"/>
              <w:spacing w:line="240" w:lineRule="auto"/>
              <w:jc w:val="center"/>
              <w:rPr>
                <w:rFonts w:hint="default"/>
                <w:sz w:val="21"/>
                <w:szCs w:val="21"/>
                <w:lang w:val="en-US" w:eastAsia="zh-CN"/>
              </w:rPr>
            </w:pPr>
            <w:r>
              <w:rPr>
                <w:rFonts w:hint="default"/>
                <w:sz w:val="21"/>
                <w:szCs w:val="21"/>
                <w:lang w:val="en-US" w:eastAsia="zh-CN"/>
              </w:rPr>
              <w:t>物料输送等管道</w:t>
            </w:r>
          </w:p>
        </w:tc>
        <w:tc>
          <w:tcPr>
            <w:tcW w:w="793" w:type="pct"/>
            <w:vAlign w:val="center"/>
          </w:tcPr>
          <w:p w14:paraId="7DA6175B">
            <w:pPr>
              <w:bidi w:val="0"/>
              <w:spacing w:line="240" w:lineRule="auto"/>
              <w:jc w:val="center"/>
              <w:rPr>
                <w:rFonts w:hint="default"/>
                <w:sz w:val="21"/>
                <w:szCs w:val="21"/>
                <w:lang w:val="en-US" w:eastAsia="zh-CN"/>
              </w:rPr>
            </w:pPr>
            <w:r>
              <w:rPr>
                <w:rFonts w:hint="default"/>
                <w:sz w:val="21"/>
                <w:szCs w:val="21"/>
                <w:lang w:val="en-US" w:eastAsia="zh-CN"/>
              </w:rPr>
              <w:t>火灾、爆炸、泄漏</w:t>
            </w:r>
          </w:p>
        </w:tc>
        <w:tc>
          <w:tcPr>
            <w:tcW w:w="1219" w:type="pct"/>
            <w:vAlign w:val="center"/>
          </w:tcPr>
          <w:p w14:paraId="1532D0B7">
            <w:pPr>
              <w:bidi w:val="0"/>
              <w:spacing w:line="240" w:lineRule="auto"/>
              <w:jc w:val="center"/>
              <w:rPr>
                <w:rFonts w:hint="default"/>
                <w:sz w:val="21"/>
                <w:szCs w:val="21"/>
                <w:lang w:val="en-US" w:eastAsia="zh-CN"/>
              </w:rPr>
            </w:pPr>
            <w:r>
              <w:rPr>
                <w:rFonts w:hint="default"/>
                <w:sz w:val="21"/>
                <w:szCs w:val="21"/>
                <w:lang w:val="en-US" w:eastAsia="zh-CN"/>
              </w:rPr>
              <w:t>三甲基铝</w:t>
            </w:r>
          </w:p>
        </w:tc>
        <w:tc>
          <w:tcPr>
            <w:tcW w:w="1563" w:type="pct"/>
            <w:vMerge w:val="continue"/>
            <w:vAlign w:val="center"/>
          </w:tcPr>
          <w:p w14:paraId="16213867">
            <w:pPr>
              <w:bidi w:val="0"/>
              <w:rPr>
                <w:rFonts w:hint="default"/>
                <w:lang w:val="en-US" w:eastAsia="zh-CN"/>
              </w:rPr>
            </w:pPr>
          </w:p>
        </w:tc>
      </w:tr>
    </w:tbl>
    <w:p w14:paraId="13440D3D">
      <w:pPr>
        <w:bidi w:val="0"/>
        <w:ind w:firstLine="480" w:firstLineChars="200"/>
        <w:rPr>
          <w:rFonts w:hint="default"/>
          <w:lang w:val="en-US" w:eastAsia="zh-CN"/>
        </w:rPr>
      </w:pPr>
      <w:r>
        <w:rPr>
          <w:rFonts w:hint="default"/>
          <w:lang w:val="en-US" w:eastAsia="zh-CN"/>
        </w:rPr>
        <w:t>①泄漏→火灾→爆炸</w:t>
      </w:r>
    </w:p>
    <w:p w14:paraId="2AD46579">
      <w:pPr>
        <w:bidi w:val="0"/>
        <w:ind w:firstLine="480" w:firstLineChars="200"/>
        <w:rPr>
          <w:rFonts w:hint="default"/>
          <w:lang w:val="en-US" w:eastAsia="zh-CN"/>
        </w:rPr>
      </w:pPr>
      <w:r>
        <w:rPr>
          <w:rFonts w:hint="default"/>
          <w:lang w:val="en-US" w:eastAsia="zh-CN"/>
        </w:rPr>
        <w:t xml:space="preserve">直接污染：该类事故通常的起因是设备（包括管线、阀门或其它设施）出现故障或操作失误、仪表失灵等，使易燃或可燃物料泄漏，弥散在空气中，此时的直接危险是有毒有害物质的扩散对周围环境的污染；事故发生后，通常采取切断泄漏源、切断火源，隔离泄漏场所的措施，通过适当方式合理通风，加速有害物质的扩散，降低泄漏点的浓度，避免引起爆炸。次生/伴生污染：可燃或易燃泄漏物若遇明火将会引发火灾、爆炸，发生次生灾害，火灾燃烧时产的烟气为伴生污染物，将会对周围环境造成一定污染。 </w:t>
      </w:r>
    </w:p>
    <w:p w14:paraId="7CEDA307">
      <w:pPr>
        <w:bidi w:val="0"/>
        <w:ind w:firstLine="480" w:firstLineChars="200"/>
        <w:rPr>
          <w:rFonts w:hint="default"/>
          <w:lang w:val="en-US" w:eastAsia="zh-CN"/>
        </w:rPr>
      </w:pPr>
      <w:r>
        <w:rPr>
          <w:rFonts w:hint="default"/>
          <w:lang w:val="en-US" w:eastAsia="zh-CN"/>
        </w:rPr>
        <w:t>（7）</w:t>
      </w:r>
      <w:r>
        <w:rPr>
          <w:rFonts w:hint="eastAsia"/>
          <w:color w:val="auto"/>
          <w:lang w:val="en-US" w:eastAsia="zh-CN"/>
        </w:rPr>
        <w:t>本次技改项目</w:t>
      </w:r>
      <w:r>
        <w:rPr>
          <w:rFonts w:hint="default"/>
          <w:lang w:val="en-US" w:eastAsia="zh-CN"/>
        </w:rPr>
        <w:t>环境风险类型识别</w:t>
      </w:r>
    </w:p>
    <w:p w14:paraId="7BBB6F3C">
      <w:pPr>
        <w:bidi w:val="0"/>
        <w:ind w:firstLine="480" w:firstLineChars="200"/>
        <w:rPr>
          <w:rFonts w:hint="default"/>
          <w:lang w:val="en-US" w:eastAsia="zh-CN"/>
        </w:rPr>
      </w:pPr>
      <w:r>
        <w:rPr>
          <w:rFonts w:hint="eastAsia"/>
          <w:color w:val="auto"/>
          <w:lang w:val="en-US" w:eastAsia="zh-CN"/>
        </w:rPr>
        <w:t>本次技改项目</w:t>
      </w:r>
      <w:r>
        <w:rPr>
          <w:rFonts w:hint="default"/>
          <w:lang w:val="en-US" w:eastAsia="zh-CN"/>
        </w:rPr>
        <w:t>涉及到主要的有毒有害物质有银浆、银包铜浆料、三甲基铝等；涉及到易燃易爆的物质主要有三甲基铝等。</w:t>
      </w:r>
    </w:p>
    <w:p w14:paraId="4779ECFC">
      <w:pPr>
        <w:bidi w:val="0"/>
        <w:ind w:firstLine="480" w:firstLineChars="200"/>
        <w:rPr>
          <w:rFonts w:hint="default"/>
          <w:lang w:val="en-US" w:eastAsia="zh-CN"/>
        </w:rPr>
      </w:pPr>
      <w:r>
        <w:rPr>
          <w:rFonts w:hint="eastAsia"/>
          <w:color w:val="auto"/>
          <w:lang w:val="en-US" w:eastAsia="zh-CN"/>
        </w:rPr>
        <w:t>本次技改项目</w:t>
      </w:r>
      <w:r>
        <w:rPr>
          <w:rFonts w:hint="default"/>
          <w:lang w:val="en-US" w:eastAsia="zh-CN"/>
        </w:rPr>
        <w:t>有毒有害物质扩散途径主要有以下几个方面：</w:t>
      </w:r>
    </w:p>
    <w:p w14:paraId="745CAEAA">
      <w:pPr>
        <w:bidi w:val="0"/>
        <w:ind w:firstLine="480" w:firstLineChars="200"/>
        <w:rPr>
          <w:rFonts w:hint="default"/>
          <w:lang w:val="en-US" w:eastAsia="zh-CN"/>
        </w:rPr>
      </w:pPr>
      <w:r>
        <w:rPr>
          <w:rFonts w:hint="default"/>
          <w:lang w:val="en-US" w:eastAsia="zh-CN"/>
        </w:rPr>
        <w:t>①大气扩散：易燃易爆物质三甲基铝泄漏发生火灾爆炸事故时伴生污染物进行大气环境，通过大气扩散对项目周围环境造成危害。</w:t>
      </w:r>
    </w:p>
    <w:p w14:paraId="4D654183">
      <w:pPr>
        <w:bidi w:val="0"/>
        <w:ind w:firstLine="480" w:firstLineChars="200"/>
        <w:rPr>
          <w:rFonts w:hint="default"/>
          <w:lang w:val="en-US" w:eastAsia="zh-CN"/>
        </w:rPr>
      </w:pPr>
      <w:r>
        <w:rPr>
          <w:rFonts w:hint="default"/>
          <w:lang w:val="en-US" w:eastAsia="zh-CN"/>
        </w:rPr>
        <w:t>②地下水环境扩散：</w:t>
      </w:r>
      <w:r>
        <w:rPr>
          <w:rFonts w:hint="eastAsia"/>
          <w:lang w:val="en-US" w:eastAsia="zh-CN"/>
        </w:rPr>
        <w:t>厂区</w:t>
      </w:r>
      <w:r>
        <w:rPr>
          <w:rFonts w:hint="default"/>
          <w:lang w:val="en-US" w:eastAsia="zh-CN"/>
        </w:rPr>
        <w:t>废水收集系统或输送管道破裂，造成废水泄漏进入地下水环境，对地下水环境造成风险事故。</w:t>
      </w:r>
    </w:p>
    <w:p w14:paraId="21E71018">
      <w:pPr>
        <w:bidi w:val="0"/>
        <w:rPr>
          <w:rFonts w:hint="default"/>
          <w:b/>
          <w:bCs/>
          <w:lang w:val="en-US" w:eastAsia="zh-CN"/>
        </w:rPr>
      </w:pPr>
      <w:r>
        <w:rPr>
          <w:rFonts w:hint="default"/>
          <w:b/>
          <w:bCs/>
          <w:lang w:val="en-US" w:eastAsia="zh-CN"/>
        </w:rPr>
        <w:t>6.2.6.2.5 环境风险事故情形分析</w:t>
      </w:r>
    </w:p>
    <w:p w14:paraId="0F7C67D1">
      <w:pPr>
        <w:bidi w:val="0"/>
        <w:ind w:firstLine="480" w:firstLineChars="200"/>
        <w:rPr>
          <w:rFonts w:hint="default"/>
          <w:lang w:val="en-US" w:eastAsia="zh-CN"/>
        </w:rPr>
      </w:pPr>
      <w:r>
        <w:rPr>
          <w:rFonts w:hint="default"/>
          <w:lang w:val="en-US" w:eastAsia="zh-CN"/>
        </w:rPr>
        <w:t>（1）事故原因分析</w:t>
      </w:r>
    </w:p>
    <w:p w14:paraId="7C52A069">
      <w:pPr>
        <w:bidi w:val="0"/>
        <w:ind w:firstLine="480" w:firstLineChars="200"/>
        <w:rPr>
          <w:rFonts w:hint="default"/>
          <w:lang w:val="en-US" w:eastAsia="zh-CN"/>
        </w:rPr>
      </w:pPr>
      <w:r>
        <w:rPr>
          <w:rFonts w:hint="default"/>
          <w:lang w:val="en-US" w:eastAsia="zh-CN"/>
        </w:rPr>
        <w:t>生产过程中，造成事故隐患的因素很多，根据某保险公司对102起行业事故因素统计，设备缺陷、对物质的危险性认识不足、操作失误和工艺不完善是造成诸多事故的主要因素，占全部统计因素的79.1%</w:t>
      </w:r>
      <w:r>
        <w:rPr>
          <w:rFonts w:hint="eastAsia"/>
          <w:lang w:val="en-US" w:eastAsia="zh-CN"/>
        </w:rPr>
        <w:t>。</w:t>
      </w:r>
      <w:r>
        <w:rPr>
          <w:rFonts w:hint="default"/>
          <w:lang w:val="en-US" w:eastAsia="zh-CN"/>
        </w:rPr>
        <w:t>造成设备缺陷的原因包括材质选用不当、焊接缺陷、制造问题、安全附件不全、密封不严、安装不规范等原因，详见下表。</w:t>
      </w:r>
    </w:p>
    <w:p w14:paraId="642544FC">
      <w:pPr>
        <w:bidi w:val="0"/>
        <w:jc w:val="center"/>
        <w:rPr>
          <w:rFonts w:hint="default"/>
          <w:b/>
          <w:bCs/>
          <w:lang w:val="en-US" w:eastAsia="zh-CN"/>
        </w:rPr>
      </w:pPr>
      <w:r>
        <w:rPr>
          <w:rFonts w:hint="default"/>
          <w:b/>
          <w:bCs/>
          <w:lang w:val="en-US" w:eastAsia="zh-CN"/>
        </w:rPr>
        <w:t>表6.2.6</w:t>
      </w:r>
      <w:r>
        <w:rPr>
          <w:rFonts w:hint="eastAsia"/>
          <w:b/>
          <w:bCs/>
          <w:lang w:val="en-US" w:eastAsia="zh-CN"/>
        </w:rPr>
        <w:t>-6</w:t>
      </w:r>
      <w:r>
        <w:rPr>
          <w:rFonts w:hint="default"/>
          <w:b/>
          <w:bCs/>
          <w:lang w:val="en-US" w:eastAsia="zh-CN"/>
        </w:rPr>
        <w:t xml:space="preserve"> 行业的危险因素分析</w:t>
      </w:r>
    </w:p>
    <w:tbl>
      <w:tblPr>
        <w:tblStyle w:val="25"/>
        <w:tblW w:w="5003"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247"/>
        <w:gridCol w:w="4060"/>
        <w:gridCol w:w="4060"/>
      </w:tblGrid>
      <w:tr w14:paraId="5906F7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246" w:type="dxa"/>
            <w:vAlign w:val="top"/>
          </w:tcPr>
          <w:p w14:paraId="39401C9A">
            <w:pPr>
              <w:widowControl w:val="0"/>
              <w:bidi w:val="0"/>
              <w:spacing w:line="240" w:lineRule="auto"/>
              <w:jc w:val="center"/>
              <w:rPr>
                <w:rFonts w:hint="default"/>
                <w:b/>
                <w:bCs/>
                <w:sz w:val="21"/>
                <w:szCs w:val="21"/>
                <w:lang w:val="en-US" w:eastAsia="zh-CN"/>
              </w:rPr>
            </w:pPr>
            <w:r>
              <w:rPr>
                <w:rFonts w:hint="default"/>
                <w:b/>
                <w:bCs/>
                <w:sz w:val="21"/>
                <w:szCs w:val="21"/>
                <w:lang w:val="en-US" w:eastAsia="zh-CN"/>
              </w:rPr>
              <w:t>序号</w:t>
            </w:r>
          </w:p>
        </w:tc>
        <w:tc>
          <w:tcPr>
            <w:tcW w:w="4057" w:type="dxa"/>
            <w:vAlign w:val="top"/>
          </w:tcPr>
          <w:p w14:paraId="09039F2C">
            <w:pPr>
              <w:widowControl w:val="0"/>
              <w:bidi w:val="0"/>
              <w:spacing w:line="240" w:lineRule="auto"/>
              <w:jc w:val="center"/>
              <w:rPr>
                <w:rFonts w:hint="default"/>
                <w:b/>
                <w:bCs/>
                <w:sz w:val="21"/>
                <w:szCs w:val="21"/>
                <w:lang w:val="en-US" w:eastAsia="zh-CN"/>
              </w:rPr>
            </w:pPr>
            <w:r>
              <w:rPr>
                <w:rFonts w:hint="default"/>
                <w:b/>
                <w:bCs/>
                <w:sz w:val="21"/>
                <w:szCs w:val="21"/>
                <w:lang w:val="en-US" w:eastAsia="zh-CN"/>
              </w:rPr>
              <w:t>危险因素</w:t>
            </w:r>
          </w:p>
        </w:tc>
        <w:tc>
          <w:tcPr>
            <w:tcW w:w="4057" w:type="dxa"/>
            <w:vAlign w:val="top"/>
          </w:tcPr>
          <w:p w14:paraId="51CB2C71">
            <w:pPr>
              <w:widowControl w:val="0"/>
              <w:bidi w:val="0"/>
              <w:spacing w:line="240" w:lineRule="auto"/>
              <w:jc w:val="center"/>
              <w:rPr>
                <w:rFonts w:hint="default"/>
                <w:b/>
                <w:bCs/>
                <w:sz w:val="21"/>
                <w:szCs w:val="21"/>
                <w:lang w:val="en-US" w:eastAsia="zh-CN"/>
              </w:rPr>
            </w:pPr>
            <w:r>
              <w:rPr>
                <w:rFonts w:hint="default"/>
                <w:b/>
                <w:bCs/>
                <w:sz w:val="21"/>
                <w:szCs w:val="21"/>
                <w:lang w:val="en-US" w:eastAsia="zh-CN"/>
              </w:rPr>
              <w:t>危险因素的比例%</w:t>
            </w:r>
          </w:p>
        </w:tc>
      </w:tr>
      <w:tr w14:paraId="70EC93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246" w:type="dxa"/>
            <w:vAlign w:val="top"/>
          </w:tcPr>
          <w:p w14:paraId="0BC26674">
            <w:pPr>
              <w:widowControl w:val="0"/>
              <w:bidi w:val="0"/>
              <w:spacing w:line="240" w:lineRule="auto"/>
              <w:jc w:val="center"/>
              <w:rPr>
                <w:rFonts w:hint="default"/>
                <w:sz w:val="21"/>
                <w:szCs w:val="21"/>
                <w:lang w:val="en-US" w:eastAsia="zh-CN"/>
              </w:rPr>
            </w:pPr>
            <w:r>
              <w:rPr>
                <w:rFonts w:hint="default"/>
                <w:sz w:val="21"/>
                <w:szCs w:val="21"/>
                <w:lang w:val="en-US" w:eastAsia="zh-CN"/>
              </w:rPr>
              <w:t>1</w:t>
            </w:r>
          </w:p>
        </w:tc>
        <w:tc>
          <w:tcPr>
            <w:tcW w:w="4057" w:type="dxa"/>
            <w:vAlign w:val="top"/>
          </w:tcPr>
          <w:p w14:paraId="18FC4D00">
            <w:pPr>
              <w:widowControl w:val="0"/>
              <w:bidi w:val="0"/>
              <w:spacing w:line="240" w:lineRule="auto"/>
              <w:jc w:val="center"/>
              <w:rPr>
                <w:rFonts w:hint="default"/>
                <w:sz w:val="21"/>
                <w:szCs w:val="21"/>
                <w:lang w:val="en-US" w:eastAsia="zh-CN"/>
              </w:rPr>
            </w:pPr>
            <w:r>
              <w:rPr>
                <w:rFonts w:hint="default"/>
                <w:sz w:val="21"/>
                <w:szCs w:val="21"/>
                <w:lang w:val="en-US" w:eastAsia="zh-CN"/>
              </w:rPr>
              <w:t>设备缺陷问题</w:t>
            </w:r>
          </w:p>
        </w:tc>
        <w:tc>
          <w:tcPr>
            <w:tcW w:w="4057" w:type="dxa"/>
            <w:vAlign w:val="top"/>
          </w:tcPr>
          <w:p w14:paraId="4BE69CAE">
            <w:pPr>
              <w:widowControl w:val="0"/>
              <w:bidi w:val="0"/>
              <w:spacing w:line="240" w:lineRule="auto"/>
              <w:jc w:val="center"/>
              <w:rPr>
                <w:rFonts w:hint="default"/>
                <w:sz w:val="21"/>
                <w:szCs w:val="21"/>
                <w:lang w:val="en-US" w:eastAsia="zh-CN"/>
              </w:rPr>
            </w:pPr>
            <w:r>
              <w:rPr>
                <w:rFonts w:hint="default"/>
                <w:sz w:val="21"/>
                <w:szCs w:val="21"/>
                <w:lang w:val="en-US" w:eastAsia="zh-CN"/>
              </w:rPr>
              <w:t>31. 1</w:t>
            </w:r>
          </w:p>
        </w:tc>
      </w:tr>
      <w:tr w14:paraId="48D89C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246" w:type="dxa"/>
            <w:vAlign w:val="top"/>
          </w:tcPr>
          <w:p w14:paraId="04476BAD">
            <w:pPr>
              <w:widowControl w:val="0"/>
              <w:bidi w:val="0"/>
              <w:spacing w:line="240" w:lineRule="auto"/>
              <w:jc w:val="center"/>
              <w:rPr>
                <w:rFonts w:hint="default"/>
                <w:sz w:val="21"/>
                <w:szCs w:val="21"/>
                <w:lang w:val="en-US" w:eastAsia="zh-CN"/>
              </w:rPr>
            </w:pPr>
            <w:r>
              <w:rPr>
                <w:rFonts w:hint="default"/>
                <w:sz w:val="21"/>
                <w:szCs w:val="21"/>
                <w:lang w:val="en-US" w:eastAsia="zh-CN"/>
              </w:rPr>
              <w:t>2</w:t>
            </w:r>
          </w:p>
        </w:tc>
        <w:tc>
          <w:tcPr>
            <w:tcW w:w="4057" w:type="dxa"/>
            <w:vAlign w:val="top"/>
          </w:tcPr>
          <w:p w14:paraId="16D08C31">
            <w:pPr>
              <w:widowControl w:val="0"/>
              <w:bidi w:val="0"/>
              <w:spacing w:line="240" w:lineRule="auto"/>
              <w:jc w:val="center"/>
              <w:rPr>
                <w:rFonts w:hint="default"/>
                <w:sz w:val="21"/>
                <w:szCs w:val="21"/>
                <w:lang w:val="en-US" w:eastAsia="zh-CN"/>
              </w:rPr>
            </w:pPr>
            <w:r>
              <w:rPr>
                <w:rFonts w:hint="default"/>
                <w:sz w:val="21"/>
                <w:szCs w:val="21"/>
                <w:lang w:val="en-US" w:eastAsia="zh-CN"/>
              </w:rPr>
              <w:t>对物质的危险性认识不足</w:t>
            </w:r>
          </w:p>
        </w:tc>
        <w:tc>
          <w:tcPr>
            <w:tcW w:w="4057" w:type="dxa"/>
            <w:vAlign w:val="top"/>
          </w:tcPr>
          <w:p w14:paraId="4F27DD61">
            <w:pPr>
              <w:widowControl w:val="0"/>
              <w:bidi w:val="0"/>
              <w:spacing w:line="240" w:lineRule="auto"/>
              <w:jc w:val="center"/>
              <w:rPr>
                <w:rFonts w:hint="default"/>
                <w:sz w:val="21"/>
                <w:szCs w:val="21"/>
                <w:lang w:val="en-US" w:eastAsia="zh-CN"/>
              </w:rPr>
            </w:pPr>
            <w:r>
              <w:rPr>
                <w:rFonts w:hint="default"/>
                <w:sz w:val="21"/>
                <w:szCs w:val="21"/>
                <w:lang w:val="en-US" w:eastAsia="zh-CN"/>
              </w:rPr>
              <w:t>20.2</w:t>
            </w:r>
          </w:p>
        </w:tc>
      </w:tr>
      <w:tr w14:paraId="32B6BE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246" w:type="dxa"/>
            <w:vAlign w:val="top"/>
          </w:tcPr>
          <w:p w14:paraId="6CE85955">
            <w:pPr>
              <w:widowControl w:val="0"/>
              <w:bidi w:val="0"/>
              <w:spacing w:line="240" w:lineRule="auto"/>
              <w:jc w:val="center"/>
              <w:rPr>
                <w:rFonts w:hint="default"/>
                <w:sz w:val="21"/>
                <w:szCs w:val="21"/>
                <w:lang w:val="en-US" w:eastAsia="zh-CN"/>
              </w:rPr>
            </w:pPr>
            <w:r>
              <w:rPr>
                <w:rFonts w:hint="default"/>
                <w:sz w:val="21"/>
                <w:szCs w:val="21"/>
                <w:lang w:val="en-US" w:eastAsia="zh-CN"/>
              </w:rPr>
              <w:t>3</w:t>
            </w:r>
          </w:p>
        </w:tc>
        <w:tc>
          <w:tcPr>
            <w:tcW w:w="4057" w:type="dxa"/>
            <w:vAlign w:val="top"/>
          </w:tcPr>
          <w:p w14:paraId="427972E4">
            <w:pPr>
              <w:widowControl w:val="0"/>
              <w:bidi w:val="0"/>
              <w:spacing w:line="240" w:lineRule="auto"/>
              <w:jc w:val="center"/>
              <w:rPr>
                <w:rFonts w:hint="default"/>
                <w:sz w:val="21"/>
                <w:szCs w:val="21"/>
                <w:lang w:val="en-US" w:eastAsia="zh-CN"/>
              </w:rPr>
            </w:pPr>
            <w:r>
              <w:rPr>
                <w:rFonts w:hint="default"/>
                <w:sz w:val="21"/>
                <w:szCs w:val="21"/>
                <w:lang w:val="en-US" w:eastAsia="zh-CN"/>
              </w:rPr>
              <w:t>误操作问题</w:t>
            </w:r>
          </w:p>
        </w:tc>
        <w:tc>
          <w:tcPr>
            <w:tcW w:w="4057" w:type="dxa"/>
            <w:vAlign w:val="top"/>
          </w:tcPr>
          <w:p w14:paraId="5F7A0280">
            <w:pPr>
              <w:widowControl w:val="0"/>
              <w:bidi w:val="0"/>
              <w:spacing w:line="240" w:lineRule="auto"/>
              <w:jc w:val="center"/>
              <w:rPr>
                <w:rFonts w:hint="default"/>
                <w:sz w:val="21"/>
                <w:szCs w:val="21"/>
                <w:lang w:val="en-US" w:eastAsia="zh-CN"/>
              </w:rPr>
            </w:pPr>
            <w:r>
              <w:rPr>
                <w:rFonts w:hint="default"/>
                <w:sz w:val="21"/>
                <w:szCs w:val="21"/>
                <w:lang w:val="en-US" w:eastAsia="zh-CN"/>
              </w:rPr>
              <w:t>17.2</w:t>
            </w:r>
          </w:p>
        </w:tc>
      </w:tr>
      <w:tr w14:paraId="6CB134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1246" w:type="dxa"/>
            <w:vAlign w:val="top"/>
          </w:tcPr>
          <w:p w14:paraId="60F35AB5">
            <w:pPr>
              <w:widowControl w:val="0"/>
              <w:bidi w:val="0"/>
              <w:spacing w:line="240" w:lineRule="auto"/>
              <w:jc w:val="center"/>
              <w:rPr>
                <w:rFonts w:hint="default"/>
                <w:sz w:val="21"/>
                <w:szCs w:val="21"/>
                <w:lang w:val="en-US" w:eastAsia="zh-CN"/>
              </w:rPr>
            </w:pPr>
            <w:r>
              <w:rPr>
                <w:rFonts w:hint="default"/>
                <w:sz w:val="21"/>
                <w:szCs w:val="21"/>
                <w:lang w:val="en-US" w:eastAsia="zh-CN"/>
              </w:rPr>
              <w:t>4</w:t>
            </w:r>
          </w:p>
        </w:tc>
        <w:tc>
          <w:tcPr>
            <w:tcW w:w="4057" w:type="dxa"/>
            <w:vAlign w:val="top"/>
          </w:tcPr>
          <w:p w14:paraId="1F1AF576">
            <w:pPr>
              <w:widowControl w:val="0"/>
              <w:bidi w:val="0"/>
              <w:spacing w:line="240" w:lineRule="auto"/>
              <w:jc w:val="center"/>
              <w:rPr>
                <w:rFonts w:hint="default"/>
                <w:sz w:val="21"/>
                <w:szCs w:val="21"/>
                <w:lang w:val="en-US" w:eastAsia="zh-CN"/>
              </w:rPr>
            </w:pPr>
            <w:r>
              <w:rPr>
                <w:rFonts w:hint="default"/>
                <w:sz w:val="21"/>
                <w:szCs w:val="21"/>
                <w:lang w:val="en-US" w:eastAsia="zh-CN"/>
              </w:rPr>
              <w:t>化工工艺问题</w:t>
            </w:r>
          </w:p>
        </w:tc>
        <w:tc>
          <w:tcPr>
            <w:tcW w:w="4057" w:type="dxa"/>
            <w:vAlign w:val="top"/>
          </w:tcPr>
          <w:p w14:paraId="4FD5673B">
            <w:pPr>
              <w:widowControl w:val="0"/>
              <w:bidi w:val="0"/>
              <w:spacing w:line="240" w:lineRule="auto"/>
              <w:jc w:val="center"/>
              <w:rPr>
                <w:rFonts w:hint="default"/>
                <w:sz w:val="21"/>
                <w:szCs w:val="21"/>
                <w:lang w:val="en-US" w:eastAsia="zh-CN"/>
              </w:rPr>
            </w:pPr>
            <w:r>
              <w:rPr>
                <w:rFonts w:hint="default"/>
                <w:sz w:val="21"/>
                <w:szCs w:val="21"/>
                <w:lang w:val="en-US" w:eastAsia="zh-CN"/>
              </w:rPr>
              <w:t>10.6</w:t>
            </w:r>
          </w:p>
        </w:tc>
      </w:tr>
      <w:tr w14:paraId="5FCCF2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246" w:type="dxa"/>
            <w:vAlign w:val="top"/>
          </w:tcPr>
          <w:p w14:paraId="1CBCF6BF">
            <w:pPr>
              <w:widowControl w:val="0"/>
              <w:bidi w:val="0"/>
              <w:spacing w:line="240" w:lineRule="auto"/>
              <w:jc w:val="center"/>
              <w:rPr>
                <w:rFonts w:hint="default"/>
                <w:sz w:val="21"/>
                <w:szCs w:val="21"/>
                <w:lang w:val="en-US" w:eastAsia="zh-CN"/>
              </w:rPr>
            </w:pPr>
            <w:r>
              <w:rPr>
                <w:rFonts w:hint="default"/>
                <w:sz w:val="21"/>
                <w:szCs w:val="21"/>
                <w:lang w:val="en-US" w:eastAsia="zh-CN"/>
              </w:rPr>
              <w:t>5</w:t>
            </w:r>
          </w:p>
        </w:tc>
        <w:tc>
          <w:tcPr>
            <w:tcW w:w="4057" w:type="dxa"/>
            <w:vAlign w:val="top"/>
          </w:tcPr>
          <w:p w14:paraId="3988C6B3">
            <w:pPr>
              <w:widowControl w:val="0"/>
              <w:bidi w:val="0"/>
              <w:spacing w:line="240" w:lineRule="auto"/>
              <w:jc w:val="center"/>
              <w:rPr>
                <w:rFonts w:hint="default"/>
                <w:sz w:val="21"/>
                <w:szCs w:val="21"/>
                <w:lang w:val="en-US" w:eastAsia="zh-CN"/>
              </w:rPr>
            </w:pPr>
            <w:r>
              <w:rPr>
                <w:rFonts w:hint="default"/>
                <w:sz w:val="21"/>
                <w:szCs w:val="21"/>
                <w:lang w:val="en-US" w:eastAsia="zh-CN"/>
              </w:rPr>
              <w:t>防火计划不充分</w:t>
            </w:r>
          </w:p>
        </w:tc>
        <w:tc>
          <w:tcPr>
            <w:tcW w:w="4057" w:type="dxa"/>
            <w:vAlign w:val="top"/>
          </w:tcPr>
          <w:p w14:paraId="2C33AEB4">
            <w:pPr>
              <w:widowControl w:val="0"/>
              <w:bidi w:val="0"/>
              <w:spacing w:line="240" w:lineRule="auto"/>
              <w:jc w:val="center"/>
              <w:rPr>
                <w:rFonts w:hint="default"/>
                <w:sz w:val="21"/>
                <w:szCs w:val="21"/>
                <w:lang w:val="en-US" w:eastAsia="zh-CN"/>
              </w:rPr>
            </w:pPr>
            <w:r>
              <w:rPr>
                <w:rFonts w:hint="default"/>
                <w:sz w:val="21"/>
                <w:szCs w:val="21"/>
                <w:lang w:val="en-US" w:eastAsia="zh-CN"/>
              </w:rPr>
              <w:t>8.0</w:t>
            </w:r>
          </w:p>
        </w:tc>
      </w:tr>
      <w:tr w14:paraId="74C38B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246" w:type="dxa"/>
            <w:vAlign w:val="top"/>
          </w:tcPr>
          <w:p w14:paraId="52F6E535">
            <w:pPr>
              <w:widowControl w:val="0"/>
              <w:bidi w:val="0"/>
              <w:spacing w:line="240" w:lineRule="auto"/>
              <w:jc w:val="center"/>
              <w:rPr>
                <w:rFonts w:hint="default"/>
                <w:sz w:val="21"/>
                <w:szCs w:val="21"/>
                <w:lang w:val="en-US" w:eastAsia="zh-CN"/>
              </w:rPr>
            </w:pPr>
            <w:r>
              <w:rPr>
                <w:rFonts w:hint="default"/>
                <w:sz w:val="21"/>
                <w:szCs w:val="21"/>
                <w:lang w:val="en-US" w:eastAsia="zh-CN"/>
              </w:rPr>
              <w:t>6</w:t>
            </w:r>
          </w:p>
        </w:tc>
        <w:tc>
          <w:tcPr>
            <w:tcW w:w="4057" w:type="dxa"/>
            <w:vAlign w:val="top"/>
          </w:tcPr>
          <w:p w14:paraId="7728A96D">
            <w:pPr>
              <w:widowControl w:val="0"/>
              <w:bidi w:val="0"/>
              <w:spacing w:line="240" w:lineRule="auto"/>
              <w:jc w:val="center"/>
              <w:rPr>
                <w:rFonts w:hint="default"/>
                <w:sz w:val="21"/>
                <w:szCs w:val="21"/>
                <w:lang w:val="en-US" w:eastAsia="zh-CN"/>
              </w:rPr>
            </w:pPr>
            <w:r>
              <w:rPr>
                <w:rFonts w:hint="default"/>
                <w:sz w:val="21"/>
                <w:szCs w:val="21"/>
                <w:lang w:val="en-US" w:eastAsia="zh-CN"/>
              </w:rPr>
              <w:t>物料输送问题</w:t>
            </w:r>
          </w:p>
        </w:tc>
        <w:tc>
          <w:tcPr>
            <w:tcW w:w="4057" w:type="dxa"/>
            <w:vAlign w:val="top"/>
          </w:tcPr>
          <w:p w14:paraId="6B8A3B35">
            <w:pPr>
              <w:widowControl w:val="0"/>
              <w:bidi w:val="0"/>
              <w:spacing w:line="240" w:lineRule="auto"/>
              <w:jc w:val="center"/>
              <w:rPr>
                <w:rFonts w:hint="default"/>
                <w:sz w:val="21"/>
                <w:szCs w:val="21"/>
                <w:lang w:val="en-US" w:eastAsia="zh-CN"/>
              </w:rPr>
            </w:pPr>
            <w:r>
              <w:rPr>
                <w:rFonts w:hint="default"/>
                <w:sz w:val="21"/>
                <w:szCs w:val="21"/>
                <w:lang w:val="en-US" w:eastAsia="zh-CN"/>
              </w:rPr>
              <w:t>4.4</w:t>
            </w:r>
          </w:p>
        </w:tc>
      </w:tr>
      <w:tr w14:paraId="2518A0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246" w:type="dxa"/>
            <w:vAlign w:val="top"/>
          </w:tcPr>
          <w:p w14:paraId="5F2455E5">
            <w:pPr>
              <w:widowControl w:val="0"/>
              <w:bidi w:val="0"/>
              <w:spacing w:line="240" w:lineRule="auto"/>
              <w:jc w:val="center"/>
              <w:rPr>
                <w:rFonts w:hint="default"/>
                <w:sz w:val="21"/>
                <w:szCs w:val="21"/>
                <w:lang w:val="en-US" w:eastAsia="zh-CN"/>
              </w:rPr>
            </w:pPr>
            <w:r>
              <w:rPr>
                <w:rFonts w:hint="default"/>
                <w:sz w:val="21"/>
                <w:szCs w:val="21"/>
                <w:lang w:val="en-US" w:eastAsia="zh-CN"/>
              </w:rPr>
              <w:t>7</w:t>
            </w:r>
          </w:p>
        </w:tc>
        <w:tc>
          <w:tcPr>
            <w:tcW w:w="4057" w:type="dxa"/>
            <w:vAlign w:val="top"/>
          </w:tcPr>
          <w:p w14:paraId="542F4DBC">
            <w:pPr>
              <w:widowControl w:val="0"/>
              <w:bidi w:val="0"/>
              <w:spacing w:line="240" w:lineRule="auto"/>
              <w:jc w:val="center"/>
              <w:rPr>
                <w:rFonts w:hint="default"/>
                <w:sz w:val="21"/>
                <w:szCs w:val="21"/>
                <w:lang w:val="en-US" w:eastAsia="zh-CN"/>
              </w:rPr>
            </w:pPr>
            <w:r>
              <w:rPr>
                <w:rFonts w:hint="default"/>
                <w:sz w:val="21"/>
                <w:szCs w:val="21"/>
                <w:lang w:val="en-US" w:eastAsia="zh-CN"/>
              </w:rPr>
              <w:t>工厂选址问题</w:t>
            </w:r>
          </w:p>
        </w:tc>
        <w:tc>
          <w:tcPr>
            <w:tcW w:w="4057" w:type="dxa"/>
            <w:vAlign w:val="top"/>
          </w:tcPr>
          <w:p w14:paraId="15AF39D1">
            <w:pPr>
              <w:widowControl w:val="0"/>
              <w:bidi w:val="0"/>
              <w:spacing w:line="240" w:lineRule="auto"/>
              <w:jc w:val="center"/>
              <w:rPr>
                <w:rFonts w:hint="default"/>
                <w:sz w:val="21"/>
                <w:szCs w:val="21"/>
                <w:lang w:val="en-US" w:eastAsia="zh-CN"/>
              </w:rPr>
            </w:pPr>
            <w:r>
              <w:rPr>
                <w:rFonts w:hint="default"/>
                <w:sz w:val="21"/>
                <w:szCs w:val="21"/>
                <w:lang w:val="en-US" w:eastAsia="zh-CN"/>
              </w:rPr>
              <w:t>3.5</w:t>
            </w:r>
          </w:p>
        </w:tc>
      </w:tr>
      <w:tr w14:paraId="6BC277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1246" w:type="dxa"/>
            <w:vAlign w:val="top"/>
          </w:tcPr>
          <w:p w14:paraId="6FF6FA47">
            <w:pPr>
              <w:widowControl w:val="0"/>
              <w:bidi w:val="0"/>
              <w:spacing w:line="240" w:lineRule="auto"/>
              <w:jc w:val="center"/>
              <w:rPr>
                <w:rFonts w:hint="default"/>
                <w:sz w:val="21"/>
                <w:szCs w:val="21"/>
                <w:lang w:val="en-US" w:eastAsia="zh-CN"/>
              </w:rPr>
            </w:pPr>
            <w:r>
              <w:rPr>
                <w:rFonts w:hint="default"/>
                <w:sz w:val="21"/>
                <w:szCs w:val="21"/>
                <w:lang w:val="en-US" w:eastAsia="zh-CN"/>
              </w:rPr>
              <w:t>8</w:t>
            </w:r>
          </w:p>
        </w:tc>
        <w:tc>
          <w:tcPr>
            <w:tcW w:w="4057" w:type="dxa"/>
            <w:vAlign w:val="top"/>
          </w:tcPr>
          <w:p w14:paraId="527BC52D">
            <w:pPr>
              <w:widowControl w:val="0"/>
              <w:bidi w:val="0"/>
              <w:spacing w:line="240" w:lineRule="auto"/>
              <w:jc w:val="center"/>
              <w:rPr>
                <w:rFonts w:hint="default"/>
                <w:sz w:val="21"/>
                <w:szCs w:val="21"/>
                <w:lang w:val="en-US" w:eastAsia="zh-CN"/>
              </w:rPr>
            </w:pPr>
            <w:r>
              <w:rPr>
                <w:rFonts w:hint="default"/>
                <w:sz w:val="21"/>
                <w:szCs w:val="21"/>
                <w:lang w:val="en-US" w:eastAsia="zh-CN"/>
              </w:rPr>
              <w:t>结构问题</w:t>
            </w:r>
          </w:p>
        </w:tc>
        <w:tc>
          <w:tcPr>
            <w:tcW w:w="4057" w:type="dxa"/>
            <w:vAlign w:val="top"/>
          </w:tcPr>
          <w:p w14:paraId="54A03656">
            <w:pPr>
              <w:widowControl w:val="0"/>
              <w:bidi w:val="0"/>
              <w:spacing w:line="240" w:lineRule="auto"/>
              <w:jc w:val="center"/>
              <w:rPr>
                <w:rFonts w:hint="default"/>
                <w:sz w:val="21"/>
                <w:szCs w:val="21"/>
                <w:lang w:val="en-US" w:eastAsia="zh-CN"/>
              </w:rPr>
            </w:pPr>
            <w:r>
              <w:rPr>
                <w:rFonts w:hint="default"/>
                <w:sz w:val="21"/>
                <w:szCs w:val="21"/>
                <w:lang w:val="en-US" w:eastAsia="zh-CN"/>
              </w:rPr>
              <w:t>3.0</w:t>
            </w:r>
          </w:p>
        </w:tc>
      </w:tr>
      <w:tr w14:paraId="5EFD2C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246" w:type="dxa"/>
            <w:vAlign w:val="top"/>
          </w:tcPr>
          <w:p w14:paraId="1CD5DFEC">
            <w:pPr>
              <w:widowControl w:val="0"/>
              <w:bidi w:val="0"/>
              <w:spacing w:line="240" w:lineRule="auto"/>
              <w:jc w:val="center"/>
              <w:rPr>
                <w:rFonts w:hint="default"/>
                <w:sz w:val="21"/>
                <w:szCs w:val="21"/>
                <w:lang w:val="en-US" w:eastAsia="zh-CN"/>
              </w:rPr>
            </w:pPr>
            <w:r>
              <w:rPr>
                <w:rFonts w:hint="default"/>
                <w:sz w:val="21"/>
                <w:szCs w:val="21"/>
                <w:lang w:val="en-US" w:eastAsia="zh-CN"/>
              </w:rPr>
              <w:t>9</w:t>
            </w:r>
          </w:p>
        </w:tc>
        <w:tc>
          <w:tcPr>
            <w:tcW w:w="4057" w:type="dxa"/>
            <w:vAlign w:val="top"/>
          </w:tcPr>
          <w:p w14:paraId="577E53EA">
            <w:pPr>
              <w:widowControl w:val="0"/>
              <w:bidi w:val="0"/>
              <w:spacing w:line="240" w:lineRule="auto"/>
              <w:jc w:val="center"/>
              <w:rPr>
                <w:rFonts w:hint="default"/>
                <w:sz w:val="21"/>
                <w:szCs w:val="21"/>
                <w:lang w:val="en-US" w:eastAsia="zh-CN"/>
              </w:rPr>
            </w:pPr>
            <w:r>
              <w:rPr>
                <w:rFonts w:hint="default"/>
                <w:sz w:val="21"/>
                <w:szCs w:val="21"/>
                <w:lang w:val="en-US" w:eastAsia="zh-CN"/>
              </w:rPr>
              <w:t>工厂布局问题</w:t>
            </w:r>
          </w:p>
        </w:tc>
        <w:tc>
          <w:tcPr>
            <w:tcW w:w="4057" w:type="dxa"/>
            <w:vAlign w:val="top"/>
          </w:tcPr>
          <w:p w14:paraId="2CBDEEDB">
            <w:pPr>
              <w:widowControl w:val="0"/>
              <w:bidi w:val="0"/>
              <w:spacing w:line="240" w:lineRule="auto"/>
              <w:jc w:val="center"/>
              <w:rPr>
                <w:rFonts w:hint="default"/>
                <w:sz w:val="21"/>
                <w:szCs w:val="21"/>
                <w:lang w:val="en-US" w:eastAsia="zh-CN"/>
              </w:rPr>
            </w:pPr>
            <w:r>
              <w:rPr>
                <w:rFonts w:hint="default"/>
                <w:sz w:val="21"/>
                <w:szCs w:val="21"/>
                <w:lang w:val="en-US" w:eastAsia="zh-CN"/>
              </w:rPr>
              <w:t>2.0</w:t>
            </w:r>
          </w:p>
        </w:tc>
      </w:tr>
    </w:tbl>
    <w:p w14:paraId="7081F192">
      <w:pPr>
        <w:bidi w:val="0"/>
        <w:jc w:val="center"/>
        <w:rPr>
          <w:rFonts w:hint="default"/>
          <w:b/>
          <w:bCs/>
          <w:lang w:val="en-US" w:eastAsia="zh-CN"/>
        </w:rPr>
      </w:pPr>
      <w:r>
        <w:rPr>
          <w:rFonts w:hint="default"/>
          <w:b/>
          <w:bCs/>
          <w:lang w:val="en-US" w:eastAsia="zh-CN"/>
        </w:rPr>
        <w:t>表6.2.6</w:t>
      </w:r>
      <w:r>
        <w:rPr>
          <w:rFonts w:hint="eastAsia"/>
          <w:b/>
          <w:bCs/>
          <w:lang w:val="en-US" w:eastAsia="zh-CN"/>
        </w:rPr>
        <w:t>-7</w:t>
      </w:r>
      <w:r>
        <w:rPr>
          <w:rFonts w:hint="default"/>
          <w:b/>
          <w:bCs/>
          <w:lang w:val="en-US" w:eastAsia="zh-CN"/>
        </w:rPr>
        <w:t xml:space="preserve"> 设备危险因素分析</w:t>
      </w:r>
    </w:p>
    <w:tbl>
      <w:tblPr>
        <w:tblStyle w:val="25"/>
        <w:tblW w:w="5003"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914"/>
        <w:gridCol w:w="1741"/>
        <w:gridCol w:w="6711"/>
      </w:tblGrid>
      <w:tr w14:paraId="27CFFB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913" w:type="dxa"/>
            <w:vAlign w:val="center"/>
          </w:tcPr>
          <w:p w14:paraId="5B8D1626">
            <w:pPr>
              <w:widowControl w:val="0"/>
              <w:bidi w:val="0"/>
              <w:spacing w:line="240" w:lineRule="auto"/>
              <w:jc w:val="center"/>
              <w:rPr>
                <w:b/>
                <w:bCs/>
                <w:sz w:val="21"/>
                <w:szCs w:val="21"/>
              </w:rPr>
            </w:pPr>
            <w:r>
              <w:rPr>
                <w:b/>
                <w:bCs/>
                <w:sz w:val="21"/>
                <w:szCs w:val="21"/>
              </w:rPr>
              <w:t>序号</w:t>
            </w:r>
          </w:p>
        </w:tc>
        <w:tc>
          <w:tcPr>
            <w:tcW w:w="1740" w:type="dxa"/>
            <w:vAlign w:val="center"/>
          </w:tcPr>
          <w:p w14:paraId="698D833D">
            <w:pPr>
              <w:widowControl w:val="0"/>
              <w:bidi w:val="0"/>
              <w:spacing w:line="240" w:lineRule="auto"/>
              <w:jc w:val="center"/>
              <w:rPr>
                <w:b/>
                <w:bCs/>
                <w:sz w:val="21"/>
                <w:szCs w:val="21"/>
              </w:rPr>
            </w:pPr>
            <w:r>
              <w:rPr>
                <w:b/>
                <w:bCs/>
                <w:sz w:val="21"/>
                <w:szCs w:val="21"/>
              </w:rPr>
              <w:t>危险因素</w:t>
            </w:r>
          </w:p>
        </w:tc>
        <w:tc>
          <w:tcPr>
            <w:tcW w:w="6707" w:type="dxa"/>
            <w:vAlign w:val="center"/>
          </w:tcPr>
          <w:p w14:paraId="3D5E2DD0">
            <w:pPr>
              <w:widowControl w:val="0"/>
              <w:bidi w:val="0"/>
              <w:spacing w:line="240" w:lineRule="auto"/>
              <w:jc w:val="center"/>
              <w:rPr>
                <w:b/>
                <w:bCs/>
                <w:sz w:val="21"/>
                <w:szCs w:val="21"/>
              </w:rPr>
            </w:pPr>
            <w:r>
              <w:rPr>
                <w:b/>
                <w:bCs/>
                <w:sz w:val="21"/>
                <w:szCs w:val="21"/>
              </w:rPr>
              <w:t>后果</w:t>
            </w:r>
          </w:p>
        </w:tc>
      </w:tr>
      <w:tr w14:paraId="42F4AD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913" w:type="dxa"/>
            <w:vAlign w:val="center"/>
          </w:tcPr>
          <w:p w14:paraId="06422BC4">
            <w:pPr>
              <w:widowControl w:val="0"/>
              <w:bidi w:val="0"/>
              <w:spacing w:line="240" w:lineRule="auto"/>
              <w:jc w:val="center"/>
              <w:rPr>
                <w:sz w:val="21"/>
                <w:szCs w:val="21"/>
              </w:rPr>
            </w:pPr>
            <w:r>
              <w:rPr>
                <w:sz w:val="21"/>
                <w:szCs w:val="21"/>
              </w:rPr>
              <w:t>1</w:t>
            </w:r>
          </w:p>
        </w:tc>
        <w:tc>
          <w:tcPr>
            <w:tcW w:w="1740" w:type="dxa"/>
            <w:vAlign w:val="center"/>
          </w:tcPr>
          <w:p w14:paraId="15329B01">
            <w:pPr>
              <w:widowControl w:val="0"/>
              <w:bidi w:val="0"/>
              <w:spacing w:line="240" w:lineRule="auto"/>
              <w:jc w:val="center"/>
              <w:rPr>
                <w:sz w:val="21"/>
                <w:szCs w:val="21"/>
              </w:rPr>
            </w:pPr>
            <w:r>
              <w:rPr>
                <w:sz w:val="21"/>
                <w:szCs w:val="21"/>
              </w:rPr>
              <w:t>材质不当</w:t>
            </w:r>
          </w:p>
        </w:tc>
        <w:tc>
          <w:tcPr>
            <w:tcW w:w="6707" w:type="dxa"/>
            <w:vAlign w:val="center"/>
          </w:tcPr>
          <w:p w14:paraId="127021BF">
            <w:pPr>
              <w:widowControl w:val="0"/>
              <w:bidi w:val="0"/>
              <w:spacing w:line="240" w:lineRule="auto"/>
              <w:jc w:val="center"/>
              <w:rPr>
                <w:sz w:val="21"/>
                <w:szCs w:val="21"/>
              </w:rPr>
            </w:pPr>
            <w:r>
              <w:rPr>
                <w:sz w:val="21"/>
                <w:szCs w:val="21"/>
              </w:rPr>
              <w:t>如设备材质选择不当，在遇到有腐蚀作用的介质时将严重影响设备使用寿命，从而引发事故。</w:t>
            </w:r>
          </w:p>
        </w:tc>
      </w:tr>
      <w:tr w14:paraId="62FF40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913" w:type="dxa"/>
            <w:vAlign w:val="center"/>
          </w:tcPr>
          <w:p w14:paraId="2D644DD0">
            <w:pPr>
              <w:widowControl w:val="0"/>
              <w:bidi w:val="0"/>
              <w:spacing w:line="240" w:lineRule="auto"/>
              <w:jc w:val="center"/>
              <w:rPr>
                <w:sz w:val="21"/>
                <w:szCs w:val="21"/>
              </w:rPr>
            </w:pPr>
            <w:r>
              <w:rPr>
                <w:sz w:val="21"/>
                <w:szCs w:val="21"/>
              </w:rPr>
              <w:t>2</w:t>
            </w:r>
          </w:p>
        </w:tc>
        <w:tc>
          <w:tcPr>
            <w:tcW w:w="1740" w:type="dxa"/>
            <w:vAlign w:val="center"/>
          </w:tcPr>
          <w:p w14:paraId="10C11773">
            <w:pPr>
              <w:widowControl w:val="0"/>
              <w:bidi w:val="0"/>
              <w:spacing w:line="240" w:lineRule="auto"/>
              <w:jc w:val="center"/>
              <w:rPr>
                <w:sz w:val="21"/>
                <w:szCs w:val="21"/>
              </w:rPr>
            </w:pPr>
            <w:r>
              <w:rPr>
                <w:sz w:val="21"/>
                <w:szCs w:val="21"/>
              </w:rPr>
              <w:t>焊接缺陷</w:t>
            </w:r>
          </w:p>
        </w:tc>
        <w:tc>
          <w:tcPr>
            <w:tcW w:w="6707" w:type="dxa"/>
            <w:vAlign w:val="center"/>
          </w:tcPr>
          <w:p w14:paraId="76191ECF">
            <w:pPr>
              <w:widowControl w:val="0"/>
              <w:bidi w:val="0"/>
              <w:spacing w:line="240" w:lineRule="auto"/>
              <w:jc w:val="center"/>
              <w:rPr>
                <w:sz w:val="21"/>
                <w:szCs w:val="21"/>
              </w:rPr>
            </w:pPr>
            <w:r>
              <w:rPr>
                <w:sz w:val="21"/>
                <w:szCs w:val="21"/>
              </w:rPr>
              <w:t>当设备焊接存在脱焊、虚焊情况下运行时，会引发泄漏、火灾、爆炸事故的发生。</w:t>
            </w:r>
          </w:p>
        </w:tc>
      </w:tr>
      <w:tr w14:paraId="4481D7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913" w:type="dxa"/>
            <w:vAlign w:val="center"/>
          </w:tcPr>
          <w:p w14:paraId="0EDA2BD0">
            <w:pPr>
              <w:widowControl w:val="0"/>
              <w:bidi w:val="0"/>
              <w:spacing w:line="240" w:lineRule="auto"/>
              <w:jc w:val="center"/>
              <w:rPr>
                <w:sz w:val="21"/>
                <w:szCs w:val="21"/>
              </w:rPr>
            </w:pPr>
            <w:r>
              <w:rPr>
                <w:sz w:val="21"/>
                <w:szCs w:val="21"/>
              </w:rPr>
              <w:t>3</w:t>
            </w:r>
          </w:p>
        </w:tc>
        <w:tc>
          <w:tcPr>
            <w:tcW w:w="1740" w:type="dxa"/>
            <w:vAlign w:val="center"/>
          </w:tcPr>
          <w:p w14:paraId="095F1B2E">
            <w:pPr>
              <w:widowControl w:val="0"/>
              <w:bidi w:val="0"/>
              <w:spacing w:line="240" w:lineRule="auto"/>
              <w:jc w:val="center"/>
              <w:rPr>
                <w:sz w:val="21"/>
                <w:szCs w:val="21"/>
              </w:rPr>
            </w:pPr>
            <w:r>
              <w:rPr>
                <w:sz w:val="21"/>
                <w:szCs w:val="21"/>
              </w:rPr>
              <w:t>制造问题</w:t>
            </w:r>
          </w:p>
        </w:tc>
        <w:tc>
          <w:tcPr>
            <w:tcW w:w="6707" w:type="dxa"/>
            <w:vAlign w:val="center"/>
          </w:tcPr>
          <w:p w14:paraId="2D6D4939">
            <w:pPr>
              <w:widowControl w:val="0"/>
              <w:bidi w:val="0"/>
              <w:spacing w:line="240" w:lineRule="auto"/>
              <w:jc w:val="center"/>
              <w:rPr>
                <w:sz w:val="21"/>
                <w:szCs w:val="21"/>
              </w:rPr>
            </w:pPr>
            <w:r>
              <w:rPr>
                <w:sz w:val="21"/>
                <w:szCs w:val="21"/>
              </w:rPr>
              <w:t>设备厂家或企业自己制造设备时因制造技术、工艺不过关，导致设备存在质量隐患。</w:t>
            </w:r>
          </w:p>
        </w:tc>
      </w:tr>
      <w:tr w14:paraId="15386A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1" w:hRule="atLeast"/>
        </w:trPr>
        <w:tc>
          <w:tcPr>
            <w:tcW w:w="913" w:type="dxa"/>
            <w:vAlign w:val="center"/>
          </w:tcPr>
          <w:p w14:paraId="23070E69">
            <w:pPr>
              <w:widowControl w:val="0"/>
              <w:bidi w:val="0"/>
              <w:spacing w:line="240" w:lineRule="auto"/>
              <w:jc w:val="center"/>
              <w:rPr>
                <w:sz w:val="21"/>
                <w:szCs w:val="21"/>
              </w:rPr>
            </w:pPr>
            <w:r>
              <w:rPr>
                <w:sz w:val="21"/>
                <w:szCs w:val="21"/>
              </w:rPr>
              <w:t>4</w:t>
            </w:r>
          </w:p>
        </w:tc>
        <w:tc>
          <w:tcPr>
            <w:tcW w:w="1740" w:type="dxa"/>
            <w:vAlign w:val="center"/>
          </w:tcPr>
          <w:p w14:paraId="30B7F0EA">
            <w:pPr>
              <w:widowControl w:val="0"/>
              <w:bidi w:val="0"/>
              <w:spacing w:line="240" w:lineRule="auto"/>
              <w:jc w:val="center"/>
              <w:rPr>
                <w:sz w:val="21"/>
                <w:szCs w:val="21"/>
              </w:rPr>
            </w:pPr>
            <w:r>
              <w:rPr>
                <w:sz w:val="21"/>
                <w:szCs w:val="21"/>
              </w:rPr>
              <w:t>安全附件不全</w:t>
            </w:r>
          </w:p>
        </w:tc>
        <w:tc>
          <w:tcPr>
            <w:tcW w:w="6707" w:type="dxa"/>
            <w:vAlign w:val="center"/>
          </w:tcPr>
          <w:p w14:paraId="7CFB857F">
            <w:pPr>
              <w:widowControl w:val="0"/>
              <w:bidi w:val="0"/>
              <w:spacing w:line="240" w:lineRule="auto"/>
              <w:jc w:val="center"/>
              <w:rPr>
                <w:sz w:val="21"/>
                <w:szCs w:val="21"/>
              </w:rPr>
            </w:pPr>
            <w:r>
              <w:rPr>
                <w:sz w:val="21"/>
                <w:szCs w:val="21"/>
              </w:rPr>
              <w:t>设备的安全附件如液位计、压力表、阻火器、单向阀、减压阀、报警器、</w:t>
            </w:r>
          </w:p>
          <w:p w14:paraId="3E053857">
            <w:pPr>
              <w:widowControl w:val="0"/>
              <w:bidi w:val="0"/>
              <w:spacing w:line="240" w:lineRule="auto"/>
              <w:jc w:val="center"/>
              <w:rPr>
                <w:sz w:val="21"/>
                <w:szCs w:val="21"/>
              </w:rPr>
            </w:pPr>
            <w:r>
              <w:rPr>
                <w:sz w:val="21"/>
                <w:szCs w:val="21"/>
              </w:rPr>
              <w:t>密封盖不全或失效，从而对设备的安全使用构成隐患。造成机械伤害、触电、泄漏等安全事故。</w:t>
            </w:r>
          </w:p>
        </w:tc>
      </w:tr>
      <w:tr w14:paraId="2DB9B8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913" w:type="dxa"/>
            <w:vAlign w:val="center"/>
          </w:tcPr>
          <w:p w14:paraId="2F966E56">
            <w:pPr>
              <w:widowControl w:val="0"/>
              <w:bidi w:val="0"/>
              <w:spacing w:line="240" w:lineRule="auto"/>
              <w:jc w:val="center"/>
              <w:rPr>
                <w:sz w:val="21"/>
                <w:szCs w:val="21"/>
              </w:rPr>
            </w:pPr>
            <w:r>
              <w:rPr>
                <w:sz w:val="21"/>
                <w:szCs w:val="21"/>
              </w:rPr>
              <w:t>5</w:t>
            </w:r>
          </w:p>
        </w:tc>
        <w:tc>
          <w:tcPr>
            <w:tcW w:w="1740" w:type="dxa"/>
            <w:vAlign w:val="center"/>
          </w:tcPr>
          <w:p w14:paraId="7A7F3CAB">
            <w:pPr>
              <w:widowControl w:val="0"/>
              <w:bidi w:val="0"/>
              <w:spacing w:line="240" w:lineRule="auto"/>
              <w:jc w:val="center"/>
              <w:rPr>
                <w:sz w:val="21"/>
                <w:szCs w:val="21"/>
              </w:rPr>
            </w:pPr>
            <w:r>
              <w:rPr>
                <w:sz w:val="21"/>
                <w:szCs w:val="21"/>
              </w:rPr>
              <w:t>密封不严</w:t>
            </w:r>
          </w:p>
        </w:tc>
        <w:tc>
          <w:tcPr>
            <w:tcW w:w="6707" w:type="dxa"/>
            <w:vAlign w:val="center"/>
          </w:tcPr>
          <w:p w14:paraId="3599FE4A">
            <w:pPr>
              <w:widowControl w:val="0"/>
              <w:bidi w:val="0"/>
              <w:spacing w:line="240" w:lineRule="auto"/>
              <w:jc w:val="center"/>
              <w:rPr>
                <w:sz w:val="21"/>
                <w:szCs w:val="21"/>
              </w:rPr>
            </w:pPr>
            <w:r>
              <w:rPr>
                <w:sz w:val="21"/>
                <w:szCs w:val="21"/>
              </w:rPr>
              <w:t>设备、管道、阀门的密封部位密封不严，在生产中出现介质的泄漏，引起事故。</w:t>
            </w:r>
          </w:p>
        </w:tc>
      </w:tr>
      <w:tr w14:paraId="63DF09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13" w:type="dxa"/>
            <w:vAlign w:val="center"/>
          </w:tcPr>
          <w:p w14:paraId="279D67EA">
            <w:pPr>
              <w:widowControl w:val="0"/>
              <w:bidi w:val="0"/>
              <w:spacing w:line="240" w:lineRule="auto"/>
              <w:jc w:val="center"/>
              <w:rPr>
                <w:sz w:val="21"/>
                <w:szCs w:val="21"/>
              </w:rPr>
            </w:pPr>
            <w:r>
              <w:rPr>
                <w:sz w:val="21"/>
                <w:szCs w:val="21"/>
              </w:rPr>
              <w:t>6</w:t>
            </w:r>
          </w:p>
        </w:tc>
        <w:tc>
          <w:tcPr>
            <w:tcW w:w="1740" w:type="dxa"/>
            <w:vAlign w:val="center"/>
          </w:tcPr>
          <w:p w14:paraId="1EADBEEA">
            <w:pPr>
              <w:widowControl w:val="0"/>
              <w:bidi w:val="0"/>
              <w:spacing w:line="240" w:lineRule="auto"/>
              <w:jc w:val="center"/>
              <w:rPr>
                <w:sz w:val="21"/>
                <w:szCs w:val="21"/>
              </w:rPr>
            </w:pPr>
            <w:r>
              <w:rPr>
                <w:sz w:val="21"/>
                <w:szCs w:val="21"/>
              </w:rPr>
              <w:t>安装不规范</w:t>
            </w:r>
          </w:p>
        </w:tc>
        <w:tc>
          <w:tcPr>
            <w:tcW w:w="6707" w:type="dxa"/>
            <w:vAlign w:val="center"/>
          </w:tcPr>
          <w:p w14:paraId="2B752EF5">
            <w:pPr>
              <w:widowControl w:val="0"/>
              <w:bidi w:val="0"/>
              <w:spacing w:line="240" w:lineRule="auto"/>
              <w:jc w:val="center"/>
              <w:rPr>
                <w:sz w:val="21"/>
                <w:szCs w:val="21"/>
              </w:rPr>
            </w:pPr>
            <w:r>
              <w:rPr>
                <w:sz w:val="21"/>
                <w:szCs w:val="21"/>
              </w:rPr>
              <w:t>设备因安装不规范而使该设备存在隐患。</w:t>
            </w:r>
          </w:p>
        </w:tc>
      </w:tr>
      <w:tr w14:paraId="41C091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913" w:type="dxa"/>
            <w:vAlign w:val="center"/>
          </w:tcPr>
          <w:p w14:paraId="0A30ADD9">
            <w:pPr>
              <w:widowControl w:val="0"/>
              <w:bidi w:val="0"/>
              <w:spacing w:line="240" w:lineRule="auto"/>
              <w:jc w:val="center"/>
              <w:rPr>
                <w:sz w:val="21"/>
                <w:szCs w:val="21"/>
              </w:rPr>
            </w:pPr>
            <w:r>
              <w:rPr>
                <w:sz w:val="21"/>
                <w:szCs w:val="21"/>
              </w:rPr>
              <w:t>7</w:t>
            </w:r>
          </w:p>
        </w:tc>
        <w:tc>
          <w:tcPr>
            <w:tcW w:w="1740" w:type="dxa"/>
            <w:vAlign w:val="center"/>
          </w:tcPr>
          <w:p w14:paraId="58FD4403">
            <w:pPr>
              <w:widowControl w:val="0"/>
              <w:bidi w:val="0"/>
              <w:spacing w:line="240" w:lineRule="auto"/>
              <w:jc w:val="center"/>
              <w:rPr>
                <w:sz w:val="21"/>
                <w:szCs w:val="21"/>
              </w:rPr>
            </w:pPr>
            <w:r>
              <w:rPr>
                <w:sz w:val="21"/>
                <w:szCs w:val="21"/>
              </w:rPr>
              <w:t>超期使用</w:t>
            </w:r>
          </w:p>
        </w:tc>
        <w:tc>
          <w:tcPr>
            <w:tcW w:w="6707" w:type="dxa"/>
            <w:vAlign w:val="center"/>
          </w:tcPr>
          <w:p w14:paraId="14B40FCC">
            <w:pPr>
              <w:widowControl w:val="0"/>
              <w:bidi w:val="0"/>
              <w:spacing w:line="240" w:lineRule="auto"/>
              <w:jc w:val="center"/>
              <w:rPr>
                <w:sz w:val="21"/>
                <w:szCs w:val="21"/>
              </w:rPr>
            </w:pPr>
            <w:r>
              <w:rPr>
                <w:sz w:val="21"/>
                <w:szCs w:val="21"/>
              </w:rPr>
              <w:t>设备在使用期已到后如继续使用，将对生产安全构成隐患。</w:t>
            </w:r>
          </w:p>
        </w:tc>
      </w:tr>
      <w:tr w14:paraId="0CFEDD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0" w:hRule="atLeast"/>
        </w:trPr>
        <w:tc>
          <w:tcPr>
            <w:tcW w:w="913" w:type="dxa"/>
            <w:vAlign w:val="center"/>
          </w:tcPr>
          <w:p w14:paraId="08872C3C">
            <w:pPr>
              <w:widowControl w:val="0"/>
              <w:bidi w:val="0"/>
              <w:spacing w:line="240" w:lineRule="auto"/>
              <w:jc w:val="center"/>
              <w:rPr>
                <w:sz w:val="21"/>
                <w:szCs w:val="21"/>
              </w:rPr>
            </w:pPr>
            <w:r>
              <w:rPr>
                <w:sz w:val="21"/>
                <w:szCs w:val="21"/>
              </w:rPr>
              <w:t>8</w:t>
            </w:r>
          </w:p>
        </w:tc>
        <w:tc>
          <w:tcPr>
            <w:tcW w:w="1740" w:type="dxa"/>
            <w:vAlign w:val="center"/>
          </w:tcPr>
          <w:p w14:paraId="5824DEF9">
            <w:pPr>
              <w:widowControl w:val="0"/>
              <w:bidi w:val="0"/>
              <w:spacing w:line="240" w:lineRule="auto"/>
              <w:jc w:val="center"/>
              <w:rPr>
                <w:sz w:val="21"/>
                <w:szCs w:val="21"/>
              </w:rPr>
            </w:pPr>
            <w:r>
              <w:rPr>
                <w:sz w:val="21"/>
                <w:szCs w:val="21"/>
              </w:rPr>
              <w:t>维修保养不当</w:t>
            </w:r>
          </w:p>
        </w:tc>
        <w:tc>
          <w:tcPr>
            <w:tcW w:w="6707" w:type="dxa"/>
            <w:vAlign w:val="center"/>
          </w:tcPr>
          <w:p w14:paraId="49DFFE6D">
            <w:pPr>
              <w:widowControl w:val="0"/>
              <w:bidi w:val="0"/>
              <w:spacing w:line="240" w:lineRule="auto"/>
              <w:jc w:val="center"/>
              <w:rPr>
                <w:sz w:val="21"/>
                <w:szCs w:val="21"/>
              </w:rPr>
            </w:pPr>
            <w:r>
              <w:rPr>
                <w:sz w:val="21"/>
                <w:szCs w:val="21"/>
              </w:rPr>
              <w:t>设备在使用过程中，因维护、保养不当而导致该设备存在隐患。</w:t>
            </w:r>
          </w:p>
        </w:tc>
      </w:tr>
    </w:tbl>
    <w:p w14:paraId="05F2EE88">
      <w:pPr>
        <w:bidi w:val="0"/>
        <w:ind w:firstLine="480" w:firstLineChars="200"/>
        <w:rPr>
          <w:rFonts w:hint="default"/>
          <w:lang w:val="en-US" w:eastAsia="zh-CN"/>
        </w:rPr>
      </w:pPr>
      <w:r>
        <w:rPr>
          <w:rFonts w:hint="eastAsia"/>
          <w:lang w:val="en-US" w:eastAsia="zh-CN"/>
        </w:rPr>
        <w:t>（2）</w:t>
      </w:r>
      <w:r>
        <w:rPr>
          <w:rFonts w:hint="default"/>
          <w:lang w:val="en-US" w:eastAsia="zh-CN"/>
        </w:rPr>
        <w:t>最大可信事故及其概率</w:t>
      </w:r>
    </w:p>
    <w:p w14:paraId="0C47ABDA">
      <w:pPr>
        <w:bidi w:val="0"/>
        <w:ind w:firstLine="480" w:firstLineChars="200"/>
        <w:rPr>
          <w:rFonts w:hint="default"/>
          <w:lang w:val="en-US" w:eastAsia="zh-CN"/>
        </w:rPr>
      </w:pPr>
      <w:r>
        <w:rPr>
          <w:rFonts w:hint="default"/>
          <w:lang w:val="en-US" w:eastAsia="zh-CN"/>
        </w:rPr>
        <w:t>由于环境事故源的组成系统十分复杂，计算事故的发生概率，不仅要考虑众多基本成因事件的发生概率及其逻辑关系，还要考虑人为干扰等随机因素。加上基本成因事件的发生概率也很难估计，运用上述两种方法时常面临费时、费力、可靠性数据缺乏等困难。本评价通过对类似历史事故的调查来确定最大可信灾害事故及发生概率。</w:t>
      </w:r>
    </w:p>
    <w:p w14:paraId="06440C31">
      <w:pPr>
        <w:bidi w:val="0"/>
        <w:ind w:firstLine="480" w:firstLineChars="200"/>
        <w:rPr>
          <w:rFonts w:hint="default"/>
          <w:lang w:val="en-US" w:eastAsia="zh-CN"/>
        </w:rPr>
      </w:pPr>
      <w:r>
        <w:rPr>
          <w:rFonts w:hint="default"/>
          <w:lang w:val="en-US" w:eastAsia="zh-CN"/>
        </w:rPr>
        <w:t>①事故类型及概率</w:t>
      </w:r>
    </w:p>
    <w:p w14:paraId="49A67F5A">
      <w:pPr>
        <w:bidi w:val="0"/>
        <w:ind w:firstLine="480" w:firstLineChars="200"/>
        <w:rPr>
          <w:rFonts w:hint="default"/>
          <w:lang w:val="en-US" w:eastAsia="zh-CN"/>
        </w:rPr>
      </w:pPr>
      <w:r>
        <w:rPr>
          <w:rFonts w:hint="default"/>
          <w:lang w:val="en-US" w:eastAsia="zh-CN"/>
        </w:rPr>
        <w:t>根据《建设项目环境风险评价技术导则》（HJ169-2018）附录 E 中资料，各种事故概率推荐值见下表。</w:t>
      </w:r>
    </w:p>
    <w:p w14:paraId="58106FCD">
      <w:pPr>
        <w:bidi w:val="0"/>
        <w:jc w:val="center"/>
        <w:rPr>
          <w:rFonts w:hint="default"/>
          <w:b/>
          <w:bCs/>
          <w:lang w:val="en-US" w:eastAsia="zh-CN"/>
        </w:rPr>
      </w:pPr>
      <w:r>
        <w:rPr>
          <w:rFonts w:hint="default"/>
          <w:b/>
          <w:bCs/>
          <w:lang w:val="en-US" w:eastAsia="zh-CN"/>
        </w:rPr>
        <w:t>表6.2.6</w:t>
      </w:r>
      <w:r>
        <w:rPr>
          <w:rFonts w:hint="eastAsia"/>
          <w:b/>
          <w:bCs/>
          <w:lang w:val="en-US" w:eastAsia="zh-CN"/>
        </w:rPr>
        <w:t>-8</w:t>
      </w:r>
      <w:r>
        <w:rPr>
          <w:rFonts w:hint="default"/>
          <w:b/>
          <w:bCs/>
          <w:lang w:val="en-US" w:eastAsia="zh-CN"/>
        </w:rPr>
        <w:t xml:space="preserve"> 事故类型概率推荐值分析</w:t>
      </w:r>
    </w:p>
    <w:tbl>
      <w:tblPr>
        <w:tblStyle w:val="25"/>
        <w:tblW w:w="5005"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26"/>
        <w:gridCol w:w="2212"/>
        <w:gridCol w:w="4247"/>
        <w:gridCol w:w="2184"/>
      </w:tblGrid>
      <w:tr w14:paraId="085FED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726" w:type="dxa"/>
            <w:vAlign w:val="center"/>
          </w:tcPr>
          <w:p w14:paraId="6C73DFA1">
            <w:pPr>
              <w:widowControl w:val="0"/>
              <w:bidi w:val="0"/>
              <w:spacing w:line="240" w:lineRule="auto"/>
              <w:jc w:val="center"/>
              <w:rPr>
                <w:rFonts w:hint="default"/>
                <w:b/>
                <w:bCs/>
                <w:sz w:val="21"/>
                <w:szCs w:val="21"/>
                <w:lang w:val="en-US" w:eastAsia="zh-CN"/>
              </w:rPr>
            </w:pPr>
            <w:r>
              <w:rPr>
                <w:rFonts w:hint="default"/>
                <w:b/>
                <w:bCs/>
                <w:sz w:val="21"/>
                <w:szCs w:val="21"/>
                <w:lang w:val="en-US" w:eastAsia="zh-CN"/>
              </w:rPr>
              <w:t>序号</w:t>
            </w:r>
          </w:p>
        </w:tc>
        <w:tc>
          <w:tcPr>
            <w:tcW w:w="2211" w:type="dxa"/>
            <w:vAlign w:val="center"/>
          </w:tcPr>
          <w:p w14:paraId="5585994B">
            <w:pPr>
              <w:widowControl w:val="0"/>
              <w:bidi w:val="0"/>
              <w:spacing w:line="240" w:lineRule="auto"/>
              <w:jc w:val="center"/>
              <w:rPr>
                <w:rFonts w:hint="default"/>
                <w:b/>
                <w:bCs/>
                <w:sz w:val="21"/>
                <w:szCs w:val="21"/>
                <w:lang w:val="en-US" w:eastAsia="zh-CN"/>
              </w:rPr>
            </w:pPr>
            <w:r>
              <w:rPr>
                <w:rFonts w:hint="default"/>
                <w:b/>
                <w:bCs/>
                <w:sz w:val="21"/>
                <w:szCs w:val="21"/>
                <w:lang w:val="en-US" w:eastAsia="zh-CN"/>
              </w:rPr>
              <w:t>部件类型</w:t>
            </w:r>
          </w:p>
        </w:tc>
        <w:tc>
          <w:tcPr>
            <w:tcW w:w="4245" w:type="dxa"/>
            <w:vAlign w:val="center"/>
          </w:tcPr>
          <w:p w14:paraId="616FDC70">
            <w:pPr>
              <w:widowControl w:val="0"/>
              <w:bidi w:val="0"/>
              <w:spacing w:line="240" w:lineRule="auto"/>
              <w:jc w:val="center"/>
              <w:rPr>
                <w:rFonts w:hint="default"/>
                <w:b/>
                <w:bCs/>
                <w:sz w:val="21"/>
                <w:szCs w:val="21"/>
                <w:lang w:val="en-US" w:eastAsia="zh-CN"/>
              </w:rPr>
            </w:pPr>
            <w:r>
              <w:rPr>
                <w:rFonts w:hint="default"/>
                <w:b/>
                <w:bCs/>
                <w:sz w:val="21"/>
                <w:szCs w:val="21"/>
                <w:lang w:val="en-US" w:eastAsia="zh-CN"/>
              </w:rPr>
              <w:t>泄漏模式</w:t>
            </w:r>
          </w:p>
        </w:tc>
        <w:tc>
          <w:tcPr>
            <w:tcW w:w="2183" w:type="dxa"/>
            <w:vAlign w:val="center"/>
          </w:tcPr>
          <w:p w14:paraId="26375787">
            <w:pPr>
              <w:widowControl w:val="0"/>
              <w:bidi w:val="0"/>
              <w:spacing w:line="240" w:lineRule="auto"/>
              <w:jc w:val="center"/>
              <w:rPr>
                <w:rFonts w:hint="default"/>
                <w:b/>
                <w:bCs/>
                <w:sz w:val="21"/>
                <w:szCs w:val="21"/>
                <w:lang w:val="en-US" w:eastAsia="zh-CN"/>
              </w:rPr>
            </w:pPr>
            <w:r>
              <w:rPr>
                <w:rFonts w:hint="default"/>
                <w:b/>
                <w:bCs/>
                <w:sz w:val="21"/>
                <w:szCs w:val="21"/>
                <w:lang w:val="en-US" w:eastAsia="zh-CN"/>
              </w:rPr>
              <w:t>泄漏概率</w:t>
            </w:r>
          </w:p>
        </w:tc>
      </w:tr>
      <w:tr w14:paraId="79DD90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1" w:hRule="atLeast"/>
        </w:trPr>
        <w:tc>
          <w:tcPr>
            <w:tcW w:w="726" w:type="dxa"/>
            <w:vAlign w:val="center"/>
          </w:tcPr>
          <w:p w14:paraId="7EDDDC7C">
            <w:pPr>
              <w:widowControl w:val="0"/>
              <w:bidi w:val="0"/>
              <w:spacing w:line="240" w:lineRule="auto"/>
              <w:jc w:val="center"/>
              <w:rPr>
                <w:rFonts w:hint="default"/>
                <w:sz w:val="21"/>
                <w:szCs w:val="21"/>
                <w:lang w:val="en-US" w:eastAsia="zh-CN"/>
              </w:rPr>
            </w:pPr>
            <w:r>
              <w:rPr>
                <w:rFonts w:hint="default"/>
                <w:sz w:val="21"/>
                <w:szCs w:val="21"/>
                <w:lang w:val="en-US" w:eastAsia="zh-CN"/>
              </w:rPr>
              <w:t>1</w:t>
            </w:r>
          </w:p>
        </w:tc>
        <w:tc>
          <w:tcPr>
            <w:tcW w:w="2211" w:type="dxa"/>
            <w:vAlign w:val="center"/>
          </w:tcPr>
          <w:p w14:paraId="3C1CCE4D">
            <w:pPr>
              <w:widowControl w:val="0"/>
              <w:bidi w:val="0"/>
              <w:spacing w:line="240" w:lineRule="auto"/>
              <w:jc w:val="center"/>
              <w:rPr>
                <w:rFonts w:hint="default"/>
                <w:sz w:val="21"/>
                <w:szCs w:val="21"/>
                <w:lang w:val="en-US" w:eastAsia="zh-CN"/>
              </w:rPr>
            </w:pPr>
            <w:r>
              <w:rPr>
                <w:rFonts w:hint="default"/>
                <w:sz w:val="21"/>
                <w:szCs w:val="21"/>
                <w:lang w:val="en-US" w:eastAsia="zh-CN"/>
              </w:rPr>
              <w:t>反应器/工艺储罐/气体储罐/塔器</w:t>
            </w:r>
          </w:p>
        </w:tc>
        <w:tc>
          <w:tcPr>
            <w:tcW w:w="4245" w:type="dxa"/>
            <w:vAlign w:val="center"/>
          </w:tcPr>
          <w:p w14:paraId="252B9E9E">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泄漏孔径为10mm孔径</w:t>
            </w:r>
          </w:p>
          <w:p w14:paraId="525E02B6">
            <w:pPr>
              <w:widowControl w:val="0"/>
              <w:bidi w:val="0"/>
              <w:spacing w:line="240" w:lineRule="auto"/>
              <w:jc w:val="center"/>
              <w:rPr>
                <w:rFonts w:hint="default"/>
                <w:sz w:val="21"/>
                <w:szCs w:val="21"/>
                <w:lang w:val="en-US" w:eastAsia="zh-CN"/>
              </w:rPr>
            </w:pPr>
            <w:r>
              <w:rPr>
                <w:rFonts w:hint="default"/>
                <w:sz w:val="21"/>
                <w:szCs w:val="21"/>
                <w:lang w:val="en-US" w:eastAsia="zh-CN"/>
              </w:rPr>
              <w:t>10min内储罐泄漏完</w:t>
            </w:r>
          </w:p>
          <w:p w14:paraId="159DC93E">
            <w:pPr>
              <w:widowControl w:val="0"/>
              <w:bidi w:val="0"/>
              <w:spacing w:line="240" w:lineRule="auto"/>
              <w:jc w:val="center"/>
              <w:rPr>
                <w:rFonts w:hint="default"/>
                <w:sz w:val="21"/>
                <w:szCs w:val="21"/>
                <w:lang w:val="en-US" w:eastAsia="zh-CN"/>
              </w:rPr>
            </w:pPr>
            <w:r>
              <w:rPr>
                <w:rFonts w:hint="default"/>
                <w:sz w:val="21"/>
                <w:szCs w:val="21"/>
                <w:lang w:val="en-US" w:eastAsia="zh-CN"/>
              </w:rPr>
              <w:t>储罐全破裂</w:t>
            </w:r>
          </w:p>
        </w:tc>
        <w:tc>
          <w:tcPr>
            <w:tcW w:w="2183" w:type="dxa"/>
            <w:vAlign w:val="center"/>
          </w:tcPr>
          <w:p w14:paraId="36F17CBA">
            <w:pPr>
              <w:widowControl w:val="0"/>
              <w:bidi w:val="0"/>
              <w:spacing w:line="240" w:lineRule="auto"/>
              <w:jc w:val="center"/>
              <w:rPr>
                <w:rFonts w:hint="default"/>
                <w:sz w:val="21"/>
                <w:szCs w:val="21"/>
                <w:lang w:val="en-US" w:eastAsia="zh-CN"/>
              </w:rPr>
            </w:pPr>
            <w:r>
              <w:rPr>
                <w:rFonts w:hint="default"/>
                <w:sz w:val="21"/>
                <w:szCs w:val="21"/>
                <w:lang w:val="en-US" w:eastAsia="zh-CN"/>
              </w:rPr>
              <w:t>1.00×10</w:t>
            </w:r>
            <w:r>
              <w:rPr>
                <w:rFonts w:hint="default"/>
                <w:sz w:val="21"/>
                <w:szCs w:val="21"/>
                <w:vertAlign w:val="superscript"/>
                <w:lang w:val="en-US" w:eastAsia="zh-CN"/>
              </w:rPr>
              <w:t>-4</w:t>
            </w:r>
            <w:r>
              <w:rPr>
                <w:rFonts w:hint="default"/>
                <w:sz w:val="21"/>
                <w:szCs w:val="21"/>
                <w:lang w:val="en-US" w:eastAsia="zh-CN"/>
              </w:rPr>
              <w:t>/年</w:t>
            </w:r>
          </w:p>
          <w:p w14:paraId="5C0878ED">
            <w:pPr>
              <w:widowControl w:val="0"/>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-6</w:t>
            </w:r>
            <w:r>
              <w:rPr>
                <w:rFonts w:hint="default"/>
                <w:sz w:val="21"/>
                <w:szCs w:val="21"/>
                <w:lang w:val="en-US" w:eastAsia="zh-CN"/>
              </w:rPr>
              <w:t>/年</w:t>
            </w:r>
          </w:p>
          <w:p w14:paraId="3F42F0FF">
            <w:pPr>
              <w:widowControl w:val="0"/>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-6</w:t>
            </w:r>
            <w:r>
              <w:rPr>
                <w:rFonts w:hint="default"/>
                <w:sz w:val="21"/>
                <w:szCs w:val="21"/>
                <w:lang w:val="en-US" w:eastAsia="zh-CN"/>
              </w:rPr>
              <w:t>/年</w:t>
            </w:r>
          </w:p>
        </w:tc>
      </w:tr>
      <w:tr w14:paraId="3FA215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1" w:hRule="atLeast"/>
        </w:trPr>
        <w:tc>
          <w:tcPr>
            <w:tcW w:w="726" w:type="dxa"/>
            <w:vAlign w:val="center"/>
          </w:tcPr>
          <w:p w14:paraId="1E2798F5">
            <w:pPr>
              <w:widowControl w:val="0"/>
              <w:bidi w:val="0"/>
              <w:spacing w:line="240" w:lineRule="auto"/>
              <w:jc w:val="center"/>
              <w:rPr>
                <w:rFonts w:hint="default"/>
                <w:sz w:val="21"/>
                <w:szCs w:val="21"/>
                <w:lang w:val="en-US" w:eastAsia="zh-CN"/>
              </w:rPr>
            </w:pPr>
            <w:r>
              <w:rPr>
                <w:rFonts w:hint="default"/>
                <w:sz w:val="21"/>
                <w:szCs w:val="21"/>
                <w:lang w:val="en-US" w:eastAsia="zh-CN"/>
              </w:rPr>
              <w:t>2</w:t>
            </w:r>
          </w:p>
        </w:tc>
        <w:tc>
          <w:tcPr>
            <w:tcW w:w="2211" w:type="dxa"/>
            <w:vAlign w:val="center"/>
          </w:tcPr>
          <w:p w14:paraId="44EC297C">
            <w:pPr>
              <w:widowControl w:val="0"/>
              <w:bidi w:val="0"/>
              <w:spacing w:line="240" w:lineRule="auto"/>
              <w:jc w:val="center"/>
              <w:rPr>
                <w:rFonts w:hint="default"/>
                <w:sz w:val="21"/>
                <w:szCs w:val="21"/>
                <w:lang w:val="en-US" w:eastAsia="zh-CN"/>
              </w:rPr>
            </w:pPr>
            <w:r>
              <w:rPr>
                <w:rFonts w:hint="default"/>
                <w:sz w:val="21"/>
                <w:szCs w:val="21"/>
                <w:lang w:val="en-US" w:eastAsia="zh-CN"/>
              </w:rPr>
              <w:t>常压单包容储罐</w:t>
            </w:r>
          </w:p>
        </w:tc>
        <w:tc>
          <w:tcPr>
            <w:tcW w:w="4245" w:type="dxa"/>
            <w:vAlign w:val="center"/>
          </w:tcPr>
          <w:p w14:paraId="234CFCBC">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泄漏孔径为10mm孔径</w:t>
            </w:r>
          </w:p>
          <w:p w14:paraId="25BCE953">
            <w:pPr>
              <w:widowControl w:val="0"/>
              <w:bidi w:val="0"/>
              <w:spacing w:line="240" w:lineRule="auto"/>
              <w:jc w:val="center"/>
              <w:rPr>
                <w:rFonts w:hint="default"/>
                <w:sz w:val="21"/>
                <w:szCs w:val="21"/>
                <w:lang w:val="en-US" w:eastAsia="zh-CN"/>
              </w:rPr>
            </w:pPr>
            <w:r>
              <w:rPr>
                <w:rFonts w:hint="default"/>
                <w:sz w:val="21"/>
                <w:szCs w:val="21"/>
                <w:lang w:val="en-US" w:eastAsia="zh-CN"/>
              </w:rPr>
              <w:t>10min内储罐泄漏完</w:t>
            </w:r>
          </w:p>
          <w:p w14:paraId="41A14BB1">
            <w:pPr>
              <w:widowControl w:val="0"/>
              <w:bidi w:val="0"/>
              <w:spacing w:line="240" w:lineRule="auto"/>
              <w:jc w:val="center"/>
              <w:rPr>
                <w:rFonts w:hint="default"/>
                <w:sz w:val="21"/>
                <w:szCs w:val="21"/>
                <w:lang w:val="en-US" w:eastAsia="zh-CN"/>
              </w:rPr>
            </w:pPr>
            <w:r>
              <w:rPr>
                <w:rFonts w:hint="default"/>
                <w:sz w:val="21"/>
                <w:szCs w:val="21"/>
                <w:lang w:val="en-US" w:eastAsia="zh-CN"/>
              </w:rPr>
              <w:t>储罐全破裂</w:t>
            </w:r>
          </w:p>
        </w:tc>
        <w:tc>
          <w:tcPr>
            <w:tcW w:w="2183" w:type="dxa"/>
            <w:vAlign w:val="center"/>
          </w:tcPr>
          <w:p w14:paraId="2F01DCB8">
            <w:pPr>
              <w:widowControl w:val="0"/>
              <w:bidi w:val="0"/>
              <w:spacing w:line="240" w:lineRule="auto"/>
              <w:jc w:val="center"/>
              <w:rPr>
                <w:rFonts w:hint="default"/>
                <w:sz w:val="21"/>
                <w:szCs w:val="21"/>
                <w:lang w:val="en-US" w:eastAsia="zh-CN"/>
              </w:rPr>
            </w:pPr>
            <w:r>
              <w:rPr>
                <w:rFonts w:hint="default"/>
                <w:sz w:val="21"/>
                <w:szCs w:val="21"/>
                <w:lang w:val="en-US" w:eastAsia="zh-CN"/>
              </w:rPr>
              <w:t>1.00×10</w:t>
            </w:r>
            <w:r>
              <w:rPr>
                <w:rFonts w:hint="default"/>
                <w:sz w:val="21"/>
                <w:szCs w:val="21"/>
                <w:vertAlign w:val="superscript"/>
                <w:lang w:val="en-US" w:eastAsia="zh-CN"/>
              </w:rPr>
              <w:t>-4</w:t>
            </w:r>
            <w:r>
              <w:rPr>
                <w:rFonts w:hint="default"/>
                <w:sz w:val="21"/>
                <w:szCs w:val="21"/>
                <w:lang w:val="en-US" w:eastAsia="zh-CN"/>
              </w:rPr>
              <w:t>/a</w:t>
            </w:r>
          </w:p>
          <w:p w14:paraId="54AB4813">
            <w:pPr>
              <w:widowControl w:val="0"/>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-6</w:t>
            </w:r>
            <w:r>
              <w:rPr>
                <w:rFonts w:hint="default"/>
                <w:sz w:val="21"/>
                <w:szCs w:val="21"/>
                <w:lang w:val="en-US" w:eastAsia="zh-CN"/>
              </w:rPr>
              <w:t>/a</w:t>
            </w:r>
          </w:p>
          <w:p w14:paraId="4AE35202">
            <w:pPr>
              <w:widowControl w:val="0"/>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-6</w:t>
            </w:r>
            <w:r>
              <w:rPr>
                <w:rFonts w:hint="default"/>
                <w:sz w:val="21"/>
                <w:szCs w:val="21"/>
                <w:lang w:val="en-US" w:eastAsia="zh-CN"/>
              </w:rPr>
              <w:t>/a</w:t>
            </w:r>
          </w:p>
        </w:tc>
      </w:tr>
      <w:tr w14:paraId="5E5551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1" w:hRule="atLeast"/>
        </w:trPr>
        <w:tc>
          <w:tcPr>
            <w:tcW w:w="726" w:type="dxa"/>
            <w:vAlign w:val="center"/>
          </w:tcPr>
          <w:p w14:paraId="3F9E7DBF">
            <w:pPr>
              <w:widowControl w:val="0"/>
              <w:bidi w:val="0"/>
              <w:spacing w:line="240" w:lineRule="auto"/>
              <w:jc w:val="center"/>
              <w:rPr>
                <w:rFonts w:hint="default"/>
                <w:sz w:val="21"/>
                <w:szCs w:val="21"/>
                <w:lang w:val="en-US" w:eastAsia="zh-CN"/>
              </w:rPr>
            </w:pPr>
            <w:r>
              <w:rPr>
                <w:rFonts w:hint="default"/>
                <w:sz w:val="21"/>
                <w:szCs w:val="21"/>
                <w:lang w:val="en-US" w:eastAsia="zh-CN"/>
              </w:rPr>
              <w:t>3</w:t>
            </w:r>
          </w:p>
        </w:tc>
        <w:tc>
          <w:tcPr>
            <w:tcW w:w="2211" w:type="dxa"/>
            <w:vAlign w:val="center"/>
          </w:tcPr>
          <w:p w14:paraId="03829199">
            <w:pPr>
              <w:widowControl w:val="0"/>
              <w:bidi w:val="0"/>
              <w:spacing w:line="240" w:lineRule="auto"/>
              <w:jc w:val="center"/>
              <w:rPr>
                <w:rFonts w:hint="default"/>
                <w:sz w:val="21"/>
                <w:szCs w:val="21"/>
                <w:lang w:val="en-US" w:eastAsia="zh-CN"/>
              </w:rPr>
            </w:pPr>
            <w:r>
              <w:rPr>
                <w:rFonts w:hint="default"/>
                <w:sz w:val="21"/>
                <w:szCs w:val="21"/>
                <w:lang w:val="en-US" w:eastAsia="zh-CN"/>
              </w:rPr>
              <w:t>常压双包储罐</w:t>
            </w:r>
          </w:p>
        </w:tc>
        <w:tc>
          <w:tcPr>
            <w:tcW w:w="4245" w:type="dxa"/>
            <w:vAlign w:val="center"/>
          </w:tcPr>
          <w:p w14:paraId="6389CCCB">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泄漏孔径为10mm孔径</w:t>
            </w:r>
          </w:p>
          <w:p w14:paraId="6C406FDF">
            <w:pPr>
              <w:widowControl w:val="0"/>
              <w:bidi w:val="0"/>
              <w:spacing w:line="240" w:lineRule="auto"/>
              <w:jc w:val="center"/>
              <w:rPr>
                <w:rFonts w:hint="default"/>
                <w:sz w:val="21"/>
                <w:szCs w:val="21"/>
                <w:lang w:val="en-US" w:eastAsia="zh-CN"/>
              </w:rPr>
            </w:pPr>
            <w:r>
              <w:rPr>
                <w:rFonts w:hint="default"/>
                <w:sz w:val="21"/>
                <w:szCs w:val="21"/>
                <w:lang w:val="en-US" w:eastAsia="zh-CN"/>
              </w:rPr>
              <w:t>10min内储罐泄漏完</w:t>
            </w:r>
          </w:p>
          <w:p w14:paraId="7BD3C4A4">
            <w:pPr>
              <w:widowControl w:val="0"/>
              <w:bidi w:val="0"/>
              <w:spacing w:line="240" w:lineRule="auto"/>
              <w:jc w:val="center"/>
              <w:rPr>
                <w:rFonts w:hint="default"/>
                <w:sz w:val="21"/>
                <w:szCs w:val="21"/>
                <w:lang w:val="en-US" w:eastAsia="zh-CN"/>
              </w:rPr>
            </w:pPr>
            <w:r>
              <w:rPr>
                <w:rFonts w:hint="default"/>
                <w:sz w:val="21"/>
                <w:szCs w:val="21"/>
                <w:lang w:val="en-US" w:eastAsia="zh-CN"/>
              </w:rPr>
              <w:t>储罐全破裂</w:t>
            </w:r>
          </w:p>
        </w:tc>
        <w:tc>
          <w:tcPr>
            <w:tcW w:w="2183" w:type="dxa"/>
            <w:vAlign w:val="center"/>
          </w:tcPr>
          <w:p w14:paraId="3296050D">
            <w:pPr>
              <w:widowControl w:val="0"/>
              <w:bidi w:val="0"/>
              <w:spacing w:line="240" w:lineRule="auto"/>
              <w:jc w:val="center"/>
              <w:rPr>
                <w:rFonts w:hint="default"/>
                <w:sz w:val="21"/>
                <w:szCs w:val="21"/>
                <w:lang w:val="en-US" w:eastAsia="zh-CN"/>
              </w:rPr>
            </w:pPr>
            <w:r>
              <w:rPr>
                <w:rFonts w:hint="default"/>
                <w:sz w:val="21"/>
                <w:szCs w:val="21"/>
                <w:lang w:val="en-US" w:eastAsia="zh-CN"/>
              </w:rPr>
              <w:t>1.00×10</w:t>
            </w:r>
            <w:r>
              <w:rPr>
                <w:rFonts w:hint="default"/>
                <w:sz w:val="21"/>
                <w:szCs w:val="21"/>
                <w:vertAlign w:val="superscript"/>
                <w:lang w:val="en-US" w:eastAsia="zh-CN"/>
              </w:rPr>
              <w:t>-4</w:t>
            </w:r>
            <w:r>
              <w:rPr>
                <w:rFonts w:hint="default"/>
                <w:sz w:val="21"/>
                <w:szCs w:val="21"/>
                <w:lang w:val="en-US" w:eastAsia="zh-CN"/>
              </w:rPr>
              <w:t>/a</w:t>
            </w:r>
          </w:p>
          <w:p w14:paraId="2923F92F">
            <w:pPr>
              <w:widowControl w:val="0"/>
              <w:bidi w:val="0"/>
              <w:spacing w:line="240" w:lineRule="auto"/>
              <w:jc w:val="center"/>
              <w:rPr>
                <w:rFonts w:hint="default"/>
                <w:sz w:val="21"/>
                <w:szCs w:val="21"/>
                <w:lang w:val="en-US" w:eastAsia="zh-CN"/>
              </w:rPr>
            </w:pPr>
            <w:r>
              <w:rPr>
                <w:rFonts w:hint="default"/>
                <w:sz w:val="21"/>
                <w:szCs w:val="21"/>
                <w:lang w:val="en-US" w:eastAsia="zh-CN"/>
              </w:rPr>
              <w:t>1.25×10</w:t>
            </w:r>
            <w:r>
              <w:rPr>
                <w:rFonts w:hint="default"/>
                <w:sz w:val="21"/>
                <w:szCs w:val="21"/>
                <w:vertAlign w:val="superscript"/>
                <w:lang w:val="en-US" w:eastAsia="zh-CN"/>
              </w:rPr>
              <w:t>-8</w:t>
            </w:r>
            <w:r>
              <w:rPr>
                <w:rFonts w:hint="default"/>
                <w:sz w:val="21"/>
                <w:szCs w:val="21"/>
                <w:lang w:val="en-US" w:eastAsia="zh-CN"/>
              </w:rPr>
              <w:t>/a</w:t>
            </w:r>
          </w:p>
          <w:p w14:paraId="1E845282">
            <w:pPr>
              <w:widowControl w:val="0"/>
              <w:bidi w:val="0"/>
              <w:spacing w:line="240" w:lineRule="auto"/>
              <w:jc w:val="center"/>
              <w:rPr>
                <w:rFonts w:hint="default"/>
                <w:sz w:val="21"/>
                <w:szCs w:val="21"/>
                <w:lang w:val="en-US" w:eastAsia="zh-CN"/>
              </w:rPr>
            </w:pPr>
            <w:r>
              <w:rPr>
                <w:rFonts w:hint="default"/>
                <w:sz w:val="21"/>
                <w:szCs w:val="21"/>
                <w:lang w:val="en-US" w:eastAsia="zh-CN"/>
              </w:rPr>
              <w:t>1.25×10</w:t>
            </w:r>
            <w:r>
              <w:rPr>
                <w:rFonts w:hint="default"/>
                <w:sz w:val="21"/>
                <w:szCs w:val="21"/>
                <w:vertAlign w:val="superscript"/>
                <w:lang w:val="en-US" w:eastAsia="zh-CN"/>
              </w:rPr>
              <w:t>-8</w:t>
            </w:r>
            <w:r>
              <w:rPr>
                <w:rFonts w:hint="default"/>
                <w:sz w:val="21"/>
                <w:szCs w:val="21"/>
                <w:lang w:val="en-US" w:eastAsia="zh-CN"/>
              </w:rPr>
              <w:t>/a</w:t>
            </w:r>
          </w:p>
        </w:tc>
      </w:tr>
      <w:tr w14:paraId="5E824F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726" w:type="dxa"/>
            <w:vAlign w:val="center"/>
          </w:tcPr>
          <w:p w14:paraId="71366EE8">
            <w:pPr>
              <w:widowControl w:val="0"/>
              <w:bidi w:val="0"/>
              <w:spacing w:line="240" w:lineRule="auto"/>
              <w:jc w:val="center"/>
              <w:rPr>
                <w:rFonts w:hint="default"/>
                <w:sz w:val="21"/>
                <w:szCs w:val="21"/>
                <w:lang w:val="en-US" w:eastAsia="zh-CN"/>
              </w:rPr>
            </w:pPr>
            <w:r>
              <w:rPr>
                <w:rFonts w:hint="default"/>
                <w:sz w:val="21"/>
                <w:szCs w:val="21"/>
                <w:lang w:val="en-US" w:eastAsia="zh-CN"/>
              </w:rPr>
              <w:t>4</w:t>
            </w:r>
          </w:p>
        </w:tc>
        <w:tc>
          <w:tcPr>
            <w:tcW w:w="2211" w:type="dxa"/>
            <w:vAlign w:val="center"/>
          </w:tcPr>
          <w:p w14:paraId="3E4AD08E">
            <w:pPr>
              <w:widowControl w:val="0"/>
              <w:bidi w:val="0"/>
              <w:spacing w:line="240" w:lineRule="auto"/>
              <w:jc w:val="center"/>
              <w:rPr>
                <w:rFonts w:hint="default"/>
                <w:sz w:val="21"/>
                <w:szCs w:val="21"/>
                <w:lang w:val="en-US" w:eastAsia="zh-CN"/>
              </w:rPr>
            </w:pPr>
            <w:r>
              <w:rPr>
                <w:rFonts w:hint="default"/>
                <w:sz w:val="21"/>
                <w:szCs w:val="21"/>
                <w:lang w:val="en-US" w:eastAsia="zh-CN"/>
              </w:rPr>
              <w:t>常压全包容储罐</w:t>
            </w:r>
          </w:p>
        </w:tc>
        <w:tc>
          <w:tcPr>
            <w:tcW w:w="4245" w:type="dxa"/>
            <w:vAlign w:val="center"/>
          </w:tcPr>
          <w:p w14:paraId="27E3BC25">
            <w:pPr>
              <w:widowControl w:val="0"/>
              <w:bidi w:val="0"/>
              <w:spacing w:line="240" w:lineRule="auto"/>
              <w:jc w:val="center"/>
              <w:rPr>
                <w:rFonts w:hint="default"/>
                <w:sz w:val="21"/>
                <w:szCs w:val="21"/>
                <w:lang w:val="en-US" w:eastAsia="zh-CN"/>
              </w:rPr>
            </w:pPr>
            <w:r>
              <w:rPr>
                <w:rFonts w:hint="default"/>
                <w:sz w:val="21"/>
                <w:szCs w:val="21"/>
                <w:lang w:val="en-US" w:eastAsia="zh-CN"/>
              </w:rPr>
              <w:t>储罐全破裂</w:t>
            </w:r>
          </w:p>
        </w:tc>
        <w:tc>
          <w:tcPr>
            <w:tcW w:w="2183" w:type="dxa"/>
            <w:vAlign w:val="center"/>
          </w:tcPr>
          <w:p w14:paraId="7A86ECB6">
            <w:pPr>
              <w:widowControl w:val="0"/>
              <w:bidi w:val="0"/>
              <w:spacing w:line="240" w:lineRule="auto"/>
              <w:jc w:val="center"/>
              <w:rPr>
                <w:rFonts w:hint="default"/>
                <w:sz w:val="21"/>
                <w:szCs w:val="21"/>
                <w:lang w:val="en-US" w:eastAsia="zh-CN"/>
              </w:rPr>
            </w:pPr>
            <w:r>
              <w:rPr>
                <w:rFonts w:hint="default"/>
                <w:sz w:val="21"/>
                <w:szCs w:val="21"/>
                <w:lang w:val="en-US" w:eastAsia="zh-CN"/>
              </w:rPr>
              <w:t>1.00×10</w:t>
            </w:r>
            <w:r>
              <w:rPr>
                <w:rFonts w:hint="default"/>
                <w:sz w:val="21"/>
                <w:szCs w:val="21"/>
                <w:vertAlign w:val="superscript"/>
                <w:lang w:val="en-US" w:eastAsia="zh-CN"/>
              </w:rPr>
              <w:t>-8</w:t>
            </w:r>
            <w:r>
              <w:rPr>
                <w:rFonts w:hint="default"/>
                <w:sz w:val="21"/>
                <w:szCs w:val="21"/>
                <w:lang w:val="en-US" w:eastAsia="zh-CN"/>
              </w:rPr>
              <w:t>/a</w:t>
            </w:r>
          </w:p>
        </w:tc>
      </w:tr>
      <w:tr w14:paraId="197C6A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726" w:type="dxa"/>
            <w:vAlign w:val="center"/>
          </w:tcPr>
          <w:p w14:paraId="34F2F57A">
            <w:pPr>
              <w:widowControl w:val="0"/>
              <w:bidi w:val="0"/>
              <w:spacing w:line="240" w:lineRule="auto"/>
              <w:jc w:val="center"/>
              <w:rPr>
                <w:rFonts w:hint="default"/>
                <w:sz w:val="21"/>
                <w:szCs w:val="21"/>
                <w:lang w:val="en-US" w:eastAsia="zh-CN"/>
              </w:rPr>
            </w:pPr>
            <w:r>
              <w:rPr>
                <w:rFonts w:hint="default"/>
                <w:sz w:val="21"/>
                <w:szCs w:val="21"/>
                <w:lang w:val="en-US" w:eastAsia="zh-CN"/>
              </w:rPr>
              <w:t>5</w:t>
            </w:r>
          </w:p>
        </w:tc>
        <w:tc>
          <w:tcPr>
            <w:tcW w:w="2211" w:type="dxa"/>
            <w:vAlign w:val="center"/>
          </w:tcPr>
          <w:p w14:paraId="2F86B42C">
            <w:pPr>
              <w:widowControl w:val="0"/>
              <w:bidi w:val="0"/>
              <w:spacing w:line="240" w:lineRule="auto"/>
              <w:jc w:val="center"/>
              <w:rPr>
                <w:rFonts w:hint="default"/>
                <w:sz w:val="21"/>
                <w:szCs w:val="21"/>
                <w:lang w:val="en-US" w:eastAsia="zh-CN"/>
              </w:rPr>
            </w:pPr>
            <w:r>
              <w:rPr>
                <w:rFonts w:hint="default"/>
                <w:sz w:val="21"/>
                <w:szCs w:val="21"/>
                <w:lang w:val="en-US" w:eastAsia="zh-CN"/>
              </w:rPr>
              <w:t>内径≤75mm的管道</w:t>
            </w:r>
          </w:p>
        </w:tc>
        <w:tc>
          <w:tcPr>
            <w:tcW w:w="4245" w:type="dxa"/>
            <w:vAlign w:val="center"/>
          </w:tcPr>
          <w:p w14:paraId="79B711FB">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泄漏孔径为10%孔径全管径泄漏</w:t>
            </w:r>
          </w:p>
        </w:tc>
        <w:tc>
          <w:tcPr>
            <w:tcW w:w="2183" w:type="dxa"/>
            <w:vAlign w:val="center"/>
          </w:tcPr>
          <w:p w14:paraId="67044494">
            <w:pPr>
              <w:widowControl w:val="0"/>
              <w:bidi w:val="0"/>
              <w:spacing w:line="240" w:lineRule="auto"/>
              <w:jc w:val="center"/>
              <w:rPr>
                <w:rFonts w:hint="default"/>
                <w:sz w:val="21"/>
                <w:szCs w:val="21"/>
                <w:lang w:val="en-US" w:eastAsia="zh-CN"/>
              </w:rPr>
            </w:pPr>
            <w:r>
              <w:rPr>
                <w:rFonts w:hint="default"/>
                <w:sz w:val="21"/>
                <w:szCs w:val="21"/>
                <w:lang w:val="en-US" w:eastAsia="zh-CN"/>
              </w:rPr>
              <w:t>5.0×10</w:t>
            </w:r>
            <w:r>
              <w:rPr>
                <w:rFonts w:hint="default"/>
                <w:sz w:val="21"/>
                <w:szCs w:val="21"/>
                <w:vertAlign w:val="superscript"/>
                <w:lang w:val="en-US" w:eastAsia="zh-CN"/>
              </w:rPr>
              <w:t>-6</w:t>
            </w:r>
            <w:r>
              <w:rPr>
                <w:rFonts w:hint="default"/>
                <w:sz w:val="21"/>
                <w:szCs w:val="21"/>
                <w:lang w:val="en-US" w:eastAsia="zh-CN"/>
              </w:rPr>
              <w:t>（m·a）</w:t>
            </w:r>
          </w:p>
          <w:p w14:paraId="4E23DC3D">
            <w:pPr>
              <w:widowControl w:val="0"/>
              <w:bidi w:val="0"/>
              <w:spacing w:line="240" w:lineRule="auto"/>
              <w:jc w:val="center"/>
              <w:rPr>
                <w:rFonts w:hint="default"/>
                <w:sz w:val="21"/>
                <w:szCs w:val="21"/>
                <w:lang w:val="en-US" w:eastAsia="zh-CN"/>
              </w:rPr>
            </w:pPr>
            <w:r>
              <w:rPr>
                <w:rFonts w:hint="default"/>
                <w:sz w:val="21"/>
                <w:szCs w:val="21"/>
                <w:lang w:val="en-US" w:eastAsia="zh-CN"/>
              </w:rPr>
              <w:t>1.0×10</w:t>
            </w:r>
            <w:r>
              <w:rPr>
                <w:rFonts w:hint="default"/>
                <w:sz w:val="21"/>
                <w:szCs w:val="21"/>
                <w:vertAlign w:val="superscript"/>
                <w:lang w:val="en-US" w:eastAsia="zh-CN"/>
              </w:rPr>
              <w:t>-6</w:t>
            </w:r>
            <w:r>
              <w:rPr>
                <w:rFonts w:hint="default"/>
                <w:sz w:val="21"/>
                <w:szCs w:val="21"/>
                <w:lang w:val="en-US" w:eastAsia="zh-CN"/>
              </w:rPr>
              <w:t>（m·a）</w:t>
            </w:r>
          </w:p>
        </w:tc>
      </w:tr>
      <w:tr w14:paraId="3FD938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726" w:type="dxa"/>
            <w:vAlign w:val="center"/>
          </w:tcPr>
          <w:p w14:paraId="7E107EB4">
            <w:pPr>
              <w:widowControl w:val="0"/>
              <w:bidi w:val="0"/>
              <w:spacing w:line="240" w:lineRule="auto"/>
              <w:jc w:val="center"/>
              <w:rPr>
                <w:rFonts w:hint="default"/>
                <w:sz w:val="21"/>
                <w:szCs w:val="21"/>
                <w:lang w:val="en-US" w:eastAsia="zh-CN"/>
              </w:rPr>
            </w:pPr>
            <w:r>
              <w:rPr>
                <w:rFonts w:hint="default"/>
                <w:sz w:val="21"/>
                <w:szCs w:val="21"/>
                <w:lang w:val="en-US" w:eastAsia="zh-CN"/>
              </w:rPr>
              <w:t>6</w:t>
            </w:r>
          </w:p>
        </w:tc>
        <w:tc>
          <w:tcPr>
            <w:tcW w:w="2211" w:type="dxa"/>
            <w:vAlign w:val="center"/>
          </w:tcPr>
          <w:p w14:paraId="4F6DF0F9">
            <w:pPr>
              <w:widowControl w:val="0"/>
              <w:bidi w:val="0"/>
              <w:spacing w:line="240" w:lineRule="auto"/>
              <w:jc w:val="center"/>
              <w:rPr>
                <w:rFonts w:hint="default"/>
                <w:sz w:val="21"/>
                <w:szCs w:val="21"/>
                <w:lang w:val="en-US" w:eastAsia="zh-CN"/>
              </w:rPr>
            </w:pPr>
            <w:r>
              <w:rPr>
                <w:rFonts w:hint="default"/>
                <w:sz w:val="21"/>
                <w:szCs w:val="21"/>
                <w:lang w:val="en-US" w:eastAsia="zh-CN"/>
              </w:rPr>
              <w:t>75mm&lt;内径≤150mm的</w:t>
            </w:r>
          </w:p>
          <w:p w14:paraId="7EBD6252">
            <w:pPr>
              <w:widowControl w:val="0"/>
              <w:bidi w:val="0"/>
              <w:spacing w:line="240" w:lineRule="auto"/>
              <w:jc w:val="center"/>
              <w:rPr>
                <w:rFonts w:hint="default"/>
                <w:sz w:val="21"/>
                <w:szCs w:val="21"/>
                <w:lang w:val="en-US" w:eastAsia="zh-CN"/>
              </w:rPr>
            </w:pPr>
            <w:r>
              <w:rPr>
                <w:rFonts w:hint="default"/>
                <w:sz w:val="21"/>
                <w:szCs w:val="21"/>
                <w:lang w:val="en-US" w:eastAsia="zh-CN"/>
              </w:rPr>
              <w:t>管道</w:t>
            </w:r>
          </w:p>
        </w:tc>
        <w:tc>
          <w:tcPr>
            <w:tcW w:w="4245" w:type="dxa"/>
            <w:vAlign w:val="center"/>
          </w:tcPr>
          <w:p w14:paraId="21B7BB93">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泄漏孔径为10%孔径全管径泄漏</w:t>
            </w:r>
          </w:p>
        </w:tc>
        <w:tc>
          <w:tcPr>
            <w:tcW w:w="2183" w:type="dxa"/>
            <w:vAlign w:val="center"/>
          </w:tcPr>
          <w:p w14:paraId="6C798629">
            <w:pPr>
              <w:widowControl w:val="0"/>
              <w:bidi w:val="0"/>
              <w:spacing w:line="240" w:lineRule="auto"/>
              <w:jc w:val="center"/>
              <w:rPr>
                <w:rFonts w:hint="default"/>
                <w:sz w:val="21"/>
                <w:szCs w:val="21"/>
                <w:lang w:val="en-US" w:eastAsia="zh-CN"/>
              </w:rPr>
            </w:pPr>
            <w:r>
              <w:rPr>
                <w:rFonts w:hint="default"/>
                <w:sz w:val="21"/>
                <w:szCs w:val="21"/>
                <w:lang w:val="en-US" w:eastAsia="zh-CN"/>
              </w:rPr>
              <w:t>2.40×10</w:t>
            </w:r>
            <w:r>
              <w:rPr>
                <w:rFonts w:hint="default"/>
                <w:sz w:val="21"/>
                <w:szCs w:val="21"/>
                <w:vertAlign w:val="superscript"/>
                <w:lang w:val="en-US" w:eastAsia="zh-CN"/>
              </w:rPr>
              <w:t>-6</w:t>
            </w:r>
            <w:r>
              <w:rPr>
                <w:rFonts w:hint="default"/>
                <w:sz w:val="21"/>
                <w:szCs w:val="21"/>
                <w:lang w:val="en-US" w:eastAsia="zh-CN"/>
              </w:rPr>
              <w:t>（m·a） 1.00×10</w:t>
            </w:r>
            <w:r>
              <w:rPr>
                <w:rFonts w:hint="default"/>
                <w:sz w:val="21"/>
                <w:szCs w:val="21"/>
                <w:vertAlign w:val="superscript"/>
                <w:lang w:val="en-US" w:eastAsia="zh-CN"/>
              </w:rPr>
              <w:t>-7</w:t>
            </w:r>
            <w:r>
              <w:rPr>
                <w:rFonts w:hint="default"/>
                <w:sz w:val="21"/>
                <w:szCs w:val="21"/>
                <w:lang w:val="en-US" w:eastAsia="zh-CN"/>
              </w:rPr>
              <w:t>（m·a）</w:t>
            </w:r>
          </w:p>
        </w:tc>
      </w:tr>
      <w:tr w14:paraId="2063E0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9" w:hRule="atLeast"/>
        </w:trPr>
        <w:tc>
          <w:tcPr>
            <w:tcW w:w="726" w:type="dxa"/>
            <w:vAlign w:val="center"/>
          </w:tcPr>
          <w:p w14:paraId="3DE48D4C">
            <w:pPr>
              <w:widowControl w:val="0"/>
              <w:bidi w:val="0"/>
              <w:spacing w:line="240" w:lineRule="auto"/>
              <w:jc w:val="center"/>
              <w:rPr>
                <w:rFonts w:hint="default"/>
                <w:sz w:val="21"/>
                <w:szCs w:val="21"/>
                <w:lang w:val="en-US" w:eastAsia="zh-CN"/>
              </w:rPr>
            </w:pPr>
            <w:r>
              <w:rPr>
                <w:rFonts w:hint="default"/>
                <w:sz w:val="21"/>
                <w:szCs w:val="21"/>
                <w:lang w:val="en-US" w:eastAsia="zh-CN"/>
              </w:rPr>
              <w:t>7</w:t>
            </w:r>
          </w:p>
        </w:tc>
        <w:tc>
          <w:tcPr>
            <w:tcW w:w="2211" w:type="dxa"/>
            <w:vAlign w:val="center"/>
          </w:tcPr>
          <w:p w14:paraId="5580C559">
            <w:pPr>
              <w:widowControl w:val="0"/>
              <w:bidi w:val="0"/>
              <w:spacing w:line="240" w:lineRule="auto"/>
              <w:jc w:val="center"/>
              <w:rPr>
                <w:rFonts w:hint="default"/>
                <w:sz w:val="21"/>
                <w:szCs w:val="21"/>
                <w:lang w:val="en-US" w:eastAsia="zh-CN"/>
              </w:rPr>
            </w:pPr>
            <w:r>
              <w:rPr>
                <w:rFonts w:hint="default"/>
                <w:sz w:val="21"/>
                <w:szCs w:val="21"/>
                <w:lang w:val="en-US" w:eastAsia="zh-CN"/>
              </w:rPr>
              <w:t>内径&gt;150mm的管道</w:t>
            </w:r>
          </w:p>
        </w:tc>
        <w:tc>
          <w:tcPr>
            <w:tcW w:w="4245" w:type="dxa"/>
            <w:vAlign w:val="center"/>
          </w:tcPr>
          <w:p w14:paraId="0A4C37C7">
            <w:pPr>
              <w:widowControl w:val="0"/>
              <w:bidi w:val="0"/>
              <w:spacing w:line="240" w:lineRule="auto"/>
              <w:jc w:val="center"/>
              <w:rPr>
                <w:rFonts w:hint="default"/>
                <w:sz w:val="21"/>
                <w:szCs w:val="21"/>
                <w:lang w:val="en-US" w:eastAsia="zh-CN"/>
              </w:rPr>
            </w:pPr>
            <w:r>
              <w:rPr>
                <w:rFonts w:hint="default"/>
                <w:sz w:val="21"/>
                <w:szCs w:val="21"/>
                <w:lang w:val="en-US" w:eastAsia="zh-CN"/>
              </w:rPr>
              <w:t>泄漏孔径为10%孔径全管径泄漏</w:t>
            </w:r>
          </w:p>
        </w:tc>
        <w:tc>
          <w:tcPr>
            <w:tcW w:w="2183" w:type="dxa"/>
            <w:vAlign w:val="center"/>
          </w:tcPr>
          <w:p w14:paraId="3A484076">
            <w:pPr>
              <w:widowControl w:val="0"/>
              <w:bidi w:val="0"/>
              <w:spacing w:line="240" w:lineRule="auto"/>
              <w:jc w:val="center"/>
              <w:rPr>
                <w:rFonts w:hint="default"/>
                <w:sz w:val="21"/>
                <w:szCs w:val="21"/>
                <w:lang w:val="en-US" w:eastAsia="zh-CN"/>
              </w:rPr>
            </w:pPr>
            <w:r>
              <w:rPr>
                <w:rFonts w:hint="default"/>
                <w:sz w:val="21"/>
                <w:szCs w:val="21"/>
                <w:lang w:val="en-US" w:eastAsia="zh-CN"/>
              </w:rPr>
              <w:t>2.40×10</w:t>
            </w:r>
            <w:r>
              <w:rPr>
                <w:rFonts w:hint="default"/>
                <w:sz w:val="21"/>
                <w:szCs w:val="21"/>
                <w:vertAlign w:val="superscript"/>
                <w:lang w:val="en-US" w:eastAsia="zh-CN"/>
              </w:rPr>
              <w:t>-6</w:t>
            </w:r>
            <w:r>
              <w:rPr>
                <w:rFonts w:hint="default"/>
                <w:sz w:val="21"/>
                <w:szCs w:val="21"/>
                <w:lang w:val="en-US" w:eastAsia="zh-CN"/>
              </w:rPr>
              <w:t>（m·a）* 1.00×10</w:t>
            </w:r>
            <w:r>
              <w:rPr>
                <w:rFonts w:hint="default"/>
                <w:sz w:val="21"/>
                <w:szCs w:val="21"/>
                <w:vertAlign w:val="superscript"/>
                <w:lang w:val="en-US" w:eastAsia="zh-CN"/>
              </w:rPr>
              <w:t>-7</w:t>
            </w:r>
            <w:r>
              <w:rPr>
                <w:rFonts w:hint="default"/>
                <w:sz w:val="21"/>
                <w:szCs w:val="21"/>
                <w:lang w:val="en-US" w:eastAsia="zh-CN"/>
              </w:rPr>
              <w:t>（m·a）</w:t>
            </w:r>
          </w:p>
        </w:tc>
      </w:tr>
      <w:tr w14:paraId="77BBE0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2" w:hRule="atLeast"/>
        </w:trPr>
        <w:tc>
          <w:tcPr>
            <w:tcW w:w="726" w:type="dxa"/>
            <w:vAlign w:val="center"/>
          </w:tcPr>
          <w:p w14:paraId="7ADC09B4">
            <w:pPr>
              <w:widowControl w:val="0"/>
              <w:bidi w:val="0"/>
              <w:spacing w:line="240" w:lineRule="auto"/>
              <w:jc w:val="center"/>
              <w:rPr>
                <w:rFonts w:hint="default"/>
                <w:sz w:val="21"/>
                <w:szCs w:val="21"/>
                <w:lang w:val="en-US" w:eastAsia="zh-CN"/>
              </w:rPr>
            </w:pPr>
            <w:r>
              <w:rPr>
                <w:rFonts w:hint="default"/>
                <w:sz w:val="21"/>
                <w:szCs w:val="21"/>
                <w:lang w:val="en-US" w:eastAsia="zh-CN"/>
              </w:rPr>
              <w:t>8</w:t>
            </w:r>
          </w:p>
        </w:tc>
        <w:tc>
          <w:tcPr>
            <w:tcW w:w="2211" w:type="dxa"/>
            <w:vAlign w:val="center"/>
          </w:tcPr>
          <w:p w14:paraId="64120F2C">
            <w:pPr>
              <w:widowControl w:val="0"/>
              <w:bidi w:val="0"/>
              <w:spacing w:line="240" w:lineRule="auto"/>
              <w:jc w:val="center"/>
              <w:rPr>
                <w:rFonts w:hint="default"/>
                <w:sz w:val="21"/>
                <w:szCs w:val="21"/>
                <w:lang w:val="en-US" w:eastAsia="zh-CN"/>
              </w:rPr>
            </w:pPr>
            <w:r>
              <w:rPr>
                <w:rFonts w:hint="default"/>
                <w:sz w:val="21"/>
                <w:szCs w:val="21"/>
                <w:lang w:val="en-US" w:eastAsia="zh-CN"/>
              </w:rPr>
              <w:t>泵体和压缩机</w:t>
            </w:r>
          </w:p>
        </w:tc>
        <w:tc>
          <w:tcPr>
            <w:tcW w:w="4245" w:type="dxa"/>
            <w:vAlign w:val="center"/>
          </w:tcPr>
          <w:p w14:paraId="413D3334">
            <w:pPr>
              <w:widowControl w:val="0"/>
              <w:bidi w:val="0"/>
              <w:spacing w:line="240" w:lineRule="auto"/>
              <w:jc w:val="center"/>
              <w:rPr>
                <w:rFonts w:hint="default"/>
                <w:sz w:val="21"/>
                <w:szCs w:val="21"/>
                <w:lang w:val="en-US" w:eastAsia="zh-CN"/>
              </w:rPr>
            </w:pPr>
            <w:r>
              <w:rPr>
                <w:rFonts w:hint="default"/>
                <w:sz w:val="21"/>
                <w:szCs w:val="21"/>
                <w:lang w:val="en-US" w:eastAsia="zh-CN"/>
              </w:rPr>
              <w:t>泵体和压缩机最大连接管泄漏孔径为10%孔径（最大50mm）</w:t>
            </w:r>
          </w:p>
          <w:p w14:paraId="56977F93">
            <w:pPr>
              <w:widowControl w:val="0"/>
              <w:bidi w:val="0"/>
              <w:spacing w:line="240" w:lineRule="auto"/>
              <w:jc w:val="center"/>
              <w:rPr>
                <w:rFonts w:hint="default"/>
                <w:sz w:val="21"/>
                <w:szCs w:val="21"/>
                <w:lang w:val="en-US" w:eastAsia="zh-CN"/>
              </w:rPr>
            </w:pPr>
            <w:r>
              <w:rPr>
                <w:rFonts w:hint="default"/>
                <w:sz w:val="21"/>
                <w:szCs w:val="21"/>
                <w:lang w:val="en-US" w:eastAsia="zh-CN"/>
              </w:rPr>
              <w:t>泵体和压缩机最大连接管全管径泄漏</w:t>
            </w:r>
          </w:p>
        </w:tc>
        <w:tc>
          <w:tcPr>
            <w:tcW w:w="2183" w:type="dxa"/>
            <w:vAlign w:val="center"/>
          </w:tcPr>
          <w:p w14:paraId="119F00A8">
            <w:pPr>
              <w:widowControl w:val="0"/>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-4</w:t>
            </w:r>
            <w:r>
              <w:rPr>
                <w:rFonts w:hint="default"/>
                <w:sz w:val="21"/>
                <w:szCs w:val="21"/>
                <w:lang w:val="en-US" w:eastAsia="zh-CN"/>
              </w:rPr>
              <w:t>/a</w:t>
            </w:r>
          </w:p>
          <w:p w14:paraId="3A2B6FE0">
            <w:pPr>
              <w:widowControl w:val="0"/>
              <w:bidi w:val="0"/>
              <w:spacing w:line="240" w:lineRule="auto"/>
              <w:jc w:val="center"/>
              <w:rPr>
                <w:rFonts w:hint="default"/>
                <w:sz w:val="21"/>
                <w:szCs w:val="21"/>
                <w:lang w:val="en-US" w:eastAsia="zh-CN"/>
              </w:rPr>
            </w:pPr>
            <w:r>
              <w:rPr>
                <w:rFonts w:hint="default"/>
                <w:sz w:val="21"/>
                <w:szCs w:val="21"/>
                <w:lang w:val="en-US" w:eastAsia="zh-CN"/>
              </w:rPr>
              <w:t>1.00×10</w:t>
            </w:r>
            <w:r>
              <w:rPr>
                <w:rFonts w:hint="default"/>
                <w:sz w:val="21"/>
                <w:szCs w:val="21"/>
                <w:vertAlign w:val="superscript"/>
                <w:lang w:val="en-US" w:eastAsia="zh-CN"/>
              </w:rPr>
              <w:t>-4</w:t>
            </w:r>
            <w:r>
              <w:rPr>
                <w:rFonts w:hint="default"/>
                <w:sz w:val="21"/>
                <w:szCs w:val="21"/>
                <w:lang w:val="en-US" w:eastAsia="zh-CN"/>
              </w:rPr>
              <w:t>/a</w:t>
            </w:r>
          </w:p>
        </w:tc>
      </w:tr>
      <w:tr w14:paraId="6F4F94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2" w:hRule="atLeast"/>
        </w:trPr>
        <w:tc>
          <w:tcPr>
            <w:tcW w:w="726" w:type="dxa"/>
            <w:shd w:val="clear" w:color="auto" w:fill="auto"/>
            <w:vAlign w:val="center"/>
          </w:tcPr>
          <w:p w14:paraId="17B9D6A5">
            <w:pPr>
              <w:widowControl w:val="0"/>
              <w:bidi w:val="0"/>
              <w:spacing w:line="240" w:lineRule="auto"/>
              <w:jc w:val="center"/>
              <w:rPr>
                <w:rFonts w:hint="default"/>
                <w:sz w:val="21"/>
                <w:szCs w:val="21"/>
                <w:lang w:val="en-US" w:eastAsia="zh-CN"/>
              </w:rPr>
            </w:pPr>
            <w:r>
              <w:rPr>
                <w:rFonts w:hint="default"/>
                <w:sz w:val="21"/>
                <w:szCs w:val="21"/>
                <w:lang w:val="en-US" w:eastAsia="zh-CN"/>
              </w:rPr>
              <w:t>9</w:t>
            </w:r>
          </w:p>
        </w:tc>
        <w:tc>
          <w:tcPr>
            <w:tcW w:w="2211" w:type="dxa"/>
            <w:shd w:val="clear" w:color="auto" w:fill="auto"/>
            <w:vAlign w:val="center"/>
          </w:tcPr>
          <w:p w14:paraId="2DB05C03">
            <w:pPr>
              <w:widowControl w:val="0"/>
              <w:bidi w:val="0"/>
              <w:spacing w:line="240" w:lineRule="auto"/>
              <w:jc w:val="center"/>
              <w:rPr>
                <w:rFonts w:hint="default"/>
                <w:sz w:val="21"/>
                <w:szCs w:val="21"/>
                <w:lang w:val="en-US" w:eastAsia="zh-CN"/>
              </w:rPr>
            </w:pPr>
            <w:r>
              <w:rPr>
                <w:rFonts w:hint="default"/>
                <w:sz w:val="21"/>
                <w:szCs w:val="21"/>
                <w:lang w:val="en-US" w:eastAsia="zh-CN"/>
              </w:rPr>
              <w:t>装卸臂</w:t>
            </w:r>
          </w:p>
        </w:tc>
        <w:tc>
          <w:tcPr>
            <w:tcW w:w="4245" w:type="dxa"/>
            <w:shd w:val="clear" w:color="auto" w:fill="auto"/>
            <w:vAlign w:val="center"/>
          </w:tcPr>
          <w:p w14:paraId="3F3850A3">
            <w:pPr>
              <w:widowControl w:val="0"/>
              <w:bidi w:val="0"/>
              <w:spacing w:line="240" w:lineRule="auto"/>
              <w:jc w:val="center"/>
              <w:rPr>
                <w:rFonts w:hint="default"/>
                <w:sz w:val="21"/>
                <w:szCs w:val="21"/>
                <w:lang w:val="en-US" w:eastAsia="zh-CN"/>
              </w:rPr>
            </w:pPr>
            <w:r>
              <w:rPr>
                <w:rFonts w:hint="default"/>
                <w:sz w:val="21"/>
                <w:szCs w:val="21"/>
                <w:lang w:val="en-US" w:eastAsia="zh-CN"/>
              </w:rPr>
              <w:t>装卸臂连接管泄漏孔径为10%孔径（最大50mm）</w:t>
            </w:r>
          </w:p>
          <w:p w14:paraId="259CA259">
            <w:pPr>
              <w:widowControl w:val="0"/>
              <w:bidi w:val="0"/>
              <w:spacing w:line="240" w:lineRule="auto"/>
              <w:jc w:val="center"/>
              <w:rPr>
                <w:rFonts w:hint="default"/>
                <w:sz w:val="21"/>
                <w:szCs w:val="21"/>
                <w:lang w:val="en-US" w:eastAsia="zh-CN"/>
              </w:rPr>
            </w:pPr>
            <w:r>
              <w:rPr>
                <w:rFonts w:hint="default"/>
                <w:sz w:val="21"/>
                <w:szCs w:val="21"/>
                <w:lang w:val="en-US" w:eastAsia="zh-CN"/>
              </w:rPr>
              <w:t>装卸臂全管径泄漏</w:t>
            </w:r>
          </w:p>
        </w:tc>
        <w:tc>
          <w:tcPr>
            <w:tcW w:w="2183" w:type="dxa"/>
            <w:shd w:val="clear" w:color="auto" w:fill="auto"/>
            <w:vAlign w:val="center"/>
          </w:tcPr>
          <w:p w14:paraId="068A51BB">
            <w:pPr>
              <w:widowControl w:val="0"/>
              <w:bidi w:val="0"/>
              <w:spacing w:line="240" w:lineRule="auto"/>
              <w:jc w:val="center"/>
              <w:rPr>
                <w:rFonts w:hint="default"/>
                <w:sz w:val="21"/>
                <w:szCs w:val="21"/>
                <w:lang w:val="en-US" w:eastAsia="zh-CN"/>
              </w:rPr>
            </w:pPr>
            <w:r>
              <w:rPr>
                <w:rFonts w:hint="default"/>
                <w:sz w:val="21"/>
                <w:szCs w:val="21"/>
                <w:lang w:val="en-US" w:eastAsia="zh-CN"/>
              </w:rPr>
              <w:t>3.00×10</w:t>
            </w:r>
            <w:r>
              <w:rPr>
                <w:rFonts w:hint="default"/>
                <w:sz w:val="21"/>
                <w:szCs w:val="21"/>
                <w:vertAlign w:val="superscript"/>
                <w:lang w:val="en-US" w:eastAsia="zh-CN"/>
              </w:rPr>
              <w:t>-7</w:t>
            </w:r>
            <w:r>
              <w:rPr>
                <w:rFonts w:hint="default"/>
                <w:sz w:val="21"/>
                <w:szCs w:val="21"/>
                <w:lang w:val="en-US" w:eastAsia="zh-CN"/>
              </w:rPr>
              <w:t>/h</w:t>
            </w:r>
          </w:p>
          <w:p w14:paraId="20A0BF3F">
            <w:pPr>
              <w:widowControl w:val="0"/>
              <w:bidi w:val="0"/>
              <w:spacing w:line="240" w:lineRule="auto"/>
              <w:jc w:val="center"/>
              <w:rPr>
                <w:rFonts w:hint="default"/>
                <w:sz w:val="21"/>
                <w:szCs w:val="21"/>
                <w:lang w:val="en-US" w:eastAsia="zh-CN"/>
              </w:rPr>
            </w:pPr>
            <w:r>
              <w:rPr>
                <w:rFonts w:hint="default"/>
                <w:sz w:val="21"/>
                <w:szCs w:val="21"/>
                <w:lang w:val="en-US" w:eastAsia="zh-CN"/>
              </w:rPr>
              <w:t>3.00×10</w:t>
            </w:r>
            <w:r>
              <w:rPr>
                <w:rFonts w:hint="default"/>
                <w:sz w:val="21"/>
                <w:szCs w:val="21"/>
                <w:vertAlign w:val="superscript"/>
                <w:lang w:val="en-US" w:eastAsia="zh-CN"/>
              </w:rPr>
              <w:t>-8</w:t>
            </w:r>
            <w:r>
              <w:rPr>
                <w:rFonts w:hint="default"/>
                <w:sz w:val="21"/>
                <w:szCs w:val="21"/>
                <w:lang w:val="en-US" w:eastAsia="zh-CN"/>
              </w:rPr>
              <w:t>/h</w:t>
            </w:r>
          </w:p>
        </w:tc>
      </w:tr>
      <w:tr w14:paraId="0FACFA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2" w:hRule="atLeast"/>
        </w:trPr>
        <w:tc>
          <w:tcPr>
            <w:tcW w:w="0" w:type="auto"/>
            <w:shd w:val="clear" w:color="auto" w:fill="auto"/>
            <w:vAlign w:val="center"/>
          </w:tcPr>
          <w:p w14:paraId="3D87132F">
            <w:pPr>
              <w:widowControl w:val="0"/>
              <w:bidi w:val="0"/>
              <w:spacing w:line="240" w:lineRule="auto"/>
              <w:jc w:val="center"/>
              <w:rPr>
                <w:rFonts w:hint="default"/>
                <w:sz w:val="21"/>
                <w:szCs w:val="21"/>
                <w:lang w:val="en-US" w:eastAsia="zh-CN"/>
              </w:rPr>
            </w:pPr>
            <w:r>
              <w:rPr>
                <w:rFonts w:hint="default"/>
                <w:sz w:val="21"/>
                <w:szCs w:val="21"/>
                <w:lang w:val="en-US" w:eastAsia="zh-CN"/>
              </w:rPr>
              <w:t>10</w:t>
            </w:r>
          </w:p>
        </w:tc>
        <w:tc>
          <w:tcPr>
            <w:tcW w:w="0" w:type="auto"/>
            <w:shd w:val="clear" w:color="auto" w:fill="auto"/>
            <w:vAlign w:val="center"/>
          </w:tcPr>
          <w:p w14:paraId="75465A0B">
            <w:pPr>
              <w:widowControl w:val="0"/>
              <w:bidi w:val="0"/>
              <w:spacing w:line="240" w:lineRule="auto"/>
              <w:jc w:val="center"/>
              <w:rPr>
                <w:rFonts w:hint="default"/>
                <w:sz w:val="21"/>
                <w:szCs w:val="21"/>
                <w:lang w:val="en-US" w:eastAsia="zh-CN"/>
              </w:rPr>
            </w:pPr>
            <w:r>
              <w:rPr>
                <w:rFonts w:hint="default"/>
                <w:sz w:val="21"/>
                <w:szCs w:val="21"/>
                <w:lang w:val="en-US" w:eastAsia="zh-CN"/>
              </w:rPr>
              <w:t>装卸软管</w:t>
            </w:r>
          </w:p>
        </w:tc>
        <w:tc>
          <w:tcPr>
            <w:tcW w:w="0" w:type="auto"/>
            <w:shd w:val="clear" w:color="auto" w:fill="auto"/>
            <w:vAlign w:val="center"/>
          </w:tcPr>
          <w:p w14:paraId="249A7F47">
            <w:pPr>
              <w:widowControl w:val="0"/>
              <w:bidi w:val="0"/>
              <w:spacing w:line="240" w:lineRule="auto"/>
              <w:jc w:val="center"/>
              <w:rPr>
                <w:rFonts w:hint="default"/>
                <w:sz w:val="21"/>
                <w:szCs w:val="21"/>
                <w:lang w:val="en-US" w:eastAsia="zh-CN"/>
              </w:rPr>
            </w:pPr>
            <w:r>
              <w:rPr>
                <w:rFonts w:hint="default"/>
                <w:sz w:val="21"/>
                <w:szCs w:val="21"/>
                <w:lang w:val="en-US" w:eastAsia="zh-CN"/>
              </w:rPr>
              <w:t>装卸软管连接管泄漏孔径为10%孔径（最大50mm）</w:t>
            </w:r>
          </w:p>
          <w:p w14:paraId="22D82BE6">
            <w:pPr>
              <w:widowControl w:val="0"/>
              <w:bidi w:val="0"/>
              <w:spacing w:line="240" w:lineRule="auto"/>
              <w:jc w:val="center"/>
              <w:rPr>
                <w:rFonts w:hint="default"/>
                <w:sz w:val="21"/>
                <w:szCs w:val="21"/>
                <w:lang w:val="en-US" w:eastAsia="zh-CN"/>
              </w:rPr>
            </w:pPr>
            <w:r>
              <w:rPr>
                <w:rFonts w:hint="default"/>
                <w:sz w:val="21"/>
                <w:szCs w:val="21"/>
                <w:lang w:val="en-US" w:eastAsia="zh-CN"/>
              </w:rPr>
              <w:t>装卸软管全管径泄漏</w:t>
            </w:r>
          </w:p>
        </w:tc>
        <w:tc>
          <w:tcPr>
            <w:tcW w:w="0" w:type="auto"/>
            <w:shd w:val="clear" w:color="auto" w:fill="auto"/>
            <w:vAlign w:val="center"/>
          </w:tcPr>
          <w:p w14:paraId="5751348C">
            <w:pPr>
              <w:widowControl w:val="0"/>
              <w:bidi w:val="0"/>
              <w:spacing w:line="240" w:lineRule="auto"/>
              <w:jc w:val="center"/>
              <w:rPr>
                <w:rFonts w:hint="default"/>
                <w:sz w:val="21"/>
                <w:szCs w:val="21"/>
                <w:lang w:val="en-US" w:eastAsia="zh-CN"/>
              </w:rPr>
            </w:pPr>
            <w:r>
              <w:rPr>
                <w:rFonts w:hint="default"/>
                <w:sz w:val="21"/>
                <w:szCs w:val="21"/>
                <w:lang w:val="en-US" w:eastAsia="zh-CN"/>
              </w:rPr>
              <w:t>4.00×10</w:t>
            </w:r>
            <w:r>
              <w:rPr>
                <w:rFonts w:hint="default"/>
                <w:sz w:val="21"/>
                <w:szCs w:val="21"/>
                <w:vertAlign w:val="superscript"/>
                <w:lang w:val="en-US" w:eastAsia="zh-CN"/>
              </w:rPr>
              <w:t>-5</w:t>
            </w:r>
            <w:r>
              <w:rPr>
                <w:rFonts w:hint="default"/>
                <w:sz w:val="21"/>
                <w:szCs w:val="21"/>
                <w:lang w:val="en-US" w:eastAsia="zh-CN"/>
              </w:rPr>
              <w:t>/h</w:t>
            </w:r>
          </w:p>
          <w:p w14:paraId="0430B581">
            <w:pPr>
              <w:widowControl w:val="0"/>
              <w:bidi w:val="0"/>
              <w:spacing w:line="240" w:lineRule="auto"/>
              <w:jc w:val="center"/>
              <w:rPr>
                <w:rFonts w:hint="default"/>
                <w:sz w:val="21"/>
                <w:szCs w:val="21"/>
                <w:lang w:val="en-US" w:eastAsia="zh-CN"/>
              </w:rPr>
            </w:pPr>
            <w:r>
              <w:rPr>
                <w:rFonts w:hint="default"/>
                <w:sz w:val="21"/>
                <w:szCs w:val="21"/>
                <w:lang w:val="en-US" w:eastAsia="zh-CN"/>
              </w:rPr>
              <w:t>4.00×10</w:t>
            </w:r>
            <w:r>
              <w:rPr>
                <w:rFonts w:hint="default"/>
                <w:sz w:val="21"/>
                <w:szCs w:val="21"/>
                <w:vertAlign w:val="superscript"/>
                <w:lang w:val="en-US" w:eastAsia="zh-CN"/>
              </w:rPr>
              <w:t>-6</w:t>
            </w:r>
            <w:r>
              <w:rPr>
                <w:rFonts w:hint="default"/>
                <w:sz w:val="21"/>
                <w:szCs w:val="21"/>
                <w:lang w:val="en-US" w:eastAsia="zh-CN"/>
              </w:rPr>
              <w:t>/h</w:t>
            </w:r>
          </w:p>
        </w:tc>
      </w:tr>
    </w:tbl>
    <w:p w14:paraId="6D3D8092">
      <w:pPr>
        <w:bidi w:val="0"/>
        <w:ind w:firstLine="472" w:firstLineChars="200"/>
        <w:rPr>
          <w:rFonts w:hint="default"/>
          <w:lang w:val="en-US" w:eastAsia="zh-CN"/>
        </w:rPr>
      </w:pPr>
      <w:r>
        <w:rPr>
          <w:spacing w:val="-2"/>
        </w:rPr>
        <w:t>最大可信事故是指事故所造成的危害在所有预测的事故中最严重，并且发生该事故</w:t>
      </w:r>
      <w:r>
        <w:rPr>
          <w:spacing w:val="-1"/>
        </w:rPr>
        <w:t>的概率不为</w:t>
      </w:r>
      <w:r>
        <w:rPr>
          <w:spacing w:val="-50"/>
        </w:rPr>
        <w:t xml:space="preserve"> </w:t>
      </w:r>
      <w:r>
        <w:rPr>
          <w:rFonts w:ascii="Times New Roman" w:hAnsi="Times New Roman" w:eastAsia="Times New Roman" w:cs="Times New Roman"/>
          <w:spacing w:val="-1"/>
        </w:rPr>
        <w:t>0</w:t>
      </w:r>
      <w:r>
        <w:rPr>
          <w:rFonts w:ascii="Times New Roman" w:hAnsi="Times New Roman" w:eastAsia="Times New Roman" w:cs="Times New Roman"/>
          <w:spacing w:val="-29"/>
        </w:rPr>
        <w:t xml:space="preserve"> </w:t>
      </w:r>
      <w:r>
        <w:rPr>
          <w:spacing w:val="-1"/>
        </w:rPr>
        <w:t>，同时不考虑工程外部事故风险因素（如地震、雷电、战争、人为蓄意破坏等）。确定最大可信事故的目的是针对典型</w:t>
      </w:r>
      <w:r>
        <w:rPr>
          <w:spacing w:val="-2"/>
        </w:rPr>
        <w:t>事故进行环境风险分析，并不意味着其它</w:t>
      </w:r>
      <w:r>
        <w:rPr>
          <w:spacing w:val="-1"/>
        </w:rPr>
        <w:t>事故不具有环境风险。基于上述风险识别，结</w:t>
      </w:r>
      <w:r>
        <w:rPr>
          <w:spacing w:val="-2"/>
        </w:rPr>
        <w:t>合本项目特点，本项目最大可信事故确定</w:t>
      </w:r>
      <w:r>
        <w:rPr>
          <w:spacing w:val="-1"/>
        </w:rPr>
        <w:t>为：</w:t>
      </w:r>
      <w:r>
        <w:rPr>
          <w:rFonts w:hint="eastAsia"/>
          <w:spacing w:val="-1"/>
          <w:lang w:val="en-US" w:eastAsia="zh-CN"/>
        </w:rPr>
        <w:t>三甲基铝</w:t>
      </w:r>
      <w:r>
        <w:rPr>
          <w:spacing w:val="-1"/>
        </w:rPr>
        <w:t>泄漏</w:t>
      </w:r>
      <w:r>
        <w:rPr>
          <w:rFonts w:hint="eastAsia"/>
          <w:spacing w:val="-1"/>
        </w:rPr>
        <w:t>引发</w:t>
      </w:r>
      <w:r>
        <w:rPr>
          <w:rFonts w:hint="eastAsia"/>
          <w:spacing w:val="-1"/>
          <w:lang w:val="en-US" w:eastAsia="zh-CN"/>
        </w:rPr>
        <w:t>火灾</w:t>
      </w:r>
      <w:r>
        <w:rPr>
          <w:spacing w:val="-1"/>
        </w:rPr>
        <w:t>事故的风险，泄漏事故发生概率</w:t>
      </w:r>
      <w:r>
        <w:rPr>
          <w:rFonts w:hint="eastAsia"/>
          <w:spacing w:val="-29"/>
          <w:lang w:val="en-US" w:eastAsia="zh-CN"/>
        </w:rPr>
        <w:t>5</w:t>
      </w:r>
      <w:r>
        <w:rPr>
          <w:rFonts w:ascii="Times New Roman" w:hAnsi="Times New Roman" w:eastAsia="Times New Roman" w:cs="Times New Roman"/>
          <w:spacing w:val="-1"/>
        </w:rPr>
        <w:t>×10</w:t>
      </w:r>
      <w:r>
        <w:rPr>
          <w:rFonts w:ascii="Times New Roman" w:hAnsi="Times New Roman" w:eastAsia="Times New Roman" w:cs="Times New Roman"/>
          <w:spacing w:val="-1"/>
          <w:position w:val="8"/>
          <w:sz w:val="15"/>
          <w:szCs w:val="15"/>
        </w:rPr>
        <w:t>-</w:t>
      </w:r>
      <w:r>
        <w:rPr>
          <w:rFonts w:hint="eastAsia" w:ascii="Times New Roman" w:hAnsi="Times New Roman" w:cs="Times New Roman"/>
          <w:spacing w:val="-1"/>
          <w:position w:val="8"/>
          <w:sz w:val="15"/>
          <w:szCs w:val="15"/>
          <w:lang w:val="en-US" w:eastAsia="zh-CN"/>
        </w:rPr>
        <w:t>4</w:t>
      </w:r>
      <w:r>
        <w:rPr>
          <w:rFonts w:ascii="Times New Roman" w:hAnsi="Times New Roman" w:eastAsia="Times New Roman" w:cs="Times New Roman"/>
          <w:spacing w:val="-1"/>
        </w:rPr>
        <w:t>/</w:t>
      </w:r>
      <w:r>
        <w:rPr>
          <w:spacing w:val="-1"/>
        </w:rPr>
        <w:t>年。</w:t>
      </w:r>
    </w:p>
    <w:p w14:paraId="3D55D415">
      <w:pPr>
        <w:bidi w:val="0"/>
        <w:ind w:firstLine="480" w:firstLineChars="200"/>
      </w:pPr>
      <w:r>
        <w:rPr>
          <w:rFonts w:hint="default"/>
          <w:lang w:val="en-US" w:eastAsia="zh-CN"/>
        </w:rPr>
        <w:t>②</w:t>
      </w:r>
      <w:r>
        <w:t>事故应急时间</w:t>
      </w:r>
    </w:p>
    <w:p w14:paraId="2070D8D1">
      <w:pPr>
        <w:bidi w:val="0"/>
        <w:ind w:firstLine="480" w:firstLineChars="200"/>
        <w:rPr>
          <w:rFonts w:ascii="Times New Roman" w:hAnsi="Times New Roman" w:eastAsia="宋体" w:cs="Times New Roman"/>
        </w:rPr>
      </w:pPr>
      <w:r>
        <w:rPr>
          <w:rFonts w:ascii="Times New Roman" w:hAnsi="Times New Roman" w:eastAsia="宋体" w:cs="Times New Roman"/>
        </w:rPr>
        <w:t>依据《建设项目环境风险评价技术导则》（HJ 169-2018）中8.2.2.1中明确，</w:t>
      </w:r>
      <w:r>
        <w:rPr>
          <w:rFonts w:hint="eastAsia" w:ascii="Times New Roman" w:hAnsi="Times New Roman" w:eastAsia="宋体" w:cs="Times New Roman"/>
        </w:rPr>
        <w:t>泄漏</w:t>
      </w:r>
      <w:r>
        <w:rPr>
          <w:rFonts w:ascii="Times New Roman" w:hAnsi="Times New Roman" w:eastAsia="宋体" w:cs="Times New Roman"/>
        </w:rPr>
        <w:t>时间应结合建设项目探测和隔离系统的设计原则确定。一般情况下，设置了紧急隔离系统的单元，</w:t>
      </w:r>
      <w:r>
        <w:rPr>
          <w:rFonts w:hint="eastAsia" w:ascii="Times New Roman" w:hAnsi="Times New Roman" w:eastAsia="宋体" w:cs="Times New Roman"/>
        </w:rPr>
        <w:t>泄漏</w:t>
      </w:r>
      <w:r>
        <w:rPr>
          <w:rFonts w:ascii="Times New Roman" w:hAnsi="Times New Roman" w:eastAsia="宋体" w:cs="Times New Roman"/>
        </w:rPr>
        <w:t>时间可设定为10min；未设置紧急隔离系统的单元，</w:t>
      </w:r>
      <w:r>
        <w:rPr>
          <w:rFonts w:hint="eastAsia" w:ascii="Times New Roman" w:hAnsi="Times New Roman" w:eastAsia="宋体" w:cs="Times New Roman"/>
        </w:rPr>
        <w:t>泄漏</w:t>
      </w:r>
      <w:r>
        <w:rPr>
          <w:rFonts w:ascii="Times New Roman" w:hAnsi="Times New Roman" w:eastAsia="宋体" w:cs="Times New Roman"/>
        </w:rPr>
        <w:t>时间可设定为30min。</w:t>
      </w:r>
    </w:p>
    <w:p w14:paraId="6E9E3D0F">
      <w:pPr>
        <w:bidi w:val="0"/>
        <w:ind w:firstLine="480" w:firstLineChars="200"/>
        <w:rPr>
          <w:rFonts w:hint="default" w:ascii="Times New Roman" w:hAnsi="Times New Roman" w:eastAsia="宋体" w:cs="Times New Roman"/>
          <w:lang w:val="en-US" w:eastAsia="zh-CN"/>
        </w:rPr>
      </w:pPr>
      <w:r>
        <w:rPr>
          <w:rFonts w:ascii="Times New Roman" w:hAnsi="Times New Roman" w:eastAsia="宋体" w:cs="Times New Roman"/>
        </w:rPr>
        <w:t>鉴于本项目区现场安装可燃有毒气体声光报警仪等探测系统</w:t>
      </w:r>
      <w:r>
        <w:rPr>
          <w:rFonts w:hint="eastAsia" w:ascii="Times New Roman" w:hAnsi="Times New Roman" w:eastAsia="宋体" w:cs="Times New Roman"/>
        </w:rPr>
        <w:t>以及防火堤等安全防范措施</w:t>
      </w:r>
      <w:r>
        <w:rPr>
          <w:rFonts w:ascii="Times New Roman" w:hAnsi="Times New Roman" w:eastAsia="宋体" w:cs="Times New Roman"/>
        </w:rPr>
        <w:t>，并按要求设立应急安置场所，因此，本项目</w:t>
      </w:r>
      <w:r>
        <w:rPr>
          <w:rFonts w:hint="eastAsia" w:ascii="Times New Roman" w:hAnsi="Times New Roman" w:eastAsia="宋体" w:cs="Times New Roman"/>
        </w:rPr>
        <w:t>泄漏</w:t>
      </w:r>
      <w:r>
        <w:rPr>
          <w:rFonts w:ascii="Times New Roman" w:hAnsi="Times New Roman" w:eastAsia="宋体" w:cs="Times New Roman"/>
        </w:rPr>
        <w:t>时间设定为10min。</w:t>
      </w:r>
    </w:p>
    <w:p w14:paraId="60064F3A">
      <w:pPr>
        <w:bidi w:val="0"/>
        <w:rPr>
          <w:rFonts w:hint="default"/>
          <w:b/>
          <w:bCs/>
          <w:lang w:val="en-US" w:eastAsia="zh-CN"/>
        </w:rPr>
      </w:pPr>
      <w:r>
        <w:rPr>
          <w:rFonts w:hint="default"/>
          <w:b/>
          <w:bCs/>
          <w:lang w:val="en-US" w:eastAsia="zh-CN"/>
        </w:rPr>
        <w:t>7.2.6.2.</w:t>
      </w:r>
      <w:r>
        <w:rPr>
          <w:rFonts w:hint="eastAsia"/>
          <w:b/>
          <w:bCs/>
          <w:lang w:val="en-US" w:eastAsia="zh-CN"/>
        </w:rPr>
        <w:t>6</w:t>
      </w:r>
      <w:r>
        <w:rPr>
          <w:rFonts w:hint="default"/>
          <w:b/>
          <w:bCs/>
          <w:lang w:val="en-US" w:eastAsia="zh-CN"/>
        </w:rPr>
        <w:t xml:space="preserve"> 源项分析</w:t>
      </w:r>
    </w:p>
    <w:p w14:paraId="1650727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①火灾引发的次生/伴生物质</w:t>
      </w:r>
    </w:p>
    <w:p w14:paraId="464033E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本项目</w:t>
      </w:r>
      <w:r>
        <w:rPr>
          <w:rFonts w:hint="eastAsia"/>
          <w:lang w:val="en-US" w:eastAsia="zh-CN"/>
        </w:rPr>
        <w:t>三甲基铝</w:t>
      </w:r>
      <w:r>
        <w:rPr>
          <w:rFonts w:hint="default"/>
          <w:lang w:val="en-US" w:eastAsia="zh-CN"/>
        </w:rPr>
        <w:t>泄漏发生火灾/爆炸事故时，由于物料的急剧燃烧所需的供氧量不足，属于不完全燃烧，因此，</w:t>
      </w:r>
      <w:r>
        <w:rPr>
          <w:rFonts w:hint="eastAsia"/>
          <w:lang w:val="en-US" w:eastAsia="zh-CN"/>
        </w:rPr>
        <w:t>会</w:t>
      </w:r>
      <w:r>
        <w:rPr>
          <w:rFonts w:hint="default"/>
          <w:lang w:val="en-US" w:eastAsia="zh-CN"/>
        </w:rPr>
        <w:t>产生CO，将对周围的环境产生影响。</w:t>
      </w:r>
    </w:p>
    <w:p w14:paraId="73B969A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物质燃烧过程中不完全燃烧伴随产生CO释放至大气，事故情况下CO泄入周围大气中，在大气中扩散对环境和生态造成危害，故本项目基于《建设项目环境风险评价技术导则》编制的环境风险评价系统中</w:t>
      </w:r>
      <w:r>
        <w:rPr>
          <w:rFonts w:hint="eastAsia"/>
          <w:lang w:val="en-US" w:eastAsia="zh-CN"/>
        </w:rPr>
        <w:t>“</w:t>
      </w:r>
      <w:r>
        <w:rPr>
          <w:rFonts w:hint="default"/>
          <w:lang w:val="en-US" w:eastAsia="zh-CN"/>
        </w:rPr>
        <w:t>有毒有害物质在大气中的扩散预测模式</w:t>
      </w:r>
      <w:r>
        <w:rPr>
          <w:rFonts w:hint="eastAsia"/>
          <w:lang w:val="en-US" w:eastAsia="zh-CN"/>
        </w:rPr>
        <w:t>”</w:t>
      </w:r>
      <w:r>
        <w:rPr>
          <w:rFonts w:hint="default"/>
          <w:lang w:val="en-US" w:eastAsia="zh-CN"/>
        </w:rPr>
        <w:t>进行计算。</w:t>
      </w:r>
    </w:p>
    <w:p w14:paraId="1FE957A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A</w:t>
      </w:r>
      <w:r>
        <w:rPr>
          <w:rFonts w:hint="eastAsia"/>
          <w:lang w:val="en-US" w:eastAsia="zh-CN"/>
        </w:rPr>
        <w:t>、</w:t>
      </w:r>
      <w:r>
        <w:rPr>
          <w:rFonts w:hint="default"/>
          <w:lang w:val="en-US" w:eastAsia="zh-CN"/>
        </w:rPr>
        <w:t>预测模式</w:t>
      </w:r>
    </w:p>
    <w:p w14:paraId="7EC14C8A">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采用《环境影响评价技术导则 大气环境》（HJ2.2.-2018）模式进行预测。</w:t>
      </w:r>
    </w:p>
    <w:p w14:paraId="6B4FFEEF">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B</w:t>
      </w:r>
      <w:r>
        <w:rPr>
          <w:rFonts w:hint="eastAsia"/>
          <w:lang w:val="en-US" w:eastAsia="zh-CN"/>
        </w:rPr>
        <w:t>、</w:t>
      </w:r>
      <w:r>
        <w:rPr>
          <w:rFonts w:hint="default"/>
          <w:lang w:val="en-US" w:eastAsia="zh-CN"/>
        </w:rPr>
        <w:t>预测源强</w:t>
      </w:r>
    </w:p>
    <w:p w14:paraId="7F977EB0">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对于火灾事故中CO的产生量，按下式进行计算。</w:t>
      </w:r>
    </w:p>
    <w:p w14:paraId="40661213">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Gco=2330qCQ</w:t>
      </w:r>
    </w:p>
    <w:p w14:paraId="74A56711">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式中：Gco—CO的产生量，kg/s；</w:t>
      </w:r>
    </w:p>
    <w:p w14:paraId="342A136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C—物质中C的百分比含量，</w:t>
      </w:r>
      <w:r>
        <w:rPr>
          <w:rFonts w:hint="eastAsia"/>
          <w:lang w:val="en-US" w:eastAsia="zh-CN"/>
        </w:rPr>
        <w:t>49.98</w:t>
      </w:r>
      <w:r>
        <w:rPr>
          <w:rFonts w:hint="default"/>
          <w:lang w:val="en-US" w:eastAsia="zh-CN"/>
        </w:rPr>
        <w:t>%；</w:t>
      </w:r>
    </w:p>
    <w:p w14:paraId="49C1170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q—化学不完全燃烧值，%。取1.5%~6.0%，本项目取6.0%。</w:t>
      </w:r>
    </w:p>
    <w:p w14:paraId="0A6A1B8C">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Q—参与燃烧的物质量，t/s，</w:t>
      </w:r>
      <w:r>
        <w:rPr>
          <w:rFonts w:hint="eastAsia"/>
          <w:lang w:val="en-US" w:eastAsia="zh-CN"/>
        </w:rPr>
        <w:t>按照1瓶300kg的三甲基铝钢瓶10min内完全泄露，</w:t>
      </w:r>
      <w:r>
        <w:rPr>
          <w:rFonts w:hint="default"/>
          <w:lang w:val="en-US" w:eastAsia="zh-CN"/>
        </w:rPr>
        <w:t>为0.</w:t>
      </w:r>
      <w:r>
        <w:rPr>
          <w:rFonts w:hint="eastAsia"/>
          <w:lang w:val="en-US" w:eastAsia="zh-CN"/>
        </w:rPr>
        <w:t>5</w:t>
      </w:r>
      <w:r>
        <w:rPr>
          <w:rFonts w:hint="default"/>
          <w:lang w:val="en-US" w:eastAsia="zh-CN"/>
        </w:rPr>
        <w:t>kg/s。</w:t>
      </w:r>
    </w:p>
    <w:p w14:paraId="3569DB76">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经计算，</w:t>
      </w:r>
      <w:r>
        <w:rPr>
          <w:rFonts w:hint="eastAsia"/>
          <w:lang w:val="en-US" w:eastAsia="zh-CN"/>
        </w:rPr>
        <w:t>三甲基铝钢瓶</w:t>
      </w:r>
      <w:r>
        <w:rPr>
          <w:rFonts w:hint="default"/>
          <w:lang w:val="en-US" w:eastAsia="zh-CN"/>
        </w:rPr>
        <w:t>泄漏发生火灾产生CO的释放速率为0.0</w:t>
      </w:r>
      <w:r>
        <w:rPr>
          <w:rFonts w:hint="eastAsia"/>
          <w:lang w:val="en-US" w:eastAsia="zh-CN"/>
        </w:rPr>
        <w:t>35</w:t>
      </w:r>
      <w:r>
        <w:rPr>
          <w:rFonts w:hint="default"/>
          <w:lang w:val="en-US" w:eastAsia="zh-CN"/>
        </w:rPr>
        <w:t>kg/s</w:t>
      </w:r>
      <w:r>
        <w:rPr>
          <w:rFonts w:hint="eastAsia"/>
          <w:lang w:val="en-US" w:eastAsia="zh-CN"/>
        </w:rPr>
        <w:t>，释放量为21kg</w:t>
      </w:r>
      <w:r>
        <w:rPr>
          <w:rFonts w:hint="default"/>
          <w:lang w:val="en-US" w:eastAsia="zh-CN"/>
        </w:rPr>
        <w:t>。</w:t>
      </w:r>
    </w:p>
    <w:p w14:paraId="0A84C5FE">
      <w:pPr>
        <w:bidi w:val="0"/>
        <w:rPr>
          <w:rFonts w:hint="default"/>
          <w:b/>
          <w:bCs/>
          <w:lang w:val="en-US" w:eastAsia="zh-CN"/>
        </w:rPr>
      </w:pPr>
      <w:r>
        <w:rPr>
          <w:rFonts w:hint="default"/>
          <w:b/>
          <w:bCs/>
          <w:lang w:val="en-US" w:eastAsia="zh-CN"/>
        </w:rPr>
        <w:t>6.2.6.2.</w:t>
      </w:r>
      <w:r>
        <w:rPr>
          <w:rFonts w:hint="eastAsia"/>
          <w:b/>
          <w:bCs/>
          <w:lang w:val="en-US" w:eastAsia="zh-CN"/>
        </w:rPr>
        <w:t>7</w:t>
      </w:r>
      <w:r>
        <w:rPr>
          <w:rFonts w:hint="default"/>
          <w:b/>
          <w:bCs/>
          <w:lang w:val="en-US" w:eastAsia="zh-CN"/>
        </w:rPr>
        <w:t xml:space="preserve"> 环境风险预测与评价</w:t>
      </w:r>
    </w:p>
    <w:p w14:paraId="2614B463">
      <w:pPr>
        <w:bidi w:val="0"/>
        <w:ind w:firstLine="480" w:firstLineChars="200"/>
        <w:rPr>
          <w:rFonts w:hint="default"/>
          <w:lang w:val="en-US" w:eastAsia="zh-CN"/>
        </w:rPr>
      </w:pPr>
      <w:r>
        <w:rPr>
          <w:rFonts w:hint="default"/>
          <w:lang w:val="en-US" w:eastAsia="zh-CN"/>
        </w:rPr>
        <w:t>（1）大气环境风险影响分析</w:t>
      </w:r>
    </w:p>
    <w:p w14:paraId="69B8A705">
      <w:pPr>
        <w:bidi w:val="0"/>
        <w:ind w:firstLine="480" w:firstLineChars="200"/>
        <w:rPr>
          <w:rFonts w:hint="default"/>
          <w:lang w:val="en-US" w:eastAsia="zh-CN"/>
        </w:rPr>
      </w:pPr>
      <w:r>
        <w:rPr>
          <w:rFonts w:hint="default"/>
          <w:lang w:val="en-US" w:eastAsia="zh-CN"/>
        </w:rPr>
        <w:t>①事故情形描述</w:t>
      </w:r>
    </w:p>
    <w:p w14:paraId="3C769D61">
      <w:pPr>
        <w:bidi w:val="0"/>
        <w:ind w:firstLine="480" w:firstLineChars="200"/>
        <w:rPr>
          <w:rFonts w:hint="default"/>
          <w:lang w:val="en-US" w:eastAsia="zh-CN"/>
        </w:rPr>
      </w:pPr>
      <w:r>
        <w:rPr>
          <w:rFonts w:hint="eastAsia"/>
          <w:lang w:val="en-US" w:eastAsia="zh-CN"/>
        </w:rPr>
        <w:t>三甲基铝钢瓶</w:t>
      </w:r>
      <w:r>
        <w:rPr>
          <w:rFonts w:hint="default"/>
          <w:lang w:val="en-US" w:eastAsia="zh-CN"/>
        </w:rPr>
        <w:t>泄漏引发的火灾/爆炸产生次生物质CO。</w:t>
      </w:r>
    </w:p>
    <w:p w14:paraId="383754B6">
      <w:pPr>
        <w:bidi w:val="0"/>
        <w:ind w:firstLine="480" w:firstLineChars="200"/>
        <w:rPr>
          <w:rFonts w:hint="default"/>
          <w:lang w:val="en-US" w:eastAsia="zh-CN"/>
        </w:rPr>
      </w:pPr>
      <w:r>
        <w:rPr>
          <w:rFonts w:hint="default"/>
          <w:lang w:val="en-US" w:eastAsia="zh-CN"/>
        </w:rPr>
        <w:t>②预测模型</w:t>
      </w:r>
    </w:p>
    <w:p w14:paraId="3AE4848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SLAB模型适用于平坦地形下重质气体排放的扩散模拟；AFTOX模型适用于平坦地形下中性气体和轻质气体排放的扩散模拟。</w:t>
      </w:r>
    </w:p>
    <w:p w14:paraId="6F7C9ADC">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w:t>
      </w:r>
      <w:r>
        <w:rPr>
          <w:rFonts w:hint="eastAsia"/>
          <w:lang w:val="en-US" w:eastAsia="zh-CN"/>
        </w:rPr>
        <w:t>次技改</w:t>
      </w:r>
      <w:r>
        <w:rPr>
          <w:rFonts w:hint="default"/>
          <w:lang w:val="en-US" w:eastAsia="zh-CN"/>
        </w:rPr>
        <w:t>项目CO预测模型采用AFTOX模型。</w:t>
      </w:r>
    </w:p>
    <w:p w14:paraId="5AAE30BA">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③事故情形预测</w:t>
      </w:r>
    </w:p>
    <w:p w14:paraId="65AB8528">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本次大气环境风险评价等级为一级，按照《建设项目环境风险评价技术导则》 （HJ169-2018），需选取最不利气象条件和最常见气象条件进行后果预测。</w:t>
      </w:r>
    </w:p>
    <w:p w14:paraId="5CCFA1CA">
      <w:pPr>
        <w:bidi w:val="0"/>
        <w:jc w:val="center"/>
        <w:rPr>
          <w:rFonts w:hint="default"/>
          <w:b/>
          <w:bCs/>
          <w:lang w:val="en-US" w:eastAsia="zh-CN"/>
        </w:rPr>
      </w:pPr>
      <w:r>
        <w:rPr>
          <w:rFonts w:hint="default"/>
          <w:b/>
          <w:bCs/>
          <w:lang w:val="en-US" w:eastAsia="zh-CN"/>
        </w:rPr>
        <w:t>表6.2.6-</w:t>
      </w:r>
      <w:r>
        <w:rPr>
          <w:rFonts w:hint="eastAsia"/>
          <w:b/>
          <w:bCs/>
          <w:lang w:val="en-US" w:eastAsia="zh-CN"/>
        </w:rPr>
        <w:t>9</w:t>
      </w:r>
      <w:r>
        <w:rPr>
          <w:rFonts w:hint="default"/>
          <w:b/>
          <w:bCs/>
          <w:lang w:val="en-US" w:eastAsia="zh-CN"/>
        </w:rPr>
        <w:t xml:space="preserve"> 预测模型参数一览表</w:t>
      </w:r>
    </w:p>
    <w:tbl>
      <w:tblPr>
        <w:tblStyle w:val="17"/>
        <w:tblW w:w="500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784"/>
        <w:gridCol w:w="2080"/>
        <w:gridCol w:w="3434"/>
        <w:gridCol w:w="3272"/>
      </w:tblGrid>
      <w:tr w14:paraId="2F3F285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643" w:hRule="exact"/>
          <w:jc w:val="center"/>
        </w:trPr>
        <w:tc>
          <w:tcPr>
            <w:tcW w:w="795" w:type="dxa"/>
            <w:tcBorders>
              <w:tl2br w:val="nil"/>
              <w:tr2bl w:val="nil"/>
            </w:tcBorders>
            <w:vAlign w:val="center"/>
          </w:tcPr>
          <w:p w14:paraId="67C84822">
            <w:pPr>
              <w:bidi w:val="0"/>
              <w:spacing w:line="240" w:lineRule="auto"/>
              <w:jc w:val="center"/>
              <w:rPr>
                <w:rFonts w:hint="default"/>
                <w:b/>
                <w:bCs/>
                <w:sz w:val="21"/>
                <w:szCs w:val="21"/>
                <w:lang w:val="en-US" w:eastAsia="zh-CN"/>
              </w:rPr>
            </w:pPr>
            <w:r>
              <w:rPr>
                <w:rFonts w:hint="default"/>
                <w:b/>
                <w:bCs/>
                <w:sz w:val="21"/>
                <w:szCs w:val="21"/>
                <w:lang w:val="en-US" w:eastAsia="zh-CN"/>
              </w:rPr>
              <w:t>参数类型</w:t>
            </w:r>
          </w:p>
        </w:tc>
        <w:tc>
          <w:tcPr>
            <w:tcW w:w="2117" w:type="dxa"/>
            <w:tcBorders>
              <w:tl2br w:val="nil"/>
              <w:tr2bl w:val="nil"/>
            </w:tcBorders>
            <w:vAlign w:val="center"/>
          </w:tcPr>
          <w:p w14:paraId="341861CB">
            <w:pPr>
              <w:bidi w:val="0"/>
              <w:spacing w:line="240" w:lineRule="auto"/>
              <w:jc w:val="center"/>
              <w:rPr>
                <w:rFonts w:hint="default"/>
                <w:b/>
                <w:bCs/>
                <w:sz w:val="21"/>
                <w:szCs w:val="21"/>
                <w:lang w:val="en-US" w:eastAsia="zh-CN"/>
              </w:rPr>
            </w:pPr>
            <w:r>
              <w:rPr>
                <w:rFonts w:hint="default"/>
                <w:b/>
                <w:bCs/>
                <w:sz w:val="21"/>
                <w:szCs w:val="21"/>
                <w:lang w:val="en-US" w:eastAsia="zh-CN"/>
              </w:rPr>
              <w:t>选项</w:t>
            </w:r>
          </w:p>
        </w:tc>
        <w:tc>
          <w:tcPr>
            <w:tcW w:w="6829" w:type="dxa"/>
            <w:gridSpan w:val="2"/>
            <w:tcBorders>
              <w:tl2br w:val="nil"/>
              <w:tr2bl w:val="nil"/>
            </w:tcBorders>
            <w:vAlign w:val="center"/>
          </w:tcPr>
          <w:p w14:paraId="19F66F15">
            <w:pPr>
              <w:bidi w:val="0"/>
              <w:spacing w:line="240" w:lineRule="auto"/>
              <w:jc w:val="center"/>
              <w:rPr>
                <w:rFonts w:hint="default"/>
                <w:b/>
                <w:bCs/>
                <w:sz w:val="21"/>
                <w:szCs w:val="21"/>
                <w:lang w:val="en-US" w:eastAsia="zh-CN"/>
              </w:rPr>
            </w:pPr>
            <w:r>
              <w:rPr>
                <w:rFonts w:hint="default"/>
                <w:b/>
                <w:bCs/>
                <w:sz w:val="21"/>
                <w:szCs w:val="21"/>
                <w:lang w:val="en-US" w:eastAsia="zh-CN"/>
              </w:rPr>
              <w:t>参数</w:t>
            </w:r>
          </w:p>
        </w:tc>
      </w:tr>
      <w:tr w14:paraId="6D74FFD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5" w:hRule="exact"/>
          <w:jc w:val="center"/>
        </w:trPr>
        <w:tc>
          <w:tcPr>
            <w:tcW w:w="795" w:type="dxa"/>
            <w:vMerge w:val="restart"/>
            <w:tcBorders>
              <w:tl2br w:val="nil"/>
              <w:tr2bl w:val="nil"/>
            </w:tcBorders>
            <w:vAlign w:val="center"/>
          </w:tcPr>
          <w:p w14:paraId="2C819DBA">
            <w:pPr>
              <w:bidi w:val="0"/>
              <w:spacing w:line="240" w:lineRule="auto"/>
              <w:jc w:val="center"/>
              <w:rPr>
                <w:rFonts w:hint="default"/>
                <w:sz w:val="21"/>
                <w:szCs w:val="21"/>
                <w:lang w:val="en-US" w:eastAsia="zh-CN"/>
              </w:rPr>
            </w:pPr>
            <w:r>
              <w:rPr>
                <w:rFonts w:hint="default"/>
                <w:sz w:val="21"/>
                <w:szCs w:val="21"/>
                <w:lang w:val="en-US" w:eastAsia="zh-CN"/>
              </w:rPr>
              <w:t>基本情况</w:t>
            </w:r>
          </w:p>
        </w:tc>
        <w:tc>
          <w:tcPr>
            <w:tcW w:w="2117" w:type="dxa"/>
            <w:tcBorders>
              <w:tl2br w:val="nil"/>
              <w:tr2bl w:val="nil"/>
            </w:tcBorders>
            <w:vAlign w:val="center"/>
          </w:tcPr>
          <w:p w14:paraId="44A90B0E">
            <w:pPr>
              <w:bidi w:val="0"/>
              <w:spacing w:line="240" w:lineRule="auto"/>
              <w:jc w:val="center"/>
              <w:rPr>
                <w:rFonts w:hint="default"/>
                <w:sz w:val="21"/>
                <w:szCs w:val="21"/>
                <w:lang w:val="en-US" w:eastAsia="zh-CN"/>
              </w:rPr>
            </w:pPr>
            <w:r>
              <w:rPr>
                <w:rFonts w:hint="default"/>
                <w:sz w:val="21"/>
                <w:szCs w:val="21"/>
                <w:lang w:val="en-US" w:eastAsia="zh-CN"/>
              </w:rPr>
              <w:t>事故源经度/(°)</w:t>
            </w:r>
          </w:p>
        </w:tc>
        <w:tc>
          <w:tcPr>
            <w:tcW w:w="6829" w:type="dxa"/>
            <w:gridSpan w:val="2"/>
            <w:tcBorders>
              <w:tl2br w:val="nil"/>
              <w:tr2bl w:val="nil"/>
            </w:tcBorders>
            <w:vAlign w:val="center"/>
          </w:tcPr>
          <w:p w14:paraId="7915C437">
            <w:pPr>
              <w:bidi w:val="0"/>
              <w:spacing w:line="240" w:lineRule="auto"/>
              <w:jc w:val="center"/>
              <w:rPr>
                <w:rFonts w:hint="default"/>
                <w:sz w:val="21"/>
                <w:szCs w:val="21"/>
                <w:lang w:val="en-US" w:eastAsia="zh-CN"/>
              </w:rPr>
            </w:pPr>
            <w:r>
              <w:rPr>
                <w:rFonts w:hint="default"/>
                <w:sz w:val="21"/>
                <w:szCs w:val="21"/>
                <w:lang w:val="en-US" w:eastAsia="zh-CN"/>
              </w:rPr>
              <w:t>117°30'42.6392"</w:t>
            </w:r>
          </w:p>
        </w:tc>
      </w:tr>
      <w:tr w14:paraId="7204742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6D0B50E8">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6A20336B">
            <w:pPr>
              <w:bidi w:val="0"/>
              <w:spacing w:line="240" w:lineRule="auto"/>
              <w:jc w:val="center"/>
              <w:rPr>
                <w:rFonts w:hint="default"/>
                <w:sz w:val="21"/>
                <w:szCs w:val="21"/>
                <w:lang w:val="en-US" w:eastAsia="zh-CN"/>
              </w:rPr>
            </w:pPr>
            <w:r>
              <w:rPr>
                <w:rFonts w:hint="default"/>
                <w:sz w:val="21"/>
                <w:szCs w:val="21"/>
                <w:lang w:val="en-US" w:eastAsia="zh-CN"/>
              </w:rPr>
              <w:t>事故源纬度/(°)</w:t>
            </w:r>
          </w:p>
        </w:tc>
        <w:tc>
          <w:tcPr>
            <w:tcW w:w="6829" w:type="dxa"/>
            <w:gridSpan w:val="2"/>
            <w:tcBorders>
              <w:tl2br w:val="nil"/>
              <w:tr2bl w:val="nil"/>
            </w:tcBorders>
            <w:vAlign w:val="center"/>
          </w:tcPr>
          <w:p w14:paraId="328F001D">
            <w:pPr>
              <w:bidi w:val="0"/>
              <w:spacing w:line="240" w:lineRule="auto"/>
              <w:jc w:val="center"/>
              <w:rPr>
                <w:rFonts w:hint="default"/>
                <w:sz w:val="21"/>
                <w:szCs w:val="21"/>
                <w:lang w:val="en-US" w:eastAsia="zh-CN"/>
              </w:rPr>
            </w:pPr>
            <w:r>
              <w:rPr>
                <w:rFonts w:hint="default"/>
                <w:sz w:val="21"/>
                <w:szCs w:val="21"/>
                <w:lang w:val="en-US" w:eastAsia="zh-CN"/>
              </w:rPr>
              <w:t>31°45'39.9886"</w:t>
            </w:r>
          </w:p>
        </w:tc>
      </w:tr>
      <w:tr w14:paraId="32598F9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1556" w:hRule="exact"/>
          <w:jc w:val="center"/>
        </w:trPr>
        <w:tc>
          <w:tcPr>
            <w:tcW w:w="795" w:type="dxa"/>
            <w:vMerge w:val="continue"/>
            <w:tcBorders>
              <w:tl2br w:val="nil"/>
              <w:tr2bl w:val="nil"/>
            </w:tcBorders>
            <w:vAlign w:val="center"/>
          </w:tcPr>
          <w:p w14:paraId="2114625D">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1D17CE37">
            <w:pPr>
              <w:bidi w:val="0"/>
              <w:spacing w:line="240" w:lineRule="auto"/>
              <w:jc w:val="center"/>
              <w:rPr>
                <w:rFonts w:hint="default"/>
                <w:sz w:val="21"/>
                <w:szCs w:val="21"/>
                <w:lang w:val="en-US" w:eastAsia="zh-CN"/>
              </w:rPr>
            </w:pPr>
            <w:r>
              <w:rPr>
                <w:rFonts w:hint="default"/>
                <w:sz w:val="21"/>
                <w:szCs w:val="21"/>
                <w:lang w:val="en-US" w:eastAsia="zh-CN"/>
              </w:rPr>
              <w:t>事故源类型</w:t>
            </w:r>
          </w:p>
        </w:tc>
        <w:tc>
          <w:tcPr>
            <w:tcW w:w="6829" w:type="dxa"/>
            <w:gridSpan w:val="2"/>
            <w:tcBorders>
              <w:tl2br w:val="nil"/>
              <w:tr2bl w:val="nil"/>
            </w:tcBorders>
            <w:vAlign w:val="center"/>
          </w:tcPr>
          <w:p w14:paraId="20777885">
            <w:pPr>
              <w:bidi w:val="0"/>
              <w:spacing w:line="240" w:lineRule="auto"/>
              <w:jc w:val="center"/>
              <w:rPr>
                <w:rFonts w:hint="default"/>
                <w:sz w:val="21"/>
                <w:szCs w:val="21"/>
                <w:lang w:val="en-US" w:eastAsia="zh-CN"/>
              </w:rPr>
            </w:pPr>
            <w:r>
              <w:rPr>
                <w:rFonts w:hint="default"/>
                <w:sz w:val="21"/>
                <w:szCs w:val="21"/>
                <w:lang w:val="en-US" w:eastAsia="zh-CN"/>
              </w:rPr>
              <w:t>三甲基铝钢瓶泄漏引发的火灾/爆炸产生次生物质</w:t>
            </w:r>
            <w:r>
              <w:rPr>
                <w:rFonts w:hint="eastAsia"/>
                <w:sz w:val="21"/>
                <w:szCs w:val="21"/>
                <w:lang w:val="en-US" w:eastAsia="zh-CN"/>
              </w:rPr>
              <w:t>CO</w:t>
            </w:r>
          </w:p>
        </w:tc>
      </w:tr>
      <w:tr w14:paraId="4EC6A11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433" w:hRule="exact"/>
          <w:jc w:val="center"/>
        </w:trPr>
        <w:tc>
          <w:tcPr>
            <w:tcW w:w="795" w:type="dxa"/>
            <w:vMerge w:val="restart"/>
            <w:tcBorders>
              <w:tl2br w:val="nil"/>
              <w:tr2bl w:val="nil"/>
            </w:tcBorders>
            <w:vAlign w:val="center"/>
          </w:tcPr>
          <w:p w14:paraId="04353E5B">
            <w:pPr>
              <w:bidi w:val="0"/>
              <w:spacing w:line="240" w:lineRule="auto"/>
              <w:jc w:val="center"/>
              <w:rPr>
                <w:rFonts w:hint="default"/>
                <w:sz w:val="21"/>
                <w:szCs w:val="21"/>
                <w:lang w:val="en-US" w:eastAsia="zh-CN"/>
              </w:rPr>
            </w:pPr>
            <w:r>
              <w:rPr>
                <w:rFonts w:hint="default"/>
                <w:sz w:val="21"/>
                <w:szCs w:val="21"/>
                <w:lang w:val="en-US" w:eastAsia="zh-CN"/>
              </w:rPr>
              <w:t>气象参数</w:t>
            </w:r>
          </w:p>
        </w:tc>
        <w:tc>
          <w:tcPr>
            <w:tcW w:w="2117" w:type="dxa"/>
            <w:tcBorders>
              <w:tl2br w:val="nil"/>
              <w:tr2bl w:val="nil"/>
            </w:tcBorders>
            <w:vAlign w:val="center"/>
          </w:tcPr>
          <w:p w14:paraId="607F99EC">
            <w:pPr>
              <w:bidi w:val="0"/>
              <w:spacing w:line="240" w:lineRule="auto"/>
              <w:jc w:val="center"/>
              <w:rPr>
                <w:rFonts w:hint="default"/>
                <w:sz w:val="21"/>
                <w:szCs w:val="21"/>
                <w:lang w:val="en-US" w:eastAsia="zh-CN"/>
              </w:rPr>
            </w:pPr>
            <w:r>
              <w:rPr>
                <w:rFonts w:hint="default"/>
                <w:sz w:val="21"/>
                <w:szCs w:val="21"/>
                <w:lang w:val="en-US" w:eastAsia="zh-CN"/>
              </w:rPr>
              <w:t>气象条件类型</w:t>
            </w:r>
          </w:p>
        </w:tc>
        <w:tc>
          <w:tcPr>
            <w:tcW w:w="3497" w:type="dxa"/>
            <w:tcBorders>
              <w:right w:val="single" w:color="auto" w:sz="4" w:space="0"/>
              <w:tl2br w:val="nil"/>
              <w:tr2bl w:val="nil"/>
            </w:tcBorders>
            <w:shd w:val="clear" w:color="auto" w:fill="auto"/>
            <w:vAlign w:val="center"/>
          </w:tcPr>
          <w:p w14:paraId="5287CBF3">
            <w:pPr>
              <w:bidi w:val="0"/>
              <w:spacing w:line="240" w:lineRule="auto"/>
              <w:jc w:val="center"/>
              <w:rPr>
                <w:rFonts w:hint="default"/>
                <w:sz w:val="21"/>
                <w:szCs w:val="21"/>
                <w:lang w:val="en-US" w:eastAsia="zh-CN"/>
              </w:rPr>
            </w:pPr>
            <w:r>
              <w:rPr>
                <w:rFonts w:hint="default"/>
                <w:sz w:val="21"/>
                <w:szCs w:val="21"/>
                <w:lang w:val="en-US" w:eastAsia="zh-CN"/>
              </w:rPr>
              <w:t>最常见</w:t>
            </w:r>
          </w:p>
        </w:tc>
        <w:tc>
          <w:tcPr>
            <w:tcW w:w="3332" w:type="dxa"/>
            <w:tcBorders>
              <w:left w:val="single" w:color="auto" w:sz="4" w:space="0"/>
              <w:tl2br w:val="nil"/>
              <w:tr2bl w:val="nil"/>
            </w:tcBorders>
            <w:vAlign w:val="center"/>
          </w:tcPr>
          <w:p w14:paraId="7EBB44D5">
            <w:pPr>
              <w:bidi w:val="0"/>
              <w:spacing w:line="240" w:lineRule="auto"/>
              <w:jc w:val="center"/>
              <w:rPr>
                <w:rFonts w:hint="default"/>
                <w:sz w:val="21"/>
                <w:szCs w:val="21"/>
                <w:lang w:val="en-US" w:eastAsia="zh-CN"/>
              </w:rPr>
            </w:pPr>
            <w:r>
              <w:rPr>
                <w:rFonts w:hint="default"/>
                <w:sz w:val="21"/>
                <w:szCs w:val="21"/>
                <w:lang w:val="en-US" w:eastAsia="zh-CN"/>
              </w:rPr>
              <w:t>最不利</w:t>
            </w:r>
          </w:p>
        </w:tc>
      </w:tr>
      <w:tr w14:paraId="4E3A108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5FFE8334">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4A33CC2A">
            <w:pPr>
              <w:bidi w:val="0"/>
              <w:spacing w:line="240" w:lineRule="auto"/>
              <w:jc w:val="center"/>
              <w:rPr>
                <w:rFonts w:hint="default"/>
                <w:sz w:val="21"/>
                <w:szCs w:val="21"/>
                <w:lang w:val="en-US" w:eastAsia="zh-CN"/>
              </w:rPr>
            </w:pPr>
            <w:r>
              <w:rPr>
                <w:rFonts w:hint="default"/>
                <w:sz w:val="21"/>
                <w:szCs w:val="21"/>
                <w:lang w:val="en-US" w:eastAsia="zh-CN"/>
              </w:rPr>
              <w:t>风速/(m/s)</w:t>
            </w:r>
          </w:p>
        </w:tc>
        <w:tc>
          <w:tcPr>
            <w:tcW w:w="3497" w:type="dxa"/>
            <w:tcBorders>
              <w:tl2br w:val="nil"/>
              <w:tr2bl w:val="nil"/>
            </w:tcBorders>
            <w:shd w:val="clear" w:color="auto" w:fill="auto"/>
            <w:vAlign w:val="center"/>
          </w:tcPr>
          <w:p w14:paraId="4DA079A6">
            <w:pPr>
              <w:bidi w:val="0"/>
              <w:spacing w:line="240" w:lineRule="auto"/>
              <w:jc w:val="center"/>
              <w:rPr>
                <w:rFonts w:hint="default"/>
                <w:sz w:val="21"/>
                <w:szCs w:val="21"/>
                <w:lang w:val="en-US" w:eastAsia="zh-CN"/>
              </w:rPr>
            </w:pPr>
            <w:r>
              <w:rPr>
                <w:rFonts w:hint="default"/>
                <w:sz w:val="21"/>
                <w:szCs w:val="21"/>
                <w:lang w:val="en-US" w:eastAsia="zh-CN"/>
              </w:rPr>
              <w:t>2.21</w:t>
            </w:r>
          </w:p>
        </w:tc>
        <w:tc>
          <w:tcPr>
            <w:tcW w:w="3332" w:type="dxa"/>
            <w:tcBorders>
              <w:tl2br w:val="nil"/>
              <w:tr2bl w:val="nil"/>
            </w:tcBorders>
            <w:vAlign w:val="center"/>
          </w:tcPr>
          <w:p w14:paraId="44769F1C">
            <w:pPr>
              <w:bidi w:val="0"/>
              <w:spacing w:line="240" w:lineRule="auto"/>
              <w:jc w:val="center"/>
              <w:rPr>
                <w:rFonts w:hint="default"/>
                <w:sz w:val="21"/>
                <w:szCs w:val="21"/>
                <w:lang w:val="en-US" w:eastAsia="zh-CN"/>
              </w:rPr>
            </w:pPr>
            <w:r>
              <w:rPr>
                <w:rFonts w:hint="default"/>
                <w:sz w:val="21"/>
                <w:szCs w:val="21"/>
                <w:lang w:val="en-US" w:eastAsia="zh-CN"/>
              </w:rPr>
              <w:t>1.5</w:t>
            </w:r>
          </w:p>
        </w:tc>
      </w:tr>
      <w:tr w14:paraId="59B85D8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699033C7">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7599DA4D">
            <w:pPr>
              <w:bidi w:val="0"/>
              <w:spacing w:line="240" w:lineRule="auto"/>
              <w:jc w:val="center"/>
              <w:rPr>
                <w:rFonts w:hint="default"/>
                <w:sz w:val="21"/>
                <w:szCs w:val="21"/>
                <w:lang w:val="en-US" w:eastAsia="zh-CN"/>
              </w:rPr>
            </w:pPr>
            <w:r>
              <w:rPr>
                <w:rFonts w:hint="default"/>
                <w:sz w:val="21"/>
                <w:szCs w:val="21"/>
                <w:lang w:val="en-US" w:eastAsia="zh-CN"/>
              </w:rPr>
              <w:t>环境温度/℃</w:t>
            </w:r>
          </w:p>
        </w:tc>
        <w:tc>
          <w:tcPr>
            <w:tcW w:w="3497" w:type="dxa"/>
            <w:tcBorders>
              <w:tl2br w:val="nil"/>
              <w:tr2bl w:val="nil"/>
            </w:tcBorders>
            <w:shd w:val="clear" w:color="auto" w:fill="auto"/>
            <w:vAlign w:val="center"/>
          </w:tcPr>
          <w:p w14:paraId="636EC53E">
            <w:pPr>
              <w:bidi w:val="0"/>
              <w:spacing w:line="240" w:lineRule="auto"/>
              <w:jc w:val="center"/>
              <w:rPr>
                <w:rFonts w:hint="default"/>
                <w:sz w:val="21"/>
                <w:szCs w:val="21"/>
                <w:lang w:val="en-US" w:eastAsia="zh-CN"/>
              </w:rPr>
            </w:pPr>
            <w:r>
              <w:rPr>
                <w:rFonts w:hint="default"/>
                <w:sz w:val="21"/>
                <w:szCs w:val="21"/>
                <w:lang w:val="en-US" w:eastAsia="zh-CN"/>
              </w:rPr>
              <w:t>15.52</w:t>
            </w:r>
          </w:p>
        </w:tc>
        <w:tc>
          <w:tcPr>
            <w:tcW w:w="3332" w:type="dxa"/>
            <w:tcBorders>
              <w:tl2br w:val="nil"/>
              <w:tr2bl w:val="nil"/>
            </w:tcBorders>
            <w:vAlign w:val="center"/>
          </w:tcPr>
          <w:p w14:paraId="235733FA">
            <w:pPr>
              <w:bidi w:val="0"/>
              <w:spacing w:line="240" w:lineRule="auto"/>
              <w:jc w:val="center"/>
              <w:rPr>
                <w:rFonts w:hint="default"/>
                <w:sz w:val="21"/>
                <w:szCs w:val="21"/>
                <w:lang w:val="en-US" w:eastAsia="zh-CN"/>
              </w:rPr>
            </w:pPr>
            <w:r>
              <w:rPr>
                <w:rFonts w:hint="default"/>
                <w:sz w:val="21"/>
                <w:szCs w:val="21"/>
                <w:lang w:val="en-US" w:eastAsia="zh-CN"/>
              </w:rPr>
              <w:t>25</w:t>
            </w:r>
          </w:p>
        </w:tc>
      </w:tr>
      <w:tr w14:paraId="43B16CB0">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5A2DB5D9">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7352C603">
            <w:pPr>
              <w:bidi w:val="0"/>
              <w:spacing w:line="240" w:lineRule="auto"/>
              <w:jc w:val="center"/>
              <w:rPr>
                <w:rFonts w:hint="default"/>
                <w:sz w:val="21"/>
                <w:szCs w:val="21"/>
                <w:lang w:val="en-US" w:eastAsia="zh-CN"/>
              </w:rPr>
            </w:pPr>
            <w:r>
              <w:rPr>
                <w:rFonts w:hint="default"/>
                <w:sz w:val="21"/>
                <w:szCs w:val="21"/>
                <w:lang w:val="en-US" w:eastAsia="zh-CN"/>
              </w:rPr>
              <w:t>相对湿度/%</w:t>
            </w:r>
          </w:p>
        </w:tc>
        <w:tc>
          <w:tcPr>
            <w:tcW w:w="3497" w:type="dxa"/>
            <w:tcBorders>
              <w:tl2br w:val="nil"/>
              <w:tr2bl w:val="nil"/>
            </w:tcBorders>
            <w:shd w:val="clear" w:color="auto" w:fill="auto"/>
            <w:vAlign w:val="center"/>
          </w:tcPr>
          <w:p w14:paraId="5C8B2309">
            <w:pPr>
              <w:bidi w:val="0"/>
              <w:spacing w:line="240" w:lineRule="auto"/>
              <w:jc w:val="center"/>
              <w:rPr>
                <w:rFonts w:hint="default"/>
                <w:sz w:val="21"/>
                <w:szCs w:val="21"/>
                <w:lang w:val="en-US" w:eastAsia="zh-CN"/>
              </w:rPr>
            </w:pPr>
            <w:r>
              <w:rPr>
                <w:rFonts w:hint="default"/>
                <w:sz w:val="21"/>
                <w:szCs w:val="21"/>
                <w:lang w:val="en-US" w:eastAsia="zh-CN"/>
              </w:rPr>
              <w:t>69.52</w:t>
            </w:r>
          </w:p>
        </w:tc>
        <w:tc>
          <w:tcPr>
            <w:tcW w:w="3332" w:type="dxa"/>
            <w:tcBorders>
              <w:tl2br w:val="nil"/>
              <w:tr2bl w:val="nil"/>
            </w:tcBorders>
            <w:vAlign w:val="center"/>
          </w:tcPr>
          <w:p w14:paraId="6D29B7F3">
            <w:pPr>
              <w:bidi w:val="0"/>
              <w:spacing w:line="240" w:lineRule="auto"/>
              <w:jc w:val="center"/>
              <w:rPr>
                <w:rFonts w:hint="default"/>
                <w:sz w:val="21"/>
                <w:szCs w:val="21"/>
                <w:lang w:val="en-US" w:eastAsia="zh-CN"/>
              </w:rPr>
            </w:pPr>
            <w:r>
              <w:rPr>
                <w:rFonts w:hint="default"/>
                <w:sz w:val="21"/>
                <w:szCs w:val="21"/>
                <w:lang w:val="en-US" w:eastAsia="zh-CN"/>
              </w:rPr>
              <w:t>50</w:t>
            </w:r>
          </w:p>
        </w:tc>
      </w:tr>
      <w:tr w14:paraId="3104170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2BDA7EC0">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32835376">
            <w:pPr>
              <w:bidi w:val="0"/>
              <w:spacing w:line="240" w:lineRule="auto"/>
              <w:jc w:val="center"/>
              <w:rPr>
                <w:rFonts w:hint="default"/>
                <w:sz w:val="21"/>
                <w:szCs w:val="21"/>
                <w:lang w:val="en-US" w:eastAsia="zh-CN"/>
              </w:rPr>
            </w:pPr>
            <w:r>
              <w:rPr>
                <w:rFonts w:hint="default"/>
                <w:sz w:val="21"/>
                <w:szCs w:val="21"/>
                <w:lang w:val="en-US" w:eastAsia="zh-CN"/>
              </w:rPr>
              <w:t>稳定度</w:t>
            </w:r>
          </w:p>
        </w:tc>
        <w:tc>
          <w:tcPr>
            <w:tcW w:w="3497" w:type="dxa"/>
            <w:tcBorders>
              <w:tl2br w:val="nil"/>
              <w:tr2bl w:val="nil"/>
            </w:tcBorders>
            <w:shd w:val="clear" w:color="auto" w:fill="auto"/>
            <w:vAlign w:val="center"/>
          </w:tcPr>
          <w:p w14:paraId="78B19F7F">
            <w:pPr>
              <w:bidi w:val="0"/>
              <w:spacing w:line="240" w:lineRule="auto"/>
              <w:jc w:val="center"/>
              <w:rPr>
                <w:rFonts w:hint="default"/>
                <w:sz w:val="21"/>
                <w:szCs w:val="21"/>
                <w:lang w:val="en-US" w:eastAsia="zh-CN"/>
              </w:rPr>
            </w:pPr>
            <w:r>
              <w:rPr>
                <w:rFonts w:hint="default"/>
                <w:sz w:val="21"/>
                <w:szCs w:val="21"/>
                <w:lang w:val="en-US" w:eastAsia="zh-CN"/>
              </w:rPr>
              <w:t>D</w:t>
            </w:r>
          </w:p>
        </w:tc>
        <w:tc>
          <w:tcPr>
            <w:tcW w:w="3332" w:type="dxa"/>
            <w:tcBorders>
              <w:tl2br w:val="nil"/>
              <w:tr2bl w:val="nil"/>
            </w:tcBorders>
            <w:vAlign w:val="center"/>
          </w:tcPr>
          <w:p w14:paraId="4763B8FE">
            <w:pPr>
              <w:bidi w:val="0"/>
              <w:spacing w:line="240" w:lineRule="auto"/>
              <w:jc w:val="center"/>
              <w:rPr>
                <w:rFonts w:hint="default"/>
                <w:sz w:val="21"/>
                <w:szCs w:val="21"/>
                <w:lang w:val="en-US" w:eastAsia="zh-CN"/>
              </w:rPr>
            </w:pPr>
            <w:r>
              <w:rPr>
                <w:rFonts w:hint="default"/>
                <w:sz w:val="21"/>
                <w:szCs w:val="21"/>
                <w:lang w:val="en-US" w:eastAsia="zh-CN"/>
              </w:rPr>
              <w:t>F</w:t>
            </w:r>
          </w:p>
        </w:tc>
      </w:tr>
      <w:tr w14:paraId="0B7BFC0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restart"/>
            <w:tcBorders>
              <w:tl2br w:val="nil"/>
              <w:tr2bl w:val="nil"/>
            </w:tcBorders>
            <w:vAlign w:val="center"/>
          </w:tcPr>
          <w:p w14:paraId="40621E6D">
            <w:pPr>
              <w:bidi w:val="0"/>
              <w:spacing w:line="240" w:lineRule="auto"/>
              <w:jc w:val="center"/>
              <w:rPr>
                <w:rFonts w:hint="default"/>
                <w:sz w:val="21"/>
                <w:szCs w:val="21"/>
                <w:lang w:val="en-US" w:eastAsia="zh-CN"/>
              </w:rPr>
            </w:pPr>
            <w:r>
              <w:rPr>
                <w:rFonts w:hint="default"/>
                <w:sz w:val="21"/>
                <w:szCs w:val="21"/>
                <w:lang w:val="en-US" w:eastAsia="zh-CN"/>
              </w:rPr>
              <w:t>其他参数</w:t>
            </w:r>
          </w:p>
        </w:tc>
        <w:tc>
          <w:tcPr>
            <w:tcW w:w="2117" w:type="dxa"/>
            <w:tcBorders>
              <w:tl2br w:val="nil"/>
              <w:tr2bl w:val="nil"/>
            </w:tcBorders>
            <w:vAlign w:val="center"/>
          </w:tcPr>
          <w:p w14:paraId="16603179">
            <w:pPr>
              <w:bidi w:val="0"/>
              <w:spacing w:line="240" w:lineRule="auto"/>
              <w:jc w:val="center"/>
              <w:rPr>
                <w:rFonts w:hint="default"/>
                <w:sz w:val="21"/>
                <w:szCs w:val="21"/>
                <w:lang w:val="en-US" w:eastAsia="zh-CN"/>
              </w:rPr>
            </w:pPr>
            <w:r>
              <w:rPr>
                <w:rFonts w:hint="default"/>
                <w:sz w:val="21"/>
                <w:szCs w:val="21"/>
                <w:lang w:val="en-US" w:eastAsia="zh-CN"/>
              </w:rPr>
              <w:t>地面粗糙度/m</w:t>
            </w:r>
          </w:p>
        </w:tc>
        <w:tc>
          <w:tcPr>
            <w:tcW w:w="6829" w:type="dxa"/>
            <w:gridSpan w:val="2"/>
            <w:tcBorders>
              <w:tl2br w:val="nil"/>
              <w:tr2bl w:val="nil"/>
            </w:tcBorders>
            <w:vAlign w:val="center"/>
          </w:tcPr>
          <w:p w14:paraId="694090F1">
            <w:pPr>
              <w:bidi w:val="0"/>
              <w:spacing w:line="240" w:lineRule="auto"/>
              <w:jc w:val="center"/>
              <w:rPr>
                <w:rFonts w:hint="default"/>
                <w:sz w:val="21"/>
                <w:szCs w:val="21"/>
                <w:lang w:val="en-US" w:eastAsia="zh-CN"/>
              </w:rPr>
            </w:pPr>
            <w:r>
              <w:rPr>
                <w:rFonts w:hint="default"/>
                <w:sz w:val="21"/>
                <w:szCs w:val="21"/>
                <w:lang w:val="en-US" w:eastAsia="zh-CN"/>
              </w:rPr>
              <w:t>1.00</w:t>
            </w:r>
          </w:p>
        </w:tc>
      </w:tr>
      <w:tr w14:paraId="3693C86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340" w:hRule="exact"/>
          <w:jc w:val="center"/>
        </w:trPr>
        <w:tc>
          <w:tcPr>
            <w:tcW w:w="795" w:type="dxa"/>
            <w:vMerge w:val="continue"/>
            <w:tcBorders>
              <w:tl2br w:val="nil"/>
              <w:tr2bl w:val="nil"/>
            </w:tcBorders>
            <w:vAlign w:val="center"/>
          </w:tcPr>
          <w:p w14:paraId="6C3D7D2B">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16CF1B12">
            <w:pPr>
              <w:bidi w:val="0"/>
              <w:spacing w:line="240" w:lineRule="auto"/>
              <w:jc w:val="center"/>
              <w:rPr>
                <w:rFonts w:hint="default"/>
                <w:sz w:val="21"/>
                <w:szCs w:val="21"/>
                <w:lang w:val="en-US" w:eastAsia="zh-CN"/>
              </w:rPr>
            </w:pPr>
            <w:r>
              <w:rPr>
                <w:rFonts w:hint="default"/>
                <w:sz w:val="21"/>
                <w:szCs w:val="21"/>
                <w:lang w:val="en-US" w:eastAsia="zh-CN"/>
              </w:rPr>
              <w:t>是否考虑地形</w:t>
            </w:r>
          </w:p>
        </w:tc>
        <w:tc>
          <w:tcPr>
            <w:tcW w:w="6829" w:type="dxa"/>
            <w:gridSpan w:val="2"/>
            <w:tcBorders>
              <w:tl2br w:val="nil"/>
              <w:tr2bl w:val="nil"/>
            </w:tcBorders>
            <w:vAlign w:val="center"/>
          </w:tcPr>
          <w:p w14:paraId="4E5FEAD8">
            <w:pPr>
              <w:bidi w:val="0"/>
              <w:spacing w:line="240" w:lineRule="auto"/>
              <w:jc w:val="center"/>
              <w:rPr>
                <w:rFonts w:hint="default"/>
                <w:sz w:val="21"/>
                <w:szCs w:val="21"/>
                <w:lang w:val="en-US" w:eastAsia="zh-CN"/>
              </w:rPr>
            </w:pPr>
            <w:r>
              <w:rPr>
                <w:rFonts w:hint="default"/>
                <w:sz w:val="21"/>
                <w:szCs w:val="21"/>
                <w:lang w:val="en-US" w:eastAsia="zh-CN"/>
              </w:rPr>
              <w:t>是</w:t>
            </w:r>
          </w:p>
        </w:tc>
      </w:tr>
      <w:tr w14:paraId="207ABF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trHeight w:val="565" w:hRule="exact"/>
          <w:jc w:val="center"/>
        </w:trPr>
        <w:tc>
          <w:tcPr>
            <w:tcW w:w="795" w:type="dxa"/>
            <w:vMerge w:val="continue"/>
            <w:tcBorders>
              <w:tl2br w:val="nil"/>
              <w:tr2bl w:val="nil"/>
            </w:tcBorders>
            <w:vAlign w:val="center"/>
          </w:tcPr>
          <w:p w14:paraId="442EA83F">
            <w:pPr>
              <w:bidi w:val="0"/>
              <w:spacing w:line="240" w:lineRule="auto"/>
              <w:jc w:val="center"/>
              <w:rPr>
                <w:rFonts w:hint="default"/>
                <w:sz w:val="21"/>
                <w:szCs w:val="21"/>
                <w:lang w:val="en-US" w:eastAsia="zh-CN"/>
              </w:rPr>
            </w:pPr>
          </w:p>
        </w:tc>
        <w:tc>
          <w:tcPr>
            <w:tcW w:w="2117" w:type="dxa"/>
            <w:tcBorders>
              <w:tl2br w:val="nil"/>
              <w:tr2bl w:val="nil"/>
            </w:tcBorders>
            <w:vAlign w:val="center"/>
          </w:tcPr>
          <w:p w14:paraId="0F4FD2B7">
            <w:pPr>
              <w:bidi w:val="0"/>
              <w:spacing w:line="240" w:lineRule="auto"/>
              <w:jc w:val="center"/>
              <w:rPr>
                <w:rFonts w:hint="default"/>
                <w:sz w:val="21"/>
                <w:szCs w:val="21"/>
                <w:lang w:val="en-US" w:eastAsia="zh-CN"/>
              </w:rPr>
            </w:pPr>
            <w:r>
              <w:rPr>
                <w:rFonts w:hint="default"/>
                <w:sz w:val="21"/>
                <w:szCs w:val="21"/>
                <w:lang w:val="en-US" w:eastAsia="zh-CN"/>
              </w:rPr>
              <w:t>地形数据精度/m</w:t>
            </w:r>
          </w:p>
        </w:tc>
        <w:tc>
          <w:tcPr>
            <w:tcW w:w="6829" w:type="dxa"/>
            <w:gridSpan w:val="2"/>
            <w:tcBorders>
              <w:tl2br w:val="nil"/>
              <w:tr2bl w:val="nil"/>
            </w:tcBorders>
            <w:vAlign w:val="center"/>
          </w:tcPr>
          <w:p w14:paraId="77CBDD59">
            <w:pPr>
              <w:bidi w:val="0"/>
              <w:spacing w:line="240" w:lineRule="auto"/>
              <w:jc w:val="center"/>
              <w:rPr>
                <w:rFonts w:hint="default"/>
                <w:sz w:val="21"/>
                <w:szCs w:val="21"/>
                <w:lang w:val="en-US" w:eastAsia="zh-CN"/>
              </w:rPr>
            </w:pPr>
            <w:r>
              <w:rPr>
                <w:rFonts w:hint="default"/>
                <w:sz w:val="21"/>
                <w:szCs w:val="21"/>
                <w:lang w:val="en-US" w:eastAsia="zh-CN"/>
              </w:rPr>
              <w:t>90</w:t>
            </w:r>
          </w:p>
        </w:tc>
      </w:tr>
    </w:tbl>
    <w:p w14:paraId="387792BA">
      <w:pPr>
        <w:bidi w:val="0"/>
        <w:ind w:firstLine="480" w:firstLineChars="200"/>
        <w:rPr>
          <w:rFonts w:hint="default"/>
          <w:lang w:val="en-US" w:eastAsia="zh-CN"/>
        </w:rPr>
      </w:pPr>
      <w:r>
        <w:rPr>
          <w:rFonts w:hint="default"/>
          <w:lang w:val="en-US" w:eastAsia="zh-CN"/>
        </w:rPr>
        <w:t>④三甲基铝钢瓶泄漏引发的火灾/爆炸产生次生物质CO预测结果</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0"/>
      </w:tblGrid>
      <w:tr w14:paraId="36654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42C399E8">
            <w:pPr>
              <w:widowControl w:val="0"/>
              <w:bidi w:val="0"/>
              <w:jc w:val="center"/>
              <w:rPr>
                <w:rFonts w:hint="default"/>
                <w:b/>
                <w:bCs/>
                <w:vertAlign w:val="baseline"/>
                <w:lang w:val="en-US" w:eastAsia="zh-CN"/>
              </w:rPr>
            </w:pPr>
            <w:r>
              <w:drawing>
                <wp:inline distT="0" distB="0" distL="114300" distR="114300">
                  <wp:extent cx="5935345" cy="2963545"/>
                  <wp:effectExtent l="0" t="0" r="8255" b="825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8"/>
                          <a:stretch>
                            <a:fillRect/>
                          </a:stretch>
                        </pic:blipFill>
                        <pic:spPr>
                          <a:xfrm>
                            <a:off x="0" y="0"/>
                            <a:ext cx="5935345" cy="2963545"/>
                          </a:xfrm>
                          <a:prstGeom prst="rect">
                            <a:avLst/>
                          </a:prstGeom>
                          <a:noFill/>
                          <a:ln>
                            <a:noFill/>
                          </a:ln>
                        </pic:spPr>
                      </pic:pic>
                    </a:graphicData>
                  </a:graphic>
                </wp:inline>
              </w:drawing>
            </w:r>
          </w:p>
        </w:tc>
      </w:tr>
      <w:tr w14:paraId="06E90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7F882C17">
            <w:pPr>
              <w:widowControl w:val="0"/>
              <w:bidi w:val="0"/>
              <w:jc w:val="center"/>
              <w:rPr>
                <w:rFonts w:hint="default"/>
                <w:b/>
                <w:bCs/>
                <w:vertAlign w:val="baseline"/>
                <w:lang w:val="en-US" w:eastAsia="zh-CN"/>
              </w:rPr>
            </w:pPr>
            <w:r>
              <w:rPr>
                <w:rFonts w:hint="default"/>
                <w:b/>
                <w:bCs/>
                <w:vertAlign w:val="baseline"/>
                <w:lang w:val="en-US" w:eastAsia="zh-CN"/>
              </w:rPr>
              <w:t>最不利气象下风向不同距离处有毒有害物质最大浓度曲线图</w:t>
            </w:r>
          </w:p>
        </w:tc>
      </w:tr>
      <w:tr w14:paraId="23791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58A66D07">
            <w:pPr>
              <w:widowControl w:val="0"/>
              <w:bidi w:val="0"/>
              <w:jc w:val="center"/>
              <w:rPr>
                <w:rFonts w:hint="default"/>
                <w:b/>
                <w:bCs/>
                <w:vertAlign w:val="baseline"/>
                <w:lang w:val="en-US" w:eastAsia="zh-CN"/>
              </w:rPr>
            </w:pPr>
            <w:r>
              <w:drawing>
                <wp:inline distT="0" distB="0" distL="114300" distR="114300">
                  <wp:extent cx="5935345" cy="2980690"/>
                  <wp:effectExtent l="0" t="0" r="8255" b="1016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29"/>
                          <a:stretch>
                            <a:fillRect/>
                          </a:stretch>
                        </pic:blipFill>
                        <pic:spPr>
                          <a:xfrm>
                            <a:off x="0" y="0"/>
                            <a:ext cx="5935345" cy="2980690"/>
                          </a:xfrm>
                          <a:prstGeom prst="rect">
                            <a:avLst/>
                          </a:prstGeom>
                          <a:noFill/>
                          <a:ln>
                            <a:noFill/>
                          </a:ln>
                        </pic:spPr>
                      </pic:pic>
                    </a:graphicData>
                  </a:graphic>
                </wp:inline>
              </w:drawing>
            </w:r>
          </w:p>
        </w:tc>
      </w:tr>
      <w:tr w14:paraId="38C92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63F735A2">
            <w:pPr>
              <w:widowControl w:val="0"/>
              <w:bidi w:val="0"/>
              <w:jc w:val="center"/>
              <w:rPr>
                <w:rFonts w:hint="default"/>
                <w:b/>
                <w:bCs/>
                <w:vertAlign w:val="baseline"/>
                <w:lang w:val="en-US" w:eastAsia="zh-CN"/>
              </w:rPr>
            </w:pPr>
            <w:r>
              <w:rPr>
                <w:rFonts w:hint="default"/>
                <w:b/>
                <w:bCs/>
                <w:vertAlign w:val="baseline"/>
                <w:lang w:val="en-US" w:eastAsia="zh-CN"/>
              </w:rPr>
              <w:t>最不利气象最大影响区域图</w:t>
            </w:r>
          </w:p>
        </w:tc>
      </w:tr>
      <w:tr w14:paraId="38BA6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5483B8D0">
            <w:pPr>
              <w:widowControl w:val="0"/>
              <w:bidi w:val="0"/>
              <w:jc w:val="center"/>
              <w:rPr>
                <w:rFonts w:hint="default"/>
                <w:b/>
                <w:bCs/>
                <w:vertAlign w:val="baseline"/>
                <w:lang w:val="en-US" w:eastAsia="zh-CN"/>
              </w:rPr>
            </w:pPr>
            <w:r>
              <w:drawing>
                <wp:inline distT="0" distB="0" distL="114300" distR="114300">
                  <wp:extent cx="5934710" cy="2990850"/>
                  <wp:effectExtent l="0" t="0" r="889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30"/>
                          <a:stretch>
                            <a:fillRect/>
                          </a:stretch>
                        </pic:blipFill>
                        <pic:spPr>
                          <a:xfrm>
                            <a:off x="0" y="0"/>
                            <a:ext cx="5934710" cy="2990850"/>
                          </a:xfrm>
                          <a:prstGeom prst="rect">
                            <a:avLst/>
                          </a:prstGeom>
                          <a:noFill/>
                          <a:ln>
                            <a:noFill/>
                          </a:ln>
                        </pic:spPr>
                      </pic:pic>
                    </a:graphicData>
                  </a:graphic>
                </wp:inline>
              </w:drawing>
            </w:r>
          </w:p>
        </w:tc>
      </w:tr>
      <w:tr w14:paraId="70F0E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1E9410D6">
            <w:pPr>
              <w:widowControl w:val="0"/>
              <w:bidi w:val="0"/>
              <w:jc w:val="center"/>
              <w:rPr>
                <w:rFonts w:hint="default"/>
                <w:b/>
                <w:bCs/>
                <w:vertAlign w:val="baseline"/>
                <w:lang w:val="en-US" w:eastAsia="zh-CN"/>
              </w:rPr>
            </w:pPr>
            <w:r>
              <w:rPr>
                <w:rFonts w:hint="default"/>
                <w:b/>
                <w:bCs/>
                <w:vertAlign w:val="baseline"/>
                <w:lang w:val="en-US" w:eastAsia="zh-CN"/>
              </w:rPr>
              <w:t>最常见气象下风向不同距离处有毒有害物质最大浓度曲线图</w:t>
            </w:r>
          </w:p>
        </w:tc>
      </w:tr>
      <w:tr w14:paraId="166CF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75F32C4D">
            <w:pPr>
              <w:widowControl w:val="0"/>
              <w:bidi w:val="0"/>
              <w:jc w:val="center"/>
              <w:rPr>
                <w:rFonts w:hint="default"/>
                <w:b/>
                <w:bCs/>
                <w:vertAlign w:val="baseline"/>
                <w:lang w:val="en-US" w:eastAsia="zh-CN"/>
              </w:rPr>
            </w:pPr>
            <w:r>
              <w:drawing>
                <wp:inline distT="0" distB="0" distL="114300" distR="114300">
                  <wp:extent cx="5934075" cy="3145155"/>
                  <wp:effectExtent l="0" t="0" r="9525" b="1714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31"/>
                          <a:stretch>
                            <a:fillRect/>
                          </a:stretch>
                        </pic:blipFill>
                        <pic:spPr>
                          <a:xfrm>
                            <a:off x="0" y="0"/>
                            <a:ext cx="5934075" cy="3145155"/>
                          </a:xfrm>
                          <a:prstGeom prst="rect">
                            <a:avLst/>
                          </a:prstGeom>
                          <a:noFill/>
                          <a:ln>
                            <a:noFill/>
                          </a:ln>
                        </pic:spPr>
                      </pic:pic>
                    </a:graphicData>
                  </a:graphic>
                </wp:inline>
              </w:drawing>
            </w:r>
          </w:p>
        </w:tc>
      </w:tr>
      <w:tr w14:paraId="6A232E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0" w:type="dxa"/>
          </w:tcPr>
          <w:p w14:paraId="51505CDB">
            <w:pPr>
              <w:widowControl w:val="0"/>
              <w:bidi w:val="0"/>
              <w:jc w:val="center"/>
              <w:rPr>
                <w:rFonts w:hint="default"/>
                <w:b/>
                <w:bCs/>
                <w:vertAlign w:val="baseline"/>
                <w:lang w:val="en-US" w:eastAsia="zh-CN"/>
              </w:rPr>
            </w:pPr>
            <w:r>
              <w:rPr>
                <w:rFonts w:hint="default"/>
                <w:b/>
                <w:bCs/>
                <w:vertAlign w:val="baseline"/>
                <w:lang w:val="en-US" w:eastAsia="zh-CN"/>
              </w:rPr>
              <w:t>最常见气象最大影响区域图</w:t>
            </w:r>
          </w:p>
        </w:tc>
      </w:tr>
    </w:tbl>
    <w:p w14:paraId="3F91B879">
      <w:pPr>
        <w:bidi w:val="0"/>
        <w:jc w:val="center"/>
        <w:rPr>
          <w:rFonts w:hint="default"/>
          <w:b/>
          <w:bCs/>
          <w:lang w:val="en-US" w:eastAsia="zh-CN"/>
        </w:rPr>
      </w:pPr>
      <w:r>
        <w:rPr>
          <w:rFonts w:hint="default"/>
          <w:b/>
          <w:bCs/>
          <w:lang w:val="en-US" w:eastAsia="zh-CN"/>
        </w:rPr>
        <w:t>图6.2.6-</w:t>
      </w:r>
      <w:r>
        <w:rPr>
          <w:rFonts w:hint="eastAsia"/>
          <w:b/>
          <w:bCs/>
          <w:lang w:val="en-US" w:eastAsia="zh-CN"/>
        </w:rPr>
        <w:t>2</w:t>
      </w:r>
      <w:r>
        <w:rPr>
          <w:rFonts w:hint="default"/>
          <w:b/>
          <w:bCs/>
          <w:lang w:val="en-US" w:eastAsia="zh-CN"/>
        </w:rPr>
        <w:t xml:space="preserve"> 三甲基铝钢瓶泄漏引发的火灾/爆炸产生次生物质CO预测结果图</w:t>
      </w:r>
    </w:p>
    <w:p w14:paraId="4AB39662">
      <w:pPr>
        <w:bidi w:val="0"/>
        <w:jc w:val="center"/>
        <w:rPr>
          <w:rFonts w:hint="default"/>
          <w:b/>
          <w:bCs/>
          <w:lang w:val="en-US" w:eastAsia="zh-CN"/>
        </w:rPr>
      </w:pPr>
      <w:r>
        <w:rPr>
          <w:rFonts w:hint="default"/>
          <w:b/>
          <w:bCs/>
          <w:lang w:val="en-US" w:eastAsia="zh-CN"/>
        </w:rPr>
        <w:t>表6.2.6-1</w:t>
      </w:r>
      <w:r>
        <w:rPr>
          <w:rFonts w:hint="eastAsia"/>
          <w:b/>
          <w:bCs/>
          <w:lang w:val="en-US" w:eastAsia="zh-CN"/>
        </w:rPr>
        <w:t>0</w:t>
      </w:r>
      <w:r>
        <w:rPr>
          <w:rFonts w:hint="default"/>
          <w:b/>
          <w:bCs/>
          <w:lang w:val="en-US" w:eastAsia="zh-CN"/>
        </w:rPr>
        <w:t xml:space="preserve"> 三甲基铝钢瓶泄漏引发的火灾/爆炸产生次生物质CO最不利气象条件预测结果表</w:t>
      </w:r>
    </w:p>
    <w:tbl>
      <w:tblPr>
        <w:tblStyle w:val="1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4"/>
        <w:gridCol w:w="1892"/>
        <w:gridCol w:w="1507"/>
        <w:gridCol w:w="1364"/>
        <w:gridCol w:w="1419"/>
        <w:gridCol w:w="1914"/>
      </w:tblGrid>
      <w:tr w14:paraId="5EB068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32C54EE0">
            <w:pPr>
              <w:bidi w:val="0"/>
              <w:spacing w:line="240" w:lineRule="auto"/>
              <w:jc w:val="center"/>
              <w:rPr>
                <w:rFonts w:hint="default"/>
                <w:sz w:val="21"/>
                <w:szCs w:val="21"/>
                <w:lang w:val="en-US" w:eastAsia="zh-CN"/>
              </w:rPr>
            </w:pPr>
            <w:r>
              <w:rPr>
                <w:rFonts w:hint="default"/>
                <w:sz w:val="21"/>
                <w:szCs w:val="21"/>
                <w:lang w:val="en-US" w:eastAsia="zh-CN"/>
              </w:rPr>
              <w:t>泄漏设备类型</w:t>
            </w:r>
          </w:p>
        </w:tc>
        <w:tc>
          <w:tcPr>
            <w:tcW w:w="1973" w:type="dxa"/>
            <w:vAlign w:val="center"/>
          </w:tcPr>
          <w:p w14:paraId="7CB74738">
            <w:pPr>
              <w:bidi w:val="0"/>
              <w:spacing w:line="240" w:lineRule="auto"/>
              <w:jc w:val="center"/>
              <w:rPr>
                <w:rFonts w:hint="default"/>
                <w:sz w:val="21"/>
                <w:szCs w:val="21"/>
                <w:lang w:val="en-US" w:eastAsia="zh-CN"/>
              </w:rPr>
            </w:pPr>
            <w:r>
              <w:rPr>
                <w:rFonts w:hint="default"/>
                <w:sz w:val="21"/>
                <w:szCs w:val="21"/>
                <w:lang w:val="en-US" w:eastAsia="zh-CN"/>
              </w:rPr>
              <w:t>物料输送管道</w:t>
            </w:r>
          </w:p>
        </w:tc>
        <w:tc>
          <w:tcPr>
            <w:tcW w:w="1569" w:type="dxa"/>
            <w:vAlign w:val="center"/>
          </w:tcPr>
          <w:p w14:paraId="117F8731">
            <w:pPr>
              <w:bidi w:val="0"/>
              <w:spacing w:line="240" w:lineRule="auto"/>
              <w:jc w:val="center"/>
              <w:rPr>
                <w:rFonts w:hint="default"/>
                <w:sz w:val="21"/>
                <w:szCs w:val="21"/>
                <w:lang w:val="en-US" w:eastAsia="zh-CN"/>
              </w:rPr>
            </w:pPr>
            <w:r>
              <w:rPr>
                <w:rFonts w:hint="default"/>
                <w:sz w:val="21"/>
                <w:szCs w:val="21"/>
                <w:lang w:val="en-US" w:eastAsia="zh-CN"/>
              </w:rPr>
              <w:t>操作温度(℃)</w:t>
            </w:r>
          </w:p>
        </w:tc>
        <w:tc>
          <w:tcPr>
            <w:tcW w:w="1419" w:type="dxa"/>
            <w:vAlign w:val="center"/>
          </w:tcPr>
          <w:p w14:paraId="63442530">
            <w:pPr>
              <w:bidi w:val="0"/>
              <w:spacing w:line="240" w:lineRule="auto"/>
              <w:jc w:val="center"/>
              <w:rPr>
                <w:rFonts w:hint="default"/>
                <w:sz w:val="21"/>
                <w:szCs w:val="21"/>
                <w:lang w:val="en-US" w:eastAsia="zh-CN"/>
              </w:rPr>
            </w:pPr>
            <w:r>
              <w:rPr>
                <w:rFonts w:hint="default"/>
                <w:sz w:val="21"/>
                <w:szCs w:val="21"/>
                <w:lang w:val="en-US" w:eastAsia="zh-CN"/>
              </w:rPr>
              <w:t>25</w:t>
            </w:r>
          </w:p>
        </w:tc>
        <w:tc>
          <w:tcPr>
            <w:tcW w:w="1477" w:type="dxa"/>
            <w:vAlign w:val="center"/>
          </w:tcPr>
          <w:p w14:paraId="095AD18C">
            <w:pPr>
              <w:bidi w:val="0"/>
              <w:spacing w:line="240" w:lineRule="auto"/>
              <w:jc w:val="center"/>
              <w:rPr>
                <w:rFonts w:hint="default"/>
                <w:sz w:val="21"/>
                <w:szCs w:val="21"/>
                <w:lang w:val="en-US" w:eastAsia="zh-CN"/>
              </w:rPr>
            </w:pPr>
            <w:r>
              <w:rPr>
                <w:rFonts w:hint="default"/>
                <w:sz w:val="21"/>
                <w:szCs w:val="21"/>
                <w:lang w:val="en-US" w:eastAsia="zh-CN"/>
              </w:rPr>
              <w:t>操作压力(MPa)</w:t>
            </w:r>
          </w:p>
        </w:tc>
        <w:tc>
          <w:tcPr>
            <w:tcW w:w="1995" w:type="dxa"/>
            <w:vAlign w:val="center"/>
          </w:tcPr>
          <w:p w14:paraId="458B4216">
            <w:pPr>
              <w:bidi w:val="0"/>
              <w:spacing w:line="240" w:lineRule="auto"/>
              <w:jc w:val="center"/>
              <w:rPr>
                <w:rFonts w:hint="default"/>
                <w:sz w:val="21"/>
                <w:szCs w:val="21"/>
                <w:lang w:val="en-US" w:eastAsia="zh-CN"/>
              </w:rPr>
            </w:pPr>
            <w:r>
              <w:rPr>
                <w:rFonts w:hint="default"/>
                <w:sz w:val="21"/>
                <w:szCs w:val="21"/>
                <w:lang w:val="en-US" w:eastAsia="zh-CN"/>
              </w:rPr>
              <w:t>0.101325</w:t>
            </w:r>
          </w:p>
        </w:tc>
      </w:tr>
      <w:tr w14:paraId="31EFB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208A8A6E">
            <w:pPr>
              <w:bidi w:val="0"/>
              <w:spacing w:line="240" w:lineRule="auto"/>
              <w:jc w:val="center"/>
              <w:rPr>
                <w:rFonts w:hint="default"/>
                <w:sz w:val="21"/>
                <w:szCs w:val="21"/>
                <w:lang w:val="en-US" w:eastAsia="zh-CN"/>
              </w:rPr>
            </w:pPr>
            <w:r>
              <w:rPr>
                <w:rFonts w:hint="default"/>
                <w:sz w:val="21"/>
                <w:szCs w:val="21"/>
                <w:lang w:val="en-US" w:eastAsia="zh-CN"/>
              </w:rPr>
              <w:t>泄漏危险物质</w:t>
            </w:r>
          </w:p>
        </w:tc>
        <w:tc>
          <w:tcPr>
            <w:tcW w:w="1973" w:type="dxa"/>
            <w:vAlign w:val="center"/>
          </w:tcPr>
          <w:p w14:paraId="79CD056B">
            <w:pPr>
              <w:bidi w:val="0"/>
              <w:spacing w:line="240" w:lineRule="auto"/>
              <w:jc w:val="center"/>
              <w:rPr>
                <w:rFonts w:hint="default"/>
                <w:sz w:val="21"/>
                <w:szCs w:val="21"/>
                <w:lang w:val="en-US" w:eastAsia="zh-CN"/>
              </w:rPr>
            </w:pPr>
            <w:r>
              <w:rPr>
                <w:rFonts w:hint="default"/>
                <w:sz w:val="21"/>
                <w:szCs w:val="21"/>
                <w:lang w:val="en-US" w:eastAsia="zh-CN"/>
              </w:rPr>
              <w:t>三甲基铝次生CO</w:t>
            </w:r>
          </w:p>
        </w:tc>
        <w:tc>
          <w:tcPr>
            <w:tcW w:w="1569" w:type="dxa"/>
            <w:vAlign w:val="center"/>
          </w:tcPr>
          <w:p w14:paraId="4BC14095">
            <w:pPr>
              <w:bidi w:val="0"/>
              <w:spacing w:line="240" w:lineRule="auto"/>
              <w:jc w:val="center"/>
              <w:rPr>
                <w:rFonts w:hint="default"/>
                <w:sz w:val="21"/>
                <w:szCs w:val="21"/>
                <w:lang w:val="en-US" w:eastAsia="zh-CN"/>
              </w:rPr>
            </w:pPr>
            <w:r>
              <w:rPr>
                <w:rFonts w:hint="default"/>
                <w:sz w:val="21"/>
                <w:szCs w:val="21"/>
                <w:lang w:val="en-US" w:eastAsia="zh-CN"/>
              </w:rPr>
              <w:t>泄漏概率(次/年)</w:t>
            </w:r>
          </w:p>
        </w:tc>
        <w:tc>
          <w:tcPr>
            <w:tcW w:w="1419" w:type="dxa"/>
            <w:vAlign w:val="center"/>
          </w:tcPr>
          <w:p w14:paraId="04516257">
            <w:pPr>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w:t>
            </w:r>
            <w:r>
              <w:rPr>
                <w:rFonts w:hint="eastAsia"/>
                <w:sz w:val="21"/>
                <w:szCs w:val="21"/>
                <w:vertAlign w:val="superscript"/>
                <w:lang w:val="en-US" w:eastAsia="zh-CN"/>
              </w:rPr>
              <w:t>4</w:t>
            </w:r>
          </w:p>
        </w:tc>
        <w:tc>
          <w:tcPr>
            <w:tcW w:w="1477" w:type="dxa"/>
            <w:vAlign w:val="center"/>
          </w:tcPr>
          <w:p w14:paraId="30E2D266">
            <w:pPr>
              <w:bidi w:val="0"/>
              <w:spacing w:line="240" w:lineRule="auto"/>
              <w:jc w:val="center"/>
              <w:rPr>
                <w:rFonts w:hint="default"/>
                <w:sz w:val="21"/>
                <w:szCs w:val="21"/>
                <w:lang w:val="en-US" w:eastAsia="zh-CN"/>
              </w:rPr>
            </w:pPr>
            <w:r>
              <w:rPr>
                <w:rFonts w:hint="default"/>
                <w:sz w:val="21"/>
                <w:szCs w:val="21"/>
                <w:lang w:val="en-US" w:eastAsia="zh-CN"/>
              </w:rPr>
              <w:t>泄漏孔径(mm)</w:t>
            </w:r>
          </w:p>
        </w:tc>
        <w:tc>
          <w:tcPr>
            <w:tcW w:w="1995" w:type="dxa"/>
            <w:vAlign w:val="center"/>
          </w:tcPr>
          <w:p w14:paraId="150B82EF">
            <w:pPr>
              <w:bidi w:val="0"/>
              <w:spacing w:line="240" w:lineRule="auto"/>
              <w:jc w:val="center"/>
              <w:rPr>
                <w:rFonts w:hint="default"/>
                <w:sz w:val="21"/>
                <w:szCs w:val="21"/>
                <w:lang w:val="en-US" w:eastAsia="zh-CN"/>
              </w:rPr>
            </w:pPr>
            <w:r>
              <w:rPr>
                <w:rFonts w:hint="default"/>
                <w:sz w:val="21"/>
                <w:szCs w:val="21"/>
                <w:lang w:val="en-US" w:eastAsia="zh-CN"/>
              </w:rPr>
              <w:t>6.5</w:t>
            </w:r>
          </w:p>
        </w:tc>
      </w:tr>
      <w:tr w14:paraId="760E7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1D8EE57B">
            <w:pPr>
              <w:bidi w:val="0"/>
              <w:spacing w:line="240" w:lineRule="auto"/>
              <w:jc w:val="center"/>
              <w:rPr>
                <w:rFonts w:hint="default"/>
                <w:sz w:val="21"/>
                <w:szCs w:val="21"/>
                <w:lang w:val="en-US" w:eastAsia="zh-CN"/>
              </w:rPr>
            </w:pPr>
            <w:r>
              <w:rPr>
                <w:rFonts w:hint="default"/>
                <w:sz w:val="21"/>
                <w:szCs w:val="21"/>
                <w:lang w:val="en-US" w:eastAsia="zh-CN"/>
              </w:rPr>
              <w:t>泄漏速率(kg/s)</w:t>
            </w:r>
          </w:p>
        </w:tc>
        <w:tc>
          <w:tcPr>
            <w:tcW w:w="1973" w:type="dxa"/>
            <w:vAlign w:val="center"/>
          </w:tcPr>
          <w:p w14:paraId="3E789C73">
            <w:pPr>
              <w:bidi w:val="0"/>
              <w:spacing w:line="240" w:lineRule="auto"/>
              <w:jc w:val="center"/>
              <w:rPr>
                <w:rFonts w:hint="default"/>
                <w:sz w:val="21"/>
                <w:szCs w:val="21"/>
                <w:lang w:val="en-US" w:eastAsia="zh-CN"/>
              </w:rPr>
            </w:pPr>
            <w:r>
              <w:rPr>
                <w:rFonts w:hint="eastAsia"/>
                <w:sz w:val="21"/>
                <w:szCs w:val="21"/>
                <w:lang w:val="en-US" w:eastAsia="zh-CN"/>
              </w:rPr>
              <w:t>0.035</w:t>
            </w:r>
          </w:p>
        </w:tc>
        <w:tc>
          <w:tcPr>
            <w:tcW w:w="1569" w:type="dxa"/>
            <w:vAlign w:val="center"/>
          </w:tcPr>
          <w:p w14:paraId="17E6F816">
            <w:pPr>
              <w:bidi w:val="0"/>
              <w:spacing w:line="240" w:lineRule="auto"/>
              <w:jc w:val="center"/>
              <w:rPr>
                <w:rFonts w:hint="default"/>
                <w:sz w:val="21"/>
                <w:szCs w:val="21"/>
                <w:lang w:val="en-US" w:eastAsia="zh-CN"/>
              </w:rPr>
            </w:pPr>
            <w:r>
              <w:rPr>
                <w:rFonts w:hint="default"/>
                <w:sz w:val="21"/>
                <w:szCs w:val="21"/>
                <w:lang w:val="en-US" w:eastAsia="zh-CN"/>
              </w:rPr>
              <w:t>泄漏时间(min)</w:t>
            </w:r>
          </w:p>
        </w:tc>
        <w:tc>
          <w:tcPr>
            <w:tcW w:w="1419" w:type="dxa"/>
            <w:vAlign w:val="center"/>
          </w:tcPr>
          <w:p w14:paraId="04D4DFA8">
            <w:pPr>
              <w:bidi w:val="0"/>
              <w:spacing w:line="240" w:lineRule="auto"/>
              <w:jc w:val="center"/>
              <w:rPr>
                <w:rFonts w:hint="default"/>
                <w:sz w:val="21"/>
                <w:szCs w:val="21"/>
                <w:lang w:val="en-US" w:eastAsia="zh-CN"/>
              </w:rPr>
            </w:pPr>
            <w:r>
              <w:rPr>
                <w:rFonts w:hint="default"/>
                <w:sz w:val="21"/>
                <w:szCs w:val="21"/>
                <w:lang w:val="en-US" w:eastAsia="zh-CN"/>
              </w:rPr>
              <w:t>10</w:t>
            </w:r>
          </w:p>
        </w:tc>
        <w:tc>
          <w:tcPr>
            <w:tcW w:w="1477" w:type="dxa"/>
            <w:vAlign w:val="center"/>
          </w:tcPr>
          <w:p w14:paraId="00042C85">
            <w:pPr>
              <w:bidi w:val="0"/>
              <w:spacing w:line="240" w:lineRule="auto"/>
              <w:jc w:val="center"/>
              <w:rPr>
                <w:rFonts w:hint="default"/>
                <w:sz w:val="21"/>
                <w:szCs w:val="21"/>
                <w:lang w:val="en-US" w:eastAsia="zh-CN"/>
              </w:rPr>
            </w:pPr>
            <w:r>
              <w:rPr>
                <w:rFonts w:hint="default"/>
                <w:sz w:val="21"/>
                <w:szCs w:val="21"/>
                <w:lang w:val="en-US" w:eastAsia="zh-CN"/>
              </w:rPr>
              <w:t>泄漏量(kg)</w:t>
            </w:r>
          </w:p>
        </w:tc>
        <w:tc>
          <w:tcPr>
            <w:tcW w:w="1995" w:type="dxa"/>
            <w:vAlign w:val="center"/>
          </w:tcPr>
          <w:p w14:paraId="51DB4271">
            <w:pPr>
              <w:bidi w:val="0"/>
              <w:spacing w:line="240" w:lineRule="auto"/>
              <w:jc w:val="center"/>
              <w:rPr>
                <w:rFonts w:hint="default"/>
                <w:sz w:val="21"/>
                <w:szCs w:val="21"/>
                <w:lang w:val="en-US" w:eastAsia="zh-CN"/>
              </w:rPr>
            </w:pPr>
            <w:r>
              <w:rPr>
                <w:rFonts w:hint="eastAsia"/>
                <w:sz w:val="21"/>
                <w:szCs w:val="21"/>
                <w:lang w:val="en-US" w:eastAsia="zh-CN"/>
              </w:rPr>
              <w:t>21</w:t>
            </w:r>
          </w:p>
        </w:tc>
      </w:tr>
      <w:tr w14:paraId="28D022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7" w:type="dxa"/>
            <w:gridSpan w:val="3"/>
            <w:vAlign w:val="center"/>
          </w:tcPr>
          <w:p w14:paraId="5A7A2A33">
            <w:pPr>
              <w:bidi w:val="0"/>
              <w:spacing w:line="240" w:lineRule="auto"/>
              <w:jc w:val="center"/>
              <w:rPr>
                <w:rFonts w:hint="default"/>
                <w:sz w:val="21"/>
                <w:szCs w:val="21"/>
                <w:lang w:val="en-US" w:eastAsia="zh-CN"/>
              </w:rPr>
            </w:pPr>
            <w:r>
              <w:rPr>
                <w:rFonts w:hint="default"/>
                <w:sz w:val="21"/>
                <w:szCs w:val="21"/>
                <w:lang w:val="en-US" w:eastAsia="zh-CN"/>
              </w:rPr>
              <w:t>大气环境影响-气象条件名称-模型类型</w:t>
            </w:r>
          </w:p>
        </w:tc>
        <w:tc>
          <w:tcPr>
            <w:tcW w:w="4891" w:type="dxa"/>
            <w:gridSpan w:val="3"/>
            <w:vAlign w:val="center"/>
          </w:tcPr>
          <w:p w14:paraId="6023189E">
            <w:pPr>
              <w:bidi w:val="0"/>
              <w:spacing w:line="240" w:lineRule="auto"/>
              <w:jc w:val="center"/>
              <w:rPr>
                <w:rFonts w:hint="default"/>
                <w:sz w:val="21"/>
                <w:szCs w:val="21"/>
                <w:lang w:val="en-US" w:eastAsia="zh-CN"/>
              </w:rPr>
            </w:pPr>
            <w:r>
              <w:rPr>
                <w:rFonts w:hint="default"/>
                <w:sz w:val="21"/>
                <w:szCs w:val="21"/>
                <w:lang w:val="en-US" w:eastAsia="zh-CN"/>
              </w:rPr>
              <w:t>最不利气象条件AFTOX模型</w:t>
            </w:r>
          </w:p>
        </w:tc>
      </w:tr>
      <w:tr w14:paraId="3A9D8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252A80D1">
            <w:pPr>
              <w:bidi w:val="0"/>
              <w:spacing w:line="240" w:lineRule="auto"/>
              <w:jc w:val="center"/>
              <w:rPr>
                <w:rFonts w:hint="default"/>
                <w:sz w:val="21"/>
                <w:szCs w:val="21"/>
                <w:lang w:val="en-US" w:eastAsia="zh-CN"/>
              </w:rPr>
            </w:pPr>
            <w:r>
              <w:rPr>
                <w:rFonts w:hint="default"/>
                <w:sz w:val="21"/>
                <w:szCs w:val="21"/>
                <w:lang w:val="en-US" w:eastAsia="zh-CN"/>
              </w:rPr>
              <w:t>指标</w:t>
            </w:r>
          </w:p>
        </w:tc>
        <w:tc>
          <w:tcPr>
            <w:tcW w:w="3542" w:type="dxa"/>
            <w:gridSpan w:val="2"/>
            <w:vAlign w:val="center"/>
          </w:tcPr>
          <w:p w14:paraId="7C387A3A">
            <w:pPr>
              <w:bidi w:val="0"/>
              <w:spacing w:line="240" w:lineRule="auto"/>
              <w:jc w:val="center"/>
              <w:rPr>
                <w:rFonts w:hint="default"/>
                <w:sz w:val="21"/>
                <w:szCs w:val="21"/>
                <w:lang w:val="en-US" w:eastAsia="zh-CN"/>
              </w:rPr>
            </w:pPr>
            <w:r>
              <w:rPr>
                <w:rFonts w:hint="default"/>
                <w:sz w:val="21"/>
                <w:szCs w:val="21"/>
                <w:lang w:val="en-US" w:eastAsia="zh-CN"/>
              </w:rPr>
              <w:t>浓度值(mg/m3)</w:t>
            </w:r>
          </w:p>
        </w:tc>
        <w:tc>
          <w:tcPr>
            <w:tcW w:w="1419" w:type="dxa"/>
            <w:vAlign w:val="center"/>
          </w:tcPr>
          <w:p w14:paraId="65113826">
            <w:pPr>
              <w:bidi w:val="0"/>
              <w:spacing w:line="240" w:lineRule="auto"/>
              <w:jc w:val="center"/>
              <w:rPr>
                <w:rFonts w:hint="default"/>
                <w:sz w:val="21"/>
                <w:szCs w:val="21"/>
                <w:lang w:val="en-US" w:eastAsia="zh-CN"/>
              </w:rPr>
            </w:pPr>
            <w:r>
              <w:rPr>
                <w:rFonts w:hint="default"/>
                <w:sz w:val="21"/>
                <w:szCs w:val="21"/>
                <w:lang w:val="en-US" w:eastAsia="zh-CN"/>
              </w:rPr>
              <w:t>最远影响距离(m)</w:t>
            </w:r>
          </w:p>
        </w:tc>
        <w:tc>
          <w:tcPr>
            <w:tcW w:w="3472" w:type="dxa"/>
            <w:gridSpan w:val="2"/>
            <w:vAlign w:val="center"/>
          </w:tcPr>
          <w:p w14:paraId="5DF99411">
            <w:pPr>
              <w:bidi w:val="0"/>
              <w:spacing w:line="240" w:lineRule="auto"/>
              <w:jc w:val="center"/>
              <w:rPr>
                <w:rFonts w:hint="default"/>
                <w:sz w:val="21"/>
                <w:szCs w:val="21"/>
                <w:lang w:val="en-US" w:eastAsia="zh-CN"/>
              </w:rPr>
            </w:pPr>
            <w:r>
              <w:rPr>
                <w:rFonts w:hint="default"/>
                <w:sz w:val="21"/>
                <w:szCs w:val="21"/>
                <w:lang w:val="en-US" w:eastAsia="zh-CN"/>
              </w:rPr>
              <w:t>到达时间(min)</w:t>
            </w:r>
          </w:p>
        </w:tc>
      </w:tr>
      <w:tr w14:paraId="0D4B6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282D8231">
            <w:pPr>
              <w:bidi w:val="0"/>
              <w:spacing w:line="240" w:lineRule="auto"/>
              <w:jc w:val="center"/>
              <w:rPr>
                <w:rFonts w:hint="default"/>
                <w:sz w:val="21"/>
                <w:szCs w:val="21"/>
                <w:lang w:val="en-US" w:eastAsia="zh-CN"/>
              </w:rPr>
            </w:pPr>
            <w:r>
              <w:rPr>
                <w:rFonts w:hint="default"/>
                <w:sz w:val="21"/>
                <w:szCs w:val="21"/>
                <w:lang w:val="en-US" w:eastAsia="zh-CN"/>
              </w:rPr>
              <w:t>大气毒性终点浓度-1</w:t>
            </w:r>
          </w:p>
        </w:tc>
        <w:tc>
          <w:tcPr>
            <w:tcW w:w="3542" w:type="dxa"/>
            <w:gridSpan w:val="2"/>
            <w:vAlign w:val="center"/>
          </w:tcPr>
          <w:p w14:paraId="5F394379">
            <w:pPr>
              <w:bidi w:val="0"/>
              <w:spacing w:line="240" w:lineRule="auto"/>
              <w:jc w:val="center"/>
              <w:rPr>
                <w:rFonts w:hint="default"/>
                <w:sz w:val="21"/>
                <w:szCs w:val="21"/>
                <w:lang w:val="en-US" w:eastAsia="zh-CN"/>
              </w:rPr>
            </w:pPr>
            <w:r>
              <w:rPr>
                <w:rFonts w:hint="default"/>
                <w:sz w:val="21"/>
                <w:szCs w:val="21"/>
                <w:lang w:val="en-US" w:eastAsia="zh-CN"/>
              </w:rPr>
              <w:t>380</w:t>
            </w:r>
          </w:p>
        </w:tc>
        <w:tc>
          <w:tcPr>
            <w:tcW w:w="1419" w:type="dxa"/>
            <w:vAlign w:val="center"/>
          </w:tcPr>
          <w:p w14:paraId="4FF9FB7F">
            <w:pPr>
              <w:bidi w:val="0"/>
              <w:spacing w:line="240" w:lineRule="auto"/>
              <w:jc w:val="center"/>
              <w:rPr>
                <w:rFonts w:hint="default"/>
                <w:sz w:val="21"/>
                <w:szCs w:val="21"/>
                <w:lang w:val="en-US" w:eastAsia="zh-CN"/>
              </w:rPr>
            </w:pPr>
            <w:r>
              <w:rPr>
                <w:rFonts w:hint="default"/>
                <w:sz w:val="21"/>
                <w:szCs w:val="21"/>
                <w:lang w:val="en-US" w:eastAsia="zh-CN"/>
              </w:rPr>
              <w:t>未出现</w:t>
            </w:r>
          </w:p>
        </w:tc>
        <w:tc>
          <w:tcPr>
            <w:tcW w:w="3472" w:type="dxa"/>
            <w:gridSpan w:val="2"/>
            <w:vAlign w:val="center"/>
          </w:tcPr>
          <w:p w14:paraId="6EE2F1D4">
            <w:pPr>
              <w:bidi w:val="0"/>
              <w:spacing w:line="240" w:lineRule="auto"/>
              <w:jc w:val="center"/>
              <w:rPr>
                <w:rFonts w:hint="default"/>
                <w:sz w:val="21"/>
                <w:szCs w:val="21"/>
                <w:lang w:val="en-US" w:eastAsia="zh-CN"/>
              </w:rPr>
            </w:pPr>
            <w:r>
              <w:rPr>
                <w:rFonts w:hint="default"/>
                <w:sz w:val="21"/>
                <w:szCs w:val="21"/>
                <w:lang w:val="en-US" w:eastAsia="zh-CN"/>
              </w:rPr>
              <w:t>/</w:t>
            </w:r>
          </w:p>
        </w:tc>
      </w:tr>
      <w:tr w14:paraId="5D655B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5" w:type="dxa"/>
            <w:vAlign w:val="center"/>
          </w:tcPr>
          <w:p w14:paraId="2FAF0B44">
            <w:pPr>
              <w:bidi w:val="0"/>
              <w:spacing w:line="240" w:lineRule="auto"/>
              <w:jc w:val="center"/>
              <w:rPr>
                <w:rFonts w:hint="default"/>
                <w:sz w:val="21"/>
                <w:szCs w:val="21"/>
                <w:lang w:val="en-US" w:eastAsia="zh-CN"/>
              </w:rPr>
            </w:pPr>
            <w:r>
              <w:rPr>
                <w:rFonts w:hint="default"/>
                <w:sz w:val="21"/>
                <w:szCs w:val="21"/>
                <w:lang w:val="en-US" w:eastAsia="zh-CN"/>
              </w:rPr>
              <w:t>大气毒性终点浓度-2</w:t>
            </w:r>
          </w:p>
        </w:tc>
        <w:tc>
          <w:tcPr>
            <w:tcW w:w="3542" w:type="dxa"/>
            <w:gridSpan w:val="2"/>
            <w:vAlign w:val="center"/>
          </w:tcPr>
          <w:p w14:paraId="05545B75">
            <w:pPr>
              <w:bidi w:val="0"/>
              <w:spacing w:line="240" w:lineRule="auto"/>
              <w:jc w:val="center"/>
              <w:rPr>
                <w:rFonts w:hint="default"/>
                <w:sz w:val="21"/>
                <w:szCs w:val="21"/>
                <w:lang w:val="en-US" w:eastAsia="zh-CN"/>
              </w:rPr>
            </w:pPr>
            <w:r>
              <w:rPr>
                <w:rFonts w:hint="default"/>
                <w:sz w:val="21"/>
                <w:szCs w:val="21"/>
                <w:lang w:val="en-US" w:eastAsia="zh-CN"/>
              </w:rPr>
              <w:t>95</w:t>
            </w:r>
          </w:p>
        </w:tc>
        <w:tc>
          <w:tcPr>
            <w:tcW w:w="1419" w:type="dxa"/>
            <w:vAlign w:val="center"/>
          </w:tcPr>
          <w:p w14:paraId="08E9D41F">
            <w:pPr>
              <w:bidi w:val="0"/>
              <w:spacing w:line="240" w:lineRule="auto"/>
              <w:jc w:val="center"/>
              <w:rPr>
                <w:rFonts w:hint="default"/>
                <w:sz w:val="21"/>
                <w:szCs w:val="21"/>
                <w:lang w:val="en-US" w:eastAsia="zh-CN"/>
              </w:rPr>
            </w:pPr>
            <w:r>
              <w:rPr>
                <w:rFonts w:hint="default"/>
                <w:sz w:val="21"/>
                <w:szCs w:val="21"/>
                <w:lang w:val="en-US" w:eastAsia="zh-CN"/>
              </w:rPr>
              <w:t>未出现</w:t>
            </w:r>
          </w:p>
        </w:tc>
        <w:tc>
          <w:tcPr>
            <w:tcW w:w="3472" w:type="dxa"/>
            <w:gridSpan w:val="2"/>
            <w:vAlign w:val="center"/>
          </w:tcPr>
          <w:p w14:paraId="66E57506">
            <w:pPr>
              <w:bidi w:val="0"/>
              <w:spacing w:line="240" w:lineRule="auto"/>
              <w:jc w:val="center"/>
              <w:rPr>
                <w:rFonts w:hint="default"/>
                <w:sz w:val="21"/>
                <w:szCs w:val="21"/>
                <w:lang w:val="en-US" w:eastAsia="zh-CN"/>
              </w:rPr>
            </w:pPr>
            <w:r>
              <w:rPr>
                <w:rFonts w:hint="default"/>
                <w:sz w:val="21"/>
                <w:szCs w:val="21"/>
                <w:lang w:val="en-US" w:eastAsia="zh-CN"/>
              </w:rPr>
              <w:t>/</w:t>
            </w:r>
          </w:p>
        </w:tc>
      </w:tr>
    </w:tbl>
    <w:p w14:paraId="11781AFE">
      <w:pPr>
        <w:bidi w:val="0"/>
        <w:jc w:val="center"/>
        <w:rPr>
          <w:rFonts w:hint="default"/>
          <w:lang w:val="en-US" w:eastAsia="zh-CN"/>
        </w:rPr>
      </w:pPr>
      <w:r>
        <w:rPr>
          <w:rFonts w:hint="default"/>
          <w:b/>
          <w:bCs/>
          <w:lang w:val="en-US" w:eastAsia="zh-CN"/>
        </w:rPr>
        <w:t>表6.2.6-1</w:t>
      </w:r>
      <w:r>
        <w:rPr>
          <w:rFonts w:hint="eastAsia"/>
          <w:b/>
          <w:bCs/>
          <w:lang w:val="en-US" w:eastAsia="zh-CN"/>
        </w:rPr>
        <w:t>1</w:t>
      </w:r>
      <w:r>
        <w:rPr>
          <w:rFonts w:hint="default"/>
          <w:b/>
          <w:bCs/>
          <w:lang w:val="en-US" w:eastAsia="zh-CN"/>
        </w:rPr>
        <w:t xml:space="preserve"> 三甲基铝钢瓶泄漏引发的火灾/爆炸产生次生物质CO最</w:t>
      </w:r>
      <w:r>
        <w:rPr>
          <w:rFonts w:hint="eastAsia"/>
          <w:b/>
          <w:bCs/>
          <w:lang w:val="en-US" w:eastAsia="zh-CN"/>
        </w:rPr>
        <w:t>常见</w:t>
      </w:r>
      <w:r>
        <w:rPr>
          <w:rFonts w:hint="default"/>
          <w:b/>
          <w:bCs/>
          <w:lang w:val="en-US" w:eastAsia="zh-CN"/>
        </w:rPr>
        <w:t>气象条件预测结果表</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0"/>
        <w:gridCol w:w="1738"/>
        <w:gridCol w:w="1602"/>
        <w:gridCol w:w="1725"/>
        <w:gridCol w:w="1531"/>
        <w:gridCol w:w="1004"/>
      </w:tblGrid>
      <w:tr w14:paraId="3598A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7F877EC5">
            <w:pPr>
              <w:bidi w:val="0"/>
              <w:spacing w:line="240" w:lineRule="auto"/>
              <w:jc w:val="center"/>
              <w:rPr>
                <w:rFonts w:hint="default"/>
                <w:sz w:val="21"/>
                <w:szCs w:val="21"/>
                <w:lang w:val="en-US" w:eastAsia="zh-CN"/>
              </w:rPr>
            </w:pPr>
            <w:r>
              <w:rPr>
                <w:rFonts w:hint="default"/>
                <w:sz w:val="21"/>
                <w:szCs w:val="21"/>
                <w:lang w:val="en-US" w:eastAsia="zh-CN"/>
              </w:rPr>
              <w:t>泄漏设备类型</w:t>
            </w:r>
          </w:p>
        </w:tc>
        <w:tc>
          <w:tcPr>
            <w:tcW w:w="0" w:type="auto"/>
            <w:vAlign w:val="center"/>
          </w:tcPr>
          <w:p w14:paraId="0F33891A">
            <w:pPr>
              <w:bidi w:val="0"/>
              <w:spacing w:line="240" w:lineRule="auto"/>
              <w:jc w:val="center"/>
              <w:rPr>
                <w:rFonts w:hint="default"/>
                <w:sz w:val="21"/>
                <w:szCs w:val="21"/>
                <w:lang w:val="en-US" w:eastAsia="zh-CN"/>
              </w:rPr>
            </w:pPr>
            <w:r>
              <w:rPr>
                <w:rFonts w:hint="default"/>
                <w:sz w:val="21"/>
                <w:szCs w:val="21"/>
                <w:lang w:val="en-US" w:eastAsia="zh-CN"/>
              </w:rPr>
              <w:t>物料输送管道</w:t>
            </w:r>
          </w:p>
        </w:tc>
        <w:tc>
          <w:tcPr>
            <w:tcW w:w="0" w:type="auto"/>
            <w:vAlign w:val="center"/>
          </w:tcPr>
          <w:p w14:paraId="1A012F9D">
            <w:pPr>
              <w:bidi w:val="0"/>
              <w:spacing w:line="240" w:lineRule="auto"/>
              <w:jc w:val="center"/>
              <w:rPr>
                <w:rFonts w:hint="default"/>
                <w:sz w:val="21"/>
                <w:szCs w:val="21"/>
                <w:lang w:val="en-US" w:eastAsia="zh-CN"/>
              </w:rPr>
            </w:pPr>
            <w:r>
              <w:rPr>
                <w:rFonts w:hint="default"/>
                <w:sz w:val="21"/>
                <w:szCs w:val="21"/>
                <w:lang w:val="en-US" w:eastAsia="zh-CN"/>
              </w:rPr>
              <w:t>操作温度(℃)</w:t>
            </w:r>
          </w:p>
        </w:tc>
        <w:tc>
          <w:tcPr>
            <w:tcW w:w="0" w:type="auto"/>
            <w:vAlign w:val="center"/>
          </w:tcPr>
          <w:p w14:paraId="06DE6CE1">
            <w:pPr>
              <w:bidi w:val="0"/>
              <w:spacing w:line="240" w:lineRule="auto"/>
              <w:jc w:val="center"/>
              <w:rPr>
                <w:rFonts w:hint="default"/>
                <w:sz w:val="21"/>
                <w:szCs w:val="21"/>
                <w:lang w:val="en-US" w:eastAsia="zh-CN"/>
              </w:rPr>
            </w:pPr>
            <w:r>
              <w:rPr>
                <w:rFonts w:hint="default"/>
                <w:sz w:val="21"/>
                <w:szCs w:val="21"/>
                <w:lang w:val="en-US" w:eastAsia="zh-CN"/>
              </w:rPr>
              <w:t>25</w:t>
            </w:r>
          </w:p>
        </w:tc>
        <w:tc>
          <w:tcPr>
            <w:tcW w:w="0" w:type="auto"/>
            <w:vAlign w:val="center"/>
          </w:tcPr>
          <w:p w14:paraId="5D2DDE52">
            <w:pPr>
              <w:bidi w:val="0"/>
              <w:spacing w:line="240" w:lineRule="auto"/>
              <w:jc w:val="center"/>
              <w:rPr>
                <w:rFonts w:hint="default"/>
                <w:sz w:val="21"/>
                <w:szCs w:val="21"/>
                <w:lang w:val="en-US" w:eastAsia="zh-CN"/>
              </w:rPr>
            </w:pPr>
            <w:r>
              <w:rPr>
                <w:rFonts w:hint="default"/>
                <w:sz w:val="21"/>
                <w:szCs w:val="21"/>
                <w:lang w:val="en-US" w:eastAsia="zh-CN"/>
              </w:rPr>
              <w:t>操作压力(MPa)</w:t>
            </w:r>
          </w:p>
        </w:tc>
        <w:tc>
          <w:tcPr>
            <w:tcW w:w="0" w:type="auto"/>
            <w:vAlign w:val="center"/>
          </w:tcPr>
          <w:p w14:paraId="002E3C82">
            <w:pPr>
              <w:bidi w:val="0"/>
              <w:spacing w:line="240" w:lineRule="auto"/>
              <w:jc w:val="center"/>
              <w:rPr>
                <w:rFonts w:hint="default"/>
                <w:sz w:val="21"/>
                <w:szCs w:val="21"/>
                <w:lang w:val="en-US" w:eastAsia="zh-CN"/>
              </w:rPr>
            </w:pPr>
            <w:r>
              <w:rPr>
                <w:rFonts w:hint="default"/>
                <w:sz w:val="21"/>
                <w:szCs w:val="21"/>
                <w:lang w:val="en-US" w:eastAsia="zh-CN"/>
              </w:rPr>
              <w:t>0.101325</w:t>
            </w:r>
          </w:p>
        </w:tc>
      </w:tr>
      <w:tr w14:paraId="19D225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1DD82A66">
            <w:pPr>
              <w:bidi w:val="0"/>
              <w:spacing w:line="240" w:lineRule="auto"/>
              <w:jc w:val="center"/>
              <w:rPr>
                <w:rFonts w:hint="default"/>
                <w:sz w:val="21"/>
                <w:szCs w:val="21"/>
                <w:lang w:val="en-US" w:eastAsia="zh-CN"/>
              </w:rPr>
            </w:pPr>
            <w:r>
              <w:rPr>
                <w:rFonts w:hint="default"/>
                <w:sz w:val="21"/>
                <w:szCs w:val="21"/>
                <w:lang w:val="en-US" w:eastAsia="zh-CN"/>
              </w:rPr>
              <w:t>泄漏危险物质</w:t>
            </w:r>
          </w:p>
        </w:tc>
        <w:tc>
          <w:tcPr>
            <w:tcW w:w="0" w:type="auto"/>
            <w:vAlign w:val="center"/>
          </w:tcPr>
          <w:p w14:paraId="48FEA2DB">
            <w:pPr>
              <w:bidi w:val="0"/>
              <w:spacing w:line="240" w:lineRule="auto"/>
              <w:jc w:val="center"/>
              <w:rPr>
                <w:rFonts w:hint="default"/>
                <w:sz w:val="21"/>
                <w:szCs w:val="21"/>
                <w:lang w:val="en-US" w:eastAsia="zh-CN"/>
              </w:rPr>
            </w:pPr>
            <w:r>
              <w:rPr>
                <w:rFonts w:hint="default"/>
                <w:sz w:val="21"/>
                <w:szCs w:val="21"/>
                <w:lang w:val="en-US" w:eastAsia="zh-CN"/>
              </w:rPr>
              <w:t>三甲基铝次生CO</w:t>
            </w:r>
          </w:p>
        </w:tc>
        <w:tc>
          <w:tcPr>
            <w:tcW w:w="0" w:type="auto"/>
            <w:vAlign w:val="center"/>
          </w:tcPr>
          <w:p w14:paraId="6D0F180A">
            <w:pPr>
              <w:bidi w:val="0"/>
              <w:spacing w:line="240" w:lineRule="auto"/>
              <w:jc w:val="center"/>
              <w:rPr>
                <w:rFonts w:hint="default"/>
                <w:sz w:val="21"/>
                <w:szCs w:val="21"/>
                <w:lang w:val="en-US" w:eastAsia="zh-CN"/>
              </w:rPr>
            </w:pPr>
            <w:r>
              <w:rPr>
                <w:rFonts w:hint="default"/>
                <w:sz w:val="21"/>
                <w:szCs w:val="21"/>
                <w:lang w:val="en-US" w:eastAsia="zh-CN"/>
              </w:rPr>
              <w:t>泄漏概率(次/年)</w:t>
            </w:r>
          </w:p>
        </w:tc>
        <w:tc>
          <w:tcPr>
            <w:tcW w:w="0" w:type="auto"/>
            <w:vAlign w:val="center"/>
          </w:tcPr>
          <w:p w14:paraId="2D81EA3D">
            <w:pPr>
              <w:bidi w:val="0"/>
              <w:spacing w:line="240" w:lineRule="auto"/>
              <w:jc w:val="center"/>
              <w:rPr>
                <w:rFonts w:hint="default"/>
                <w:sz w:val="21"/>
                <w:szCs w:val="21"/>
                <w:lang w:val="en-US" w:eastAsia="zh-CN"/>
              </w:rPr>
            </w:pPr>
            <w:r>
              <w:rPr>
                <w:rFonts w:hint="default"/>
                <w:sz w:val="21"/>
                <w:szCs w:val="21"/>
                <w:lang w:val="en-US" w:eastAsia="zh-CN"/>
              </w:rPr>
              <w:t>5.00×10</w:t>
            </w:r>
            <w:r>
              <w:rPr>
                <w:rFonts w:hint="default"/>
                <w:sz w:val="21"/>
                <w:szCs w:val="21"/>
                <w:vertAlign w:val="superscript"/>
                <w:lang w:val="en-US" w:eastAsia="zh-CN"/>
              </w:rPr>
              <w:t>-</w:t>
            </w:r>
            <w:r>
              <w:rPr>
                <w:rFonts w:hint="eastAsia"/>
                <w:sz w:val="21"/>
                <w:szCs w:val="21"/>
                <w:vertAlign w:val="superscript"/>
                <w:lang w:val="en-US" w:eastAsia="zh-CN"/>
              </w:rPr>
              <w:t>4</w:t>
            </w:r>
          </w:p>
        </w:tc>
        <w:tc>
          <w:tcPr>
            <w:tcW w:w="0" w:type="auto"/>
            <w:vAlign w:val="center"/>
          </w:tcPr>
          <w:p w14:paraId="5C59E71F">
            <w:pPr>
              <w:bidi w:val="0"/>
              <w:spacing w:line="240" w:lineRule="auto"/>
              <w:jc w:val="center"/>
              <w:rPr>
                <w:rFonts w:hint="default"/>
                <w:sz w:val="21"/>
                <w:szCs w:val="21"/>
                <w:lang w:val="en-US" w:eastAsia="zh-CN"/>
              </w:rPr>
            </w:pPr>
            <w:r>
              <w:rPr>
                <w:rFonts w:hint="default"/>
                <w:sz w:val="21"/>
                <w:szCs w:val="21"/>
                <w:lang w:val="en-US" w:eastAsia="zh-CN"/>
              </w:rPr>
              <w:t>泄漏孔径(mm)</w:t>
            </w:r>
          </w:p>
        </w:tc>
        <w:tc>
          <w:tcPr>
            <w:tcW w:w="0" w:type="auto"/>
            <w:vAlign w:val="center"/>
          </w:tcPr>
          <w:p w14:paraId="3863917A">
            <w:pPr>
              <w:bidi w:val="0"/>
              <w:spacing w:line="240" w:lineRule="auto"/>
              <w:jc w:val="center"/>
              <w:rPr>
                <w:rFonts w:hint="default"/>
                <w:sz w:val="21"/>
                <w:szCs w:val="21"/>
                <w:lang w:val="en-US" w:eastAsia="zh-CN"/>
              </w:rPr>
            </w:pPr>
            <w:r>
              <w:rPr>
                <w:rFonts w:hint="default"/>
                <w:sz w:val="21"/>
                <w:szCs w:val="21"/>
                <w:lang w:val="en-US" w:eastAsia="zh-CN"/>
              </w:rPr>
              <w:t>6.5</w:t>
            </w:r>
          </w:p>
        </w:tc>
      </w:tr>
      <w:tr w14:paraId="39153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7360C4A7">
            <w:pPr>
              <w:bidi w:val="0"/>
              <w:spacing w:line="240" w:lineRule="auto"/>
              <w:jc w:val="center"/>
              <w:rPr>
                <w:rFonts w:hint="default"/>
                <w:sz w:val="21"/>
                <w:szCs w:val="21"/>
                <w:lang w:val="en-US" w:eastAsia="zh-CN"/>
              </w:rPr>
            </w:pPr>
            <w:r>
              <w:rPr>
                <w:rFonts w:hint="default"/>
                <w:sz w:val="21"/>
                <w:szCs w:val="21"/>
                <w:lang w:val="en-US" w:eastAsia="zh-CN"/>
              </w:rPr>
              <w:t>泄漏速率(kg/s)</w:t>
            </w:r>
          </w:p>
        </w:tc>
        <w:tc>
          <w:tcPr>
            <w:tcW w:w="0" w:type="auto"/>
            <w:vAlign w:val="center"/>
          </w:tcPr>
          <w:p w14:paraId="474ACA31">
            <w:pPr>
              <w:bidi w:val="0"/>
              <w:spacing w:line="240" w:lineRule="auto"/>
              <w:jc w:val="center"/>
              <w:rPr>
                <w:rFonts w:hint="default"/>
                <w:sz w:val="21"/>
                <w:szCs w:val="21"/>
                <w:lang w:val="en-US" w:eastAsia="zh-CN"/>
              </w:rPr>
            </w:pPr>
            <w:r>
              <w:rPr>
                <w:rFonts w:hint="eastAsia"/>
                <w:sz w:val="21"/>
                <w:szCs w:val="21"/>
                <w:lang w:val="en-US" w:eastAsia="zh-CN"/>
              </w:rPr>
              <w:t>0.035</w:t>
            </w:r>
          </w:p>
        </w:tc>
        <w:tc>
          <w:tcPr>
            <w:tcW w:w="0" w:type="auto"/>
            <w:vAlign w:val="center"/>
          </w:tcPr>
          <w:p w14:paraId="7E8A2C2E">
            <w:pPr>
              <w:bidi w:val="0"/>
              <w:spacing w:line="240" w:lineRule="auto"/>
              <w:jc w:val="center"/>
              <w:rPr>
                <w:rFonts w:hint="default"/>
                <w:sz w:val="21"/>
                <w:szCs w:val="21"/>
                <w:lang w:val="en-US" w:eastAsia="zh-CN"/>
              </w:rPr>
            </w:pPr>
            <w:r>
              <w:rPr>
                <w:rFonts w:hint="default"/>
                <w:sz w:val="21"/>
                <w:szCs w:val="21"/>
                <w:lang w:val="en-US" w:eastAsia="zh-CN"/>
              </w:rPr>
              <w:t>泄漏时间(min)</w:t>
            </w:r>
          </w:p>
        </w:tc>
        <w:tc>
          <w:tcPr>
            <w:tcW w:w="0" w:type="auto"/>
            <w:vAlign w:val="center"/>
          </w:tcPr>
          <w:p w14:paraId="1C27864D">
            <w:pPr>
              <w:bidi w:val="0"/>
              <w:spacing w:line="240" w:lineRule="auto"/>
              <w:jc w:val="center"/>
              <w:rPr>
                <w:rFonts w:hint="default"/>
                <w:sz w:val="21"/>
                <w:szCs w:val="21"/>
                <w:lang w:val="en-US" w:eastAsia="zh-CN"/>
              </w:rPr>
            </w:pPr>
            <w:r>
              <w:rPr>
                <w:rFonts w:hint="default"/>
                <w:sz w:val="21"/>
                <w:szCs w:val="21"/>
                <w:lang w:val="en-US" w:eastAsia="zh-CN"/>
              </w:rPr>
              <w:t>10</w:t>
            </w:r>
          </w:p>
        </w:tc>
        <w:tc>
          <w:tcPr>
            <w:tcW w:w="0" w:type="auto"/>
            <w:vAlign w:val="center"/>
          </w:tcPr>
          <w:p w14:paraId="0C156494">
            <w:pPr>
              <w:bidi w:val="0"/>
              <w:spacing w:line="240" w:lineRule="auto"/>
              <w:jc w:val="center"/>
              <w:rPr>
                <w:rFonts w:hint="default"/>
                <w:sz w:val="21"/>
                <w:szCs w:val="21"/>
                <w:lang w:val="en-US" w:eastAsia="zh-CN"/>
              </w:rPr>
            </w:pPr>
            <w:r>
              <w:rPr>
                <w:rFonts w:hint="default"/>
                <w:sz w:val="21"/>
                <w:szCs w:val="21"/>
                <w:lang w:val="en-US" w:eastAsia="zh-CN"/>
              </w:rPr>
              <w:t>泄漏量(kg)</w:t>
            </w:r>
          </w:p>
        </w:tc>
        <w:tc>
          <w:tcPr>
            <w:tcW w:w="0" w:type="auto"/>
            <w:vAlign w:val="center"/>
          </w:tcPr>
          <w:p w14:paraId="79A953C0">
            <w:pPr>
              <w:bidi w:val="0"/>
              <w:spacing w:line="240" w:lineRule="auto"/>
              <w:jc w:val="center"/>
              <w:rPr>
                <w:rFonts w:hint="default"/>
                <w:sz w:val="21"/>
                <w:szCs w:val="21"/>
                <w:lang w:val="en-US" w:eastAsia="zh-CN"/>
              </w:rPr>
            </w:pPr>
            <w:r>
              <w:rPr>
                <w:rFonts w:hint="eastAsia"/>
                <w:sz w:val="21"/>
                <w:szCs w:val="21"/>
                <w:lang w:val="en-US" w:eastAsia="zh-CN"/>
              </w:rPr>
              <w:t>21</w:t>
            </w:r>
          </w:p>
        </w:tc>
      </w:tr>
      <w:tr w14:paraId="32AF1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gridSpan w:val="3"/>
            <w:vAlign w:val="center"/>
          </w:tcPr>
          <w:p w14:paraId="660D6CE6">
            <w:pPr>
              <w:bidi w:val="0"/>
              <w:spacing w:line="240" w:lineRule="auto"/>
              <w:jc w:val="center"/>
              <w:rPr>
                <w:rFonts w:hint="default"/>
                <w:sz w:val="21"/>
                <w:szCs w:val="21"/>
                <w:lang w:val="en-US" w:eastAsia="zh-CN"/>
              </w:rPr>
            </w:pPr>
            <w:r>
              <w:rPr>
                <w:rFonts w:hint="default"/>
                <w:sz w:val="21"/>
                <w:szCs w:val="21"/>
                <w:lang w:val="en-US" w:eastAsia="zh-CN"/>
              </w:rPr>
              <w:t>大气环境影响-气象条件名称-模型类型</w:t>
            </w:r>
          </w:p>
        </w:tc>
        <w:tc>
          <w:tcPr>
            <w:tcW w:w="0" w:type="auto"/>
            <w:gridSpan w:val="3"/>
            <w:vAlign w:val="center"/>
          </w:tcPr>
          <w:p w14:paraId="4C903163">
            <w:pPr>
              <w:bidi w:val="0"/>
              <w:spacing w:line="240" w:lineRule="auto"/>
              <w:jc w:val="center"/>
              <w:rPr>
                <w:rFonts w:hint="default"/>
                <w:sz w:val="21"/>
                <w:szCs w:val="21"/>
                <w:lang w:val="en-US" w:eastAsia="zh-CN"/>
              </w:rPr>
            </w:pPr>
            <w:r>
              <w:rPr>
                <w:rFonts w:hint="default"/>
                <w:sz w:val="21"/>
                <w:szCs w:val="21"/>
                <w:lang w:val="en-US" w:eastAsia="zh-CN"/>
              </w:rPr>
              <w:t>最常见气象条件AFTOX模型</w:t>
            </w:r>
          </w:p>
        </w:tc>
      </w:tr>
      <w:tr w14:paraId="142C7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26CFB572">
            <w:pPr>
              <w:bidi w:val="0"/>
              <w:spacing w:line="240" w:lineRule="auto"/>
              <w:jc w:val="center"/>
              <w:rPr>
                <w:rFonts w:hint="default"/>
                <w:sz w:val="21"/>
                <w:szCs w:val="21"/>
                <w:lang w:val="en-US" w:eastAsia="zh-CN"/>
              </w:rPr>
            </w:pPr>
            <w:r>
              <w:rPr>
                <w:rFonts w:hint="default"/>
                <w:sz w:val="21"/>
                <w:szCs w:val="21"/>
                <w:lang w:val="en-US" w:eastAsia="zh-CN"/>
              </w:rPr>
              <w:t>指标</w:t>
            </w:r>
          </w:p>
        </w:tc>
        <w:tc>
          <w:tcPr>
            <w:tcW w:w="0" w:type="auto"/>
            <w:gridSpan w:val="2"/>
            <w:vAlign w:val="center"/>
          </w:tcPr>
          <w:p w14:paraId="01358FD6">
            <w:pPr>
              <w:bidi w:val="0"/>
              <w:spacing w:line="240" w:lineRule="auto"/>
              <w:jc w:val="center"/>
              <w:rPr>
                <w:rFonts w:hint="default"/>
                <w:sz w:val="21"/>
                <w:szCs w:val="21"/>
                <w:lang w:val="en-US" w:eastAsia="zh-CN"/>
              </w:rPr>
            </w:pPr>
            <w:r>
              <w:rPr>
                <w:rFonts w:hint="default"/>
                <w:sz w:val="21"/>
                <w:szCs w:val="21"/>
                <w:lang w:val="en-US" w:eastAsia="zh-CN"/>
              </w:rPr>
              <w:t>浓度值(mg/m</w:t>
            </w:r>
            <w:r>
              <w:rPr>
                <w:rFonts w:hint="default"/>
                <w:sz w:val="21"/>
                <w:szCs w:val="21"/>
                <w:vertAlign w:val="superscript"/>
                <w:lang w:val="en-US" w:eastAsia="zh-CN"/>
              </w:rPr>
              <w:t>3</w:t>
            </w:r>
            <w:r>
              <w:rPr>
                <w:rFonts w:hint="default"/>
                <w:sz w:val="21"/>
                <w:szCs w:val="21"/>
                <w:lang w:val="en-US" w:eastAsia="zh-CN"/>
              </w:rPr>
              <w:t>)</w:t>
            </w:r>
          </w:p>
        </w:tc>
        <w:tc>
          <w:tcPr>
            <w:tcW w:w="0" w:type="auto"/>
            <w:vAlign w:val="center"/>
          </w:tcPr>
          <w:p w14:paraId="0057B8C4">
            <w:pPr>
              <w:bidi w:val="0"/>
              <w:spacing w:line="240" w:lineRule="auto"/>
              <w:jc w:val="center"/>
              <w:rPr>
                <w:rFonts w:hint="default"/>
                <w:sz w:val="21"/>
                <w:szCs w:val="21"/>
                <w:lang w:val="en-US" w:eastAsia="zh-CN"/>
              </w:rPr>
            </w:pPr>
            <w:r>
              <w:rPr>
                <w:rFonts w:hint="default"/>
                <w:sz w:val="21"/>
                <w:szCs w:val="21"/>
                <w:lang w:val="en-US" w:eastAsia="zh-CN"/>
              </w:rPr>
              <w:t>最远影响距离(m)</w:t>
            </w:r>
          </w:p>
        </w:tc>
        <w:tc>
          <w:tcPr>
            <w:tcW w:w="0" w:type="auto"/>
            <w:gridSpan w:val="2"/>
            <w:vAlign w:val="center"/>
          </w:tcPr>
          <w:p w14:paraId="33CB848F">
            <w:pPr>
              <w:bidi w:val="0"/>
              <w:spacing w:line="240" w:lineRule="auto"/>
              <w:jc w:val="center"/>
              <w:rPr>
                <w:rFonts w:hint="default"/>
                <w:sz w:val="21"/>
                <w:szCs w:val="21"/>
                <w:lang w:val="en-US" w:eastAsia="zh-CN"/>
              </w:rPr>
            </w:pPr>
            <w:r>
              <w:rPr>
                <w:rFonts w:hint="default"/>
                <w:sz w:val="21"/>
                <w:szCs w:val="21"/>
                <w:lang w:val="en-US" w:eastAsia="zh-CN"/>
              </w:rPr>
              <w:t>到达时间(min)</w:t>
            </w:r>
          </w:p>
        </w:tc>
      </w:tr>
      <w:tr w14:paraId="08ED4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13D8235B">
            <w:pPr>
              <w:bidi w:val="0"/>
              <w:spacing w:line="240" w:lineRule="auto"/>
              <w:jc w:val="center"/>
              <w:rPr>
                <w:rFonts w:hint="default"/>
                <w:sz w:val="21"/>
                <w:szCs w:val="21"/>
                <w:lang w:val="en-US" w:eastAsia="zh-CN"/>
              </w:rPr>
            </w:pPr>
            <w:r>
              <w:rPr>
                <w:rFonts w:hint="default"/>
                <w:sz w:val="21"/>
                <w:szCs w:val="21"/>
                <w:lang w:val="en-US" w:eastAsia="zh-CN"/>
              </w:rPr>
              <w:t>大气毒性终点浓度-1</w:t>
            </w:r>
          </w:p>
        </w:tc>
        <w:tc>
          <w:tcPr>
            <w:tcW w:w="0" w:type="auto"/>
            <w:gridSpan w:val="2"/>
            <w:vAlign w:val="center"/>
          </w:tcPr>
          <w:p w14:paraId="016FD0FA">
            <w:pPr>
              <w:bidi w:val="0"/>
              <w:spacing w:line="240" w:lineRule="auto"/>
              <w:jc w:val="center"/>
              <w:rPr>
                <w:rFonts w:hint="default"/>
                <w:sz w:val="21"/>
                <w:szCs w:val="21"/>
                <w:lang w:val="en-US" w:eastAsia="zh-CN"/>
              </w:rPr>
            </w:pPr>
            <w:r>
              <w:rPr>
                <w:rFonts w:hint="default"/>
                <w:sz w:val="21"/>
                <w:szCs w:val="21"/>
                <w:lang w:val="en-US" w:eastAsia="zh-CN"/>
              </w:rPr>
              <w:t>380</w:t>
            </w:r>
          </w:p>
        </w:tc>
        <w:tc>
          <w:tcPr>
            <w:tcW w:w="0" w:type="auto"/>
            <w:vAlign w:val="center"/>
          </w:tcPr>
          <w:p w14:paraId="31782DBA">
            <w:pPr>
              <w:bidi w:val="0"/>
              <w:spacing w:line="240" w:lineRule="auto"/>
              <w:jc w:val="center"/>
              <w:rPr>
                <w:rFonts w:hint="default"/>
                <w:sz w:val="21"/>
                <w:szCs w:val="21"/>
                <w:lang w:val="en-US" w:eastAsia="zh-CN"/>
              </w:rPr>
            </w:pPr>
            <w:r>
              <w:rPr>
                <w:rFonts w:hint="default"/>
                <w:sz w:val="21"/>
                <w:szCs w:val="21"/>
                <w:lang w:val="en-US" w:eastAsia="zh-CN"/>
              </w:rPr>
              <w:t>未出现</w:t>
            </w:r>
          </w:p>
        </w:tc>
        <w:tc>
          <w:tcPr>
            <w:tcW w:w="0" w:type="auto"/>
            <w:gridSpan w:val="2"/>
            <w:vAlign w:val="center"/>
          </w:tcPr>
          <w:p w14:paraId="6693ACBF">
            <w:pPr>
              <w:bidi w:val="0"/>
              <w:spacing w:line="240" w:lineRule="auto"/>
              <w:jc w:val="center"/>
              <w:rPr>
                <w:rFonts w:hint="default"/>
                <w:sz w:val="21"/>
                <w:szCs w:val="21"/>
                <w:lang w:val="en-US" w:eastAsia="zh-CN"/>
              </w:rPr>
            </w:pPr>
            <w:r>
              <w:rPr>
                <w:rFonts w:hint="default"/>
                <w:sz w:val="21"/>
                <w:szCs w:val="21"/>
                <w:lang w:val="en-US" w:eastAsia="zh-CN"/>
              </w:rPr>
              <w:t>/</w:t>
            </w:r>
          </w:p>
        </w:tc>
      </w:tr>
      <w:tr w14:paraId="5A525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Align w:val="center"/>
          </w:tcPr>
          <w:p w14:paraId="571A8B34">
            <w:pPr>
              <w:bidi w:val="0"/>
              <w:spacing w:line="240" w:lineRule="auto"/>
              <w:jc w:val="center"/>
              <w:rPr>
                <w:rFonts w:hint="default"/>
                <w:sz w:val="21"/>
                <w:szCs w:val="21"/>
                <w:lang w:val="en-US" w:eastAsia="zh-CN"/>
              </w:rPr>
            </w:pPr>
            <w:r>
              <w:rPr>
                <w:rFonts w:hint="default"/>
                <w:sz w:val="21"/>
                <w:szCs w:val="21"/>
                <w:lang w:val="en-US" w:eastAsia="zh-CN"/>
              </w:rPr>
              <w:t>大气毒性终点浓度-2</w:t>
            </w:r>
          </w:p>
        </w:tc>
        <w:tc>
          <w:tcPr>
            <w:tcW w:w="0" w:type="auto"/>
            <w:gridSpan w:val="2"/>
            <w:vAlign w:val="center"/>
          </w:tcPr>
          <w:p w14:paraId="67E12ED1">
            <w:pPr>
              <w:bidi w:val="0"/>
              <w:spacing w:line="240" w:lineRule="auto"/>
              <w:jc w:val="center"/>
              <w:rPr>
                <w:rFonts w:hint="default"/>
                <w:sz w:val="21"/>
                <w:szCs w:val="21"/>
                <w:lang w:val="en-US" w:eastAsia="zh-CN"/>
              </w:rPr>
            </w:pPr>
            <w:r>
              <w:rPr>
                <w:rFonts w:hint="default"/>
                <w:sz w:val="21"/>
                <w:szCs w:val="21"/>
                <w:lang w:val="en-US" w:eastAsia="zh-CN"/>
              </w:rPr>
              <w:t>95</w:t>
            </w:r>
          </w:p>
        </w:tc>
        <w:tc>
          <w:tcPr>
            <w:tcW w:w="0" w:type="auto"/>
            <w:vAlign w:val="center"/>
          </w:tcPr>
          <w:p w14:paraId="27009B3A">
            <w:pPr>
              <w:bidi w:val="0"/>
              <w:spacing w:line="240" w:lineRule="auto"/>
              <w:jc w:val="center"/>
              <w:rPr>
                <w:rFonts w:hint="default"/>
                <w:sz w:val="21"/>
                <w:szCs w:val="21"/>
                <w:lang w:val="en-US" w:eastAsia="zh-CN"/>
              </w:rPr>
            </w:pPr>
            <w:r>
              <w:rPr>
                <w:rFonts w:hint="default"/>
                <w:sz w:val="21"/>
                <w:szCs w:val="21"/>
                <w:lang w:val="en-US" w:eastAsia="zh-CN"/>
              </w:rPr>
              <w:t>未出现</w:t>
            </w:r>
          </w:p>
        </w:tc>
        <w:tc>
          <w:tcPr>
            <w:tcW w:w="0" w:type="auto"/>
            <w:gridSpan w:val="2"/>
            <w:vAlign w:val="center"/>
          </w:tcPr>
          <w:p w14:paraId="30AF00C3">
            <w:pPr>
              <w:bidi w:val="0"/>
              <w:spacing w:line="240" w:lineRule="auto"/>
              <w:jc w:val="center"/>
              <w:rPr>
                <w:rFonts w:hint="default"/>
                <w:sz w:val="21"/>
                <w:szCs w:val="21"/>
                <w:lang w:val="en-US" w:eastAsia="zh-CN"/>
              </w:rPr>
            </w:pPr>
            <w:r>
              <w:rPr>
                <w:rFonts w:hint="default"/>
                <w:sz w:val="21"/>
                <w:szCs w:val="21"/>
                <w:lang w:val="en-US" w:eastAsia="zh-CN"/>
              </w:rPr>
              <w:t>/</w:t>
            </w:r>
          </w:p>
        </w:tc>
      </w:tr>
    </w:tbl>
    <w:p w14:paraId="1A81F3DD">
      <w:pPr>
        <w:bidi w:val="0"/>
        <w:ind w:firstLine="480" w:firstLineChars="200"/>
        <w:rPr>
          <w:rFonts w:hint="default"/>
          <w:lang w:val="en-US" w:eastAsia="zh-CN"/>
        </w:rPr>
      </w:pPr>
      <w:r>
        <w:rPr>
          <w:rFonts w:hint="default"/>
          <w:lang w:val="en-US" w:eastAsia="zh-CN"/>
        </w:rPr>
        <w:t>预测结果表明，三甲基铝钢瓶泄漏引发的火灾/爆炸产生次生物质CO在最常见气象条件下，CO高峰浓度小于大气毒性终点浓度-1的距离未出现；小于大气毒性终点浓度-2的最远距离未出现；在最不利气象条件下，CO高峰高峰浓度小未出现于大气毒性终点浓度-1的最远距离未出现；小于大气毒性终点浓度-2的最远距离未出现。</w:t>
      </w:r>
    </w:p>
    <w:p w14:paraId="6C43BEFD">
      <w:pPr>
        <w:bidi w:val="0"/>
        <w:ind w:firstLine="480" w:firstLineChars="200"/>
        <w:rPr>
          <w:rFonts w:hint="default"/>
          <w:lang w:val="en-US" w:eastAsia="zh-CN"/>
        </w:rPr>
      </w:pPr>
      <w:r>
        <w:rPr>
          <w:rFonts w:ascii="Times New Roman" w:hAnsi="Times New Roman" w:cs="Times New Roman"/>
          <w:color w:val="auto"/>
        </w:rPr>
        <w:t>因此，结合项目风险事故情形及其预测结果</w:t>
      </w:r>
      <w:r>
        <w:rPr>
          <w:rFonts w:hint="eastAsia" w:ascii="Times New Roman" w:hAnsi="Times New Roman" w:cs="Times New Roman"/>
          <w:color w:val="auto"/>
        </w:rPr>
        <w:t>，</w:t>
      </w:r>
      <w:r>
        <w:rPr>
          <w:rFonts w:hint="default"/>
          <w:lang w:val="en-US" w:eastAsia="zh-CN"/>
        </w:rPr>
        <w:t>三甲基铝钢瓶泄漏引发的火灾/爆炸产生次生物质CO</w:t>
      </w:r>
      <w:r>
        <w:rPr>
          <w:rFonts w:ascii="Times New Roman" w:hAnsi="Times New Roman" w:cs="Times New Roman"/>
          <w:color w:val="auto"/>
        </w:rPr>
        <w:t>，</w:t>
      </w:r>
      <w:r>
        <w:rPr>
          <w:rFonts w:hint="eastAsia" w:ascii="Times New Roman" w:hAnsi="Times New Roman" w:cs="Times New Roman"/>
          <w:color w:val="auto"/>
        </w:rPr>
        <w:t>最</w:t>
      </w:r>
      <w:r>
        <w:rPr>
          <w:rFonts w:hint="eastAsia" w:ascii="Times New Roman" w:hAnsi="Times New Roman" w:cs="Times New Roman"/>
          <w:color w:val="auto"/>
          <w:lang w:val="en-US" w:eastAsia="zh-CN"/>
        </w:rPr>
        <w:t>不利</w:t>
      </w:r>
      <w:r>
        <w:rPr>
          <w:rFonts w:hint="eastAsia" w:ascii="Times New Roman" w:hAnsi="Times New Roman" w:cs="Times New Roman"/>
          <w:color w:val="auto"/>
        </w:rPr>
        <w:t>气象条件下</w:t>
      </w:r>
      <w:r>
        <w:rPr>
          <w:rFonts w:ascii="Times New Roman" w:hAnsi="Times New Roman" w:cs="Times New Roman"/>
          <w:color w:val="auto"/>
        </w:rPr>
        <w:t>，</w:t>
      </w:r>
      <w:r>
        <w:rPr>
          <w:rFonts w:hint="default"/>
          <w:lang w:val="en-US" w:eastAsia="zh-CN"/>
        </w:rPr>
        <w:t>CO高峰高峰浓度小未出现于大气毒性终点浓度-1的最远距离未出现</w:t>
      </w:r>
      <w:r>
        <w:rPr>
          <w:rFonts w:hint="eastAsia" w:ascii="Times New Roman" w:hAnsi="Times New Roman" w:cs="Times New Roman"/>
          <w:color w:val="auto"/>
          <w:lang w:val="en-US" w:eastAsia="zh-CN"/>
        </w:rPr>
        <w:t>，本次技改项目维持现有工程</w:t>
      </w:r>
      <w:r>
        <w:rPr>
          <w:rFonts w:ascii="Times New Roman" w:hAnsi="Times New Roman" w:cs="Times New Roman"/>
          <w:color w:val="auto"/>
        </w:rPr>
        <w:t>1</w:t>
      </w:r>
      <w:r>
        <w:rPr>
          <w:rFonts w:hint="eastAsia" w:ascii="Times New Roman" w:hAnsi="Times New Roman" w:cs="Times New Roman"/>
          <w:color w:val="auto"/>
          <w:lang w:val="en-US" w:eastAsia="zh-CN"/>
        </w:rPr>
        <w:t>5</w:t>
      </w:r>
      <w:r>
        <w:rPr>
          <w:rFonts w:ascii="Times New Roman" w:hAnsi="Times New Roman" w:cs="Times New Roman"/>
          <w:color w:val="auto"/>
        </w:rPr>
        <w:t>0m的环境防护距离</w:t>
      </w:r>
      <w:r>
        <w:rPr>
          <w:rFonts w:hint="eastAsia" w:ascii="Times New Roman" w:hAnsi="Times New Roman" w:cs="Times New Roman"/>
          <w:color w:val="auto"/>
          <w:lang w:val="en-US" w:eastAsia="zh-CN"/>
        </w:rPr>
        <w:t>不变</w:t>
      </w:r>
      <w:r>
        <w:rPr>
          <w:rFonts w:ascii="Times New Roman" w:hAnsi="Times New Roman" w:cs="Times New Roman"/>
          <w:color w:val="auto"/>
        </w:rPr>
        <w:t>，环境防护距离内目前</w:t>
      </w:r>
      <w:r>
        <w:rPr>
          <w:rFonts w:hint="eastAsia" w:ascii="Times New Roman" w:hAnsi="Times New Roman" w:cs="Times New Roman"/>
          <w:color w:val="auto"/>
        </w:rPr>
        <w:t>不</w:t>
      </w:r>
      <w:r>
        <w:rPr>
          <w:rFonts w:ascii="Times New Roman" w:hAnsi="Times New Roman" w:cs="Times New Roman"/>
          <w:color w:val="auto"/>
        </w:rPr>
        <w:t>存在敏感点。</w:t>
      </w:r>
    </w:p>
    <w:p w14:paraId="3BED6259">
      <w:pPr>
        <w:bidi w:val="0"/>
        <w:ind w:firstLine="480" w:firstLineChars="200"/>
        <w:rPr>
          <w:rFonts w:hint="default"/>
          <w:lang w:val="en-US" w:eastAsia="zh-CN"/>
        </w:rPr>
      </w:pPr>
      <w:r>
        <w:rPr>
          <w:rFonts w:hint="eastAsia"/>
          <w:lang w:val="en-US" w:eastAsia="zh-CN"/>
        </w:rPr>
        <w:t>（2）地表水环境风险影响分析</w:t>
      </w:r>
    </w:p>
    <w:p w14:paraId="4AFAE675">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lang w:val="en-US" w:eastAsia="zh-CN"/>
        </w:rPr>
      </w:pPr>
      <w:r>
        <w:rPr>
          <w:rFonts w:hint="default" w:ascii="Times New Roman" w:hAnsi="Times New Roman" w:eastAsia="宋体" w:cs="Times New Roman"/>
          <w:b w:val="0"/>
          <w:bCs w:val="0"/>
          <w:color w:val="auto"/>
          <w:kern w:val="0"/>
          <w:sz w:val="24"/>
          <w:szCs w:val="24"/>
          <w:lang w:val="en-US" w:eastAsia="zh-CN"/>
        </w:rPr>
        <w:t>①预测模式</w:t>
      </w:r>
    </w:p>
    <w:p w14:paraId="398868B7">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根据项目事故</w:t>
      </w:r>
      <w:r>
        <w:rPr>
          <w:rFonts w:hint="eastAsia" w:eastAsia="宋体" w:cs="Times New Roman"/>
          <w:b w:val="0"/>
          <w:bCs w:val="0"/>
          <w:color w:val="auto"/>
          <w:kern w:val="0"/>
          <w:sz w:val="24"/>
          <w:szCs w:val="24"/>
          <w:lang w:val="en-US" w:eastAsia="zh-CN"/>
        </w:rPr>
        <w:t>废水</w:t>
      </w:r>
      <w:r>
        <w:rPr>
          <w:rFonts w:hint="default" w:ascii="Times New Roman" w:hAnsi="Times New Roman" w:eastAsia="宋体" w:cs="Times New Roman"/>
          <w:b w:val="0"/>
          <w:bCs w:val="0"/>
          <w:color w:val="auto"/>
          <w:kern w:val="0"/>
          <w:sz w:val="24"/>
          <w:szCs w:val="24"/>
          <w:lang w:val="en-US" w:eastAsia="zh-CN"/>
        </w:rPr>
        <w:t>通过地面径流受纳</w:t>
      </w:r>
      <w:r>
        <w:rPr>
          <w:rFonts w:hint="default" w:ascii="Times New Roman" w:hAnsi="Times New Roman" w:eastAsia="宋体" w:cs="Times New Roman"/>
          <w:b w:val="0"/>
          <w:bCs w:val="0"/>
          <w:color w:val="auto"/>
          <w:kern w:val="0"/>
          <w:sz w:val="24"/>
          <w:szCs w:val="24"/>
        </w:rPr>
        <w:t>水体</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及下游水体水力特性，</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为小型水体，在事故状态下，掺杂事故废水的污染物进入</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后能在较短时间内达到充分混合状态，故本次采用《环境影响评价技术导则 地表水环境》</w:t>
      </w:r>
      <w:r>
        <w:rPr>
          <w:rFonts w:hint="eastAsia" w:eastAsia="宋体" w:cs="Times New Roman"/>
          <w:b w:val="0"/>
          <w:bCs w:val="0"/>
          <w:color w:val="auto"/>
          <w:kern w:val="0"/>
          <w:sz w:val="24"/>
          <w:szCs w:val="24"/>
          <w:lang w:eastAsia="zh-CN"/>
        </w:rPr>
        <w:t>（</w:t>
      </w:r>
      <w:r>
        <w:rPr>
          <w:rFonts w:hint="default" w:ascii="Times New Roman" w:hAnsi="Times New Roman" w:eastAsia="宋体" w:cs="Times New Roman"/>
          <w:b w:val="0"/>
          <w:bCs w:val="0"/>
          <w:color w:val="auto"/>
          <w:kern w:val="0"/>
          <w:sz w:val="24"/>
          <w:szCs w:val="24"/>
        </w:rPr>
        <w:t>HJ2.3-2018</w:t>
      </w:r>
      <w:r>
        <w:rPr>
          <w:rFonts w:hint="eastAsia" w:eastAsia="宋体" w:cs="Times New Roman"/>
          <w:b w:val="0"/>
          <w:bCs w:val="0"/>
          <w:color w:val="auto"/>
          <w:kern w:val="0"/>
          <w:sz w:val="24"/>
          <w:szCs w:val="24"/>
          <w:lang w:eastAsia="zh-CN"/>
        </w:rPr>
        <w:t>）</w:t>
      </w:r>
      <w:r>
        <w:rPr>
          <w:rFonts w:hint="default" w:ascii="Times New Roman" w:hAnsi="Times New Roman" w:eastAsia="宋体" w:cs="Times New Roman"/>
          <w:b w:val="0"/>
          <w:bCs w:val="0"/>
          <w:color w:val="auto"/>
          <w:kern w:val="0"/>
          <w:sz w:val="24"/>
          <w:szCs w:val="24"/>
        </w:rPr>
        <w:t>中推荐的河流一维水质模型预测</w:t>
      </w:r>
      <w:r>
        <w:rPr>
          <w:rFonts w:hint="eastAsia" w:ascii="Times New Roman" w:hAnsi="Times New Roman" w:eastAsia="宋体" w:cs="Times New Roman"/>
          <w:b w:val="0"/>
          <w:bCs w:val="0"/>
          <w:color w:val="auto"/>
          <w:kern w:val="0"/>
          <w:sz w:val="24"/>
          <w:szCs w:val="24"/>
          <w:lang w:val="en-US" w:eastAsia="zh-CN"/>
        </w:rPr>
        <w:t>总排口废水泄漏随</w:t>
      </w:r>
      <w:r>
        <w:rPr>
          <w:rFonts w:hint="default" w:ascii="Times New Roman" w:hAnsi="Times New Roman" w:eastAsia="宋体" w:cs="Times New Roman"/>
          <w:b w:val="0"/>
          <w:bCs w:val="0"/>
          <w:color w:val="auto"/>
          <w:kern w:val="0"/>
          <w:sz w:val="24"/>
          <w:szCs w:val="24"/>
          <w:lang w:val="en-US" w:eastAsia="zh-CN"/>
        </w:rPr>
        <w:t>雨水冲刷进入</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，废水中的</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在90%保证率最枯月平均流量下对</w:t>
      </w:r>
      <w:r>
        <w:rPr>
          <w:rFonts w:hint="eastAsia" w:ascii="Times New Roman" w:hAnsi="Times New Roman" w:eastAsia="宋体" w:cs="Times New Roman"/>
          <w:b w:val="0"/>
          <w:bCs w:val="0"/>
          <w:color w:val="auto"/>
          <w:kern w:val="0"/>
          <w:sz w:val="24"/>
          <w:szCs w:val="24"/>
          <w:lang w:val="en-US" w:eastAsia="zh-CN"/>
        </w:rPr>
        <w:t>派河</w:t>
      </w:r>
      <w:r>
        <w:rPr>
          <w:rFonts w:hint="default" w:ascii="Times New Roman" w:hAnsi="Times New Roman" w:eastAsia="宋体" w:cs="Times New Roman"/>
          <w:b w:val="0"/>
          <w:bCs w:val="0"/>
          <w:color w:val="auto"/>
          <w:kern w:val="0"/>
          <w:sz w:val="24"/>
          <w:szCs w:val="24"/>
        </w:rPr>
        <w:t>的影响。</w:t>
      </w:r>
    </w:p>
    <w:p w14:paraId="1C24DE33">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河流一维水质预测模型：</w:t>
      </w:r>
    </w:p>
    <w:p w14:paraId="4B4CF706">
      <w:pPr>
        <w:widowControl/>
        <w:spacing w:line="360" w:lineRule="auto"/>
        <w:jc w:val="center"/>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drawing>
          <wp:inline distT="0" distB="0" distL="114300" distR="114300">
            <wp:extent cx="1440815" cy="387985"/>
            <wp:effectExtent l="0" t="0" r="6985" b="1333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32"/>
                    <a:stretch>
                      <a:fillRect/>
                    </a:stretch>
                  </pic:blipFill>
                  <pic:spPr>
                    <a:xfrm>
                      <a:off x="0" y="0"/>
                      <a:ext cx="1440815" cy="387985"/>
                    </a:xfrm>
                    <a:prstGeom prst="rect">
                      <a:avLst/>
                    </a:prstGeom>
                    <a:noFill/>
                    <a:ln>
                      <a:noFill/>
                    </a:ln>
                  </pic:spPr>
                </pic:pic>
              </a:graphicData>
            </a:graphic>
          </wp:inline>
        </w:drawing>
      </w:r>
    </w:p>
    <w:p w14:paraId="4E484EBF">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完全混合模式为：</w:t>
      </w:r>
    </w:p>
    <w:p w14:paraId="20A79267">
      <w:pPr>
        <w:widowControl/>
        <w:spacing w:line="360" w:lineRule="auto"/>
        <w:jc w:val="center"/>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drawing>
          <wp:inline distT="0" distB="0" distL="114300" distR="114300">
            <wp:extent cx="1170305" cy="461010"/>
            <wp:effectExtent l="0" t="0" r="10795" b="1587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3"/>
                    <a:stretch>
                      <a:fillRect/>
                    </a:stretch>
                  </pic:blipFill>
                  <pic:spPr>
                    <a:xfrm>
                      <a:off x="0" y="0"/>
                      <a:ext cx="1170305" cy="461010"/>
                    </a:xfrm>
                    <a:prstGeom prst="rect">
                      <a:avLst/>
                    </a:prstGeom>
                    <a:noFill/>
                    <a:ln>
                      <a:noFill/>
                    </a:ln>
                  </pic:spPr>
                </pic:pic>
              </a:graphicData>
            </a:graphic>
          </wp:inline>
        </w:drawing>
      </w:r>
    </w:p>
    <w:p w14:paraId="5F294EB9">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式中：</w:t>
      </w:r>
    </w:p>
    <w:p w14:paraId="41EFB1D9">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C—污染物在河道中经衰减后不同断面的浓度，mg/L；</w:t>
      </w:r>
    </w:p>
    <w:p w14:paraId="6466F0E4">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C</w:t>
      </w:r>
      <w:r>
        <w:rPr>
          <w:rFonts w:hint="default" w:ascii="Times New Roman" w:hAnsi="Times New Roman" w:eastAsia="宋体" w:cs="Times New Roman"/>
          <w:b w:val="0"/>
          <w:bCs w:val="0"/>
          <w:color w:val="auto"/>
          <w:kern w:val="0"/>
          <w:sz w:val="24"/>
          <w:szCs w:val="24"/>
          <w:vertAlign w:val="subscript"/>
        </w:rPr>
        <w:t>0</w:t>
      </w:r>
      <w:r>
        <w:rPr>
          <w:rFonts w:hint="default" w:ascii="Times New Roman" w:hAnsi="Times New Roman" w:eastAsia="宋体" w:cs="Times New Roman"/>
          <w:b w:val="0"/>
          <w:bCs w:val="0"/>
          <w:color w:val="auto"/>
          <w:kern w:val="0"/>
          <w:sz w:val="24"/>
          <w:szCs w:val="24"/>
        </w:rPr>
        <w:t>—污染物排放浓度，mg/L；</w:t>
      </w:r>
    </w:p>
    <w:p w14:paraId="46C08389">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k—污染物衰减系数，d-1；污染物综合衰减系数K值是反映污染物沿程变化的综合系数，是计算水体纳污能力的一项重要参数，对于不同的污染物、不同的环境条件，其值是不同的。降解系数因河流流速、水质状况等有所差异。</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降解系数K值取0（无降解作用）。</w:t>
      </w:r>
    </w:p>
    <w:p w14:paraId="1174C936">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x—距离，m。</w:t>
      </w:r>
    </w:p>
    <w:p w14:paraId="12115213">
      <w:pPr>
        <w:widowControl/>
        <w:spacing w:line="360" w:lineRule="auto"/>
        <w:ind w:firstLine="720" w:firstLineChars="3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lang w:val="en-US" w:eastAsia="zh-CN"/>
        </w:rPr>
        <w:t>通过查阅资料</w:t>
      </w:r>
      <w:r>
        <w:rPr>
          <w:rFonts w:hint="default" w:ascii="Times New Roman" w:hAnsi="Times New Roman" w:eastAsia="宋体" w:cs="Times New Roman"/>
          <w:b w:val="0"/>
          <w:bCs w:val="0"/>
          <w:color w:val="auto"/>
          <w:kern w:val="0"/>
          <w:sz w:val="24"/>
          <w:szCs w:val="24"/>
        </w:rPr>
        <w:t>，本次评价选取结果如下：</w:t>
      </w:r>
    </w:p>
    <w:p w14:paraId="15F0EBDB">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u—平均流速，</w:t>
      </w:r>
      <w:r>
        <w:rPr>
          <w:rFonts w:hint="eastAsia" w:ascii="Times New Roman" w:hAnsi="Times New Roman" w:eastAsia="宋体" w:cs="Times New Roman"/>
          <w:b w:val="0"/>
          <w:bCs w:val="0"/>
          <w:color w:val="auto"/>
          <w:kern w:val="0"/>
          <w:sz w:val="24"/>
          <w:szCs w:val="24"/>
          <w:lang w:val="en-US" w:eastAsia="zh-CN"/>
        </w:rPr>
        <w:t>0.01</w:t>
      </w:r>
      <w:r>
        <w:rPr>
          <w:rFonts w:hint="default" w:ascii="Times New Roman" w:hAnsi="Times New Roman" w:eastAsia="宋体" w:cs="Times New Roman"/>
          <w:b w:val="0"/>
          <w:bCs w:val="0"/>
          <w:color w:val="auto"/>
          <w:kern w:val="0"/>
          <w:sz w:val="24"/>
          <w:szCs w:val="24"/>
        </w:rPr>
        <w:t>m/s；</w:t>
      </w:r>
    </w:p>
    <w:p w14:paraId="06339132">
      <w:pPr>
        <w:widowControl/>
        <w:spacing w:line="360" w:lineRule="auto"/>
        <w:ind w:firstLine="960" w:firstLineChars="4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Cp—污水排放浓度，mg/L；事故状态下，泄漏后污染物随雨水冲刷排入</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的</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浓度</w:t>
      </w:r>
      <w:r>
        <w:rPr>
          <w:rFonts w:hint="eastAsia" w:ascii="Times New Roman" w:hAnsi="Times New Roman" w:eastAsia="宋体" w:cs="Times New Roman"/>
          <w:b w:val="0"/>
          <w:bCs w:val="0"/>
          <w:color w:val="auto"/>
          <w:kern w:val="0"/>
          <w:sz w:val="24"/>
          <w:szCs w:val="24"/>
          <w:lang w:eastAsia="zh-CN"/>
        </w:rPr>
        <w:t>，</w:t>
      </w:r>
      <w:r>
        <w:rPr>
          <w:rFonts w:hint="eastAsia" w:ascii="Times New Roman" w:hAnsi="Times New Roman" w:eastAsia="宋体" w:cs="Times New Roman"/>
          <w:b w:val="0"/>
          <w:bCs w:val="0"/>
          <w:color w:val="auto"/>
          <w:kern w:val="0"/>
          <w:sz w:val="24"/>
          <w:szCs w:val="24"/>
          <w:lang w:val="en-US" w:eastAsia="zh-CN"/>
        </w:rPr>
        <w:t>本次取总排口氟化物排放限值1</w:t>
      </w:r>
      <w:r>
        <w:rPr>
          <w:rFonts w:hint="default" w:ascii="Times New Roman" w:hAnsi="Times New Roman" w:eastAsia="宋体" w:cs="Times New Roman"/>
          <w:b w:val="0"/>
          <w:bCs w:val="0"/>
          <w:color w:val="auto"/>
          <w:kern w:val="0"/>
          <w:sz w:val="24"/>
          <w:szCs w:val="24"/>
        </w:rPr>
        <w:t>mg/L。</w:t>
      </w:r>
    </w:p>
    <w:p w14:paraId="1746EFE3">
      <w:pPr>
        <w:widowControl/>
        <w:spacing w:line="360" w:lineRule="auto"/>
        <w:ind w:firstLine="720" w:firstLineChars="3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Q</w:t>
      </w:r>
      <w:r>
        <w:rPr>
          <w:rFonts w:hint="default" w:ascii="Times New Roman" w:hAnsi="Times New Roman" w:eastAsia="宋体" w:cs="Times New Roman"/>
          <w:b w:val="0"/>
          <w:bCs w:val="0"/>
          <w:color w:val="auto"/>
          <w:kern w:val="0"/>
          <w:sz w:val="24"/>
          <w:szCs w:val="24"/>
          <w:vertAlign w:val="subscript"/>
        </w:rPr>
        <w:t>P</w:t>
      </w:r>
      <w:r>
        <w:rPr>
          <w:rFonts w:hint="default" w:ascii="Times New Roman" w:hAnsi="Times New Roman" w:eastAsia="宋体" w:cs="Times New Roman"/>
          <w:b w:val="0"/>
          <w:bCs w:val="0"/>
          <w:color w:val="auto"/>
          <w:kern w:val="0"/>
          <w:sz w:val="24"/>
          <w:szCs w:val="24"/>
        </w:rPr>
        <w:t>—污水排放量，m</w:t>
      </w:r>
      <w:r>
        <w:rPr>
          <w:rFonts w:hint="default" w:ascii="Times New Roman" w:hAnsi="Times New Roman" w:eastAsia="宋体" w:cs="Times New Roman"/>
          <w:b w:val="0"/>
          <w:bCs w:val="0"/>
          <w:color w:val="auto"/>
          <w:kern w:val="0"/>
          <w:sz w:val="24"/>
          <w:szCs w:val="24"/>
          <w:vertAlign w:val="superscript"/>
        </w:rPr>
        <w:t>3</w:t>
      </w:r>
      <w:r>
        <w:rPr>
          <w:rFonts w:hint="default" w:ascii="Times New Roman" w:hAnsi="Times New Roman" w:eastAsia="宋体" w:cs="Times New Roman"/>
          <w:b w:val="0"/>
          <w:bCs w:val="0"/>
          <w:color w:val="auto"/>
          <w:kern w:val="0"/>
          <w:sz w:val="24"/>
          <w:szCs w:val="24"/>
        </w:rPr>
        <w:t>/s；本次评价按最不利情况考虑，事故时长按</w:t>
      </w:r>
      <w:r>
        <w:rPr>
          <w:rFonts w:hint="eastAsia" w:ascii="Times New Roman" w:hAnsi="Times New Roman" w:eastAsia="宋体" w:cs="Times New Roman"/>
          <w:b w:val="0"/>
          <w:bCs w:val="0"/>
          <w:color w:val="auto"/>
          <w:kern w:val="0"/>
          <w:sz w:val="24"/>
          <w:szCs w:val="24"/>
          <w:lang w:val="en-US" w:eastAsia="zh-CN"/>
        </w:rPr>
        <w:t>1</w:t>
      </w:r>
      <w:r>
        <w:rPr>
          <w:rFonts w:hint="default" w:ascii="Times New Roman" w:hAnsi="Times New Roman" w:eastAsia="宋体" w:cs="Times New Roman"/>
          <w:b w:val="0"/>
          <w:bCs w:val="0"/>
          <w:color w:val="auto"/>
          <w:kern w:val="0"/>
          <w:sz w:val="24"/>
          <w:szCs w:val="24"/>
        </w:rPr>
        <w:t>h计，则携带</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的事故废水流量为0.0</w:t>
      </w:r>
      <w:r>
        <w:rPr>
          <w:rFonts w:hint="default" w:ascii="Times New Roman" w:hAnsi="Times New Roman" w:eastAsia="宋体" w:cs="Times New Roman"/>
          <w:b w:val="0"/>
          <w:bCs w:val="0"/>
          <w:color w:val="auto"/>
          <w:kern w:val="0"/>
          <w:sz w:val="24"/>
          <w:szCs w:val="24"/>
          <w:lang w:val="en-US" w:eastAsia="zh-CN"/>
        </w:rPr>
        <w:t>1</w:t>
      </w:r>
      <w:r>
        <w:rPr>
          <w:rFonts w:hint="default" w:ascii="Times New Roman" w:hAnsi="Times New Roman" w:eastAsia="宋体" w:cs="Times New Roman"/>
          <w:b w:val="0"/>
          <w:bCs w:val="0"/>
          <w:color w:val="auto"/>
          <w:kern w:val="0"/>
          <w:sz w:val="24"/>
          <w:szCs w:val="24"/>
        </w:rPr>
        <w:t>m</w:t>
      </w:r>
      <w:r>
        <w:rPr>
          <w:rFonts w:hint="default" w:ascii="Times New Roman" w:hAnsi="Times New Roman" w:eastAsia="宋体" w:cs="Times New Roman"/>
          <w:b w:val="0"/>
          <w:bCs w:val="0"/>
          <w:color w:val="auto"/>
          <w:kern w:val="0"/>
          <w:sz w:val="24"/>
          <w:szCs w:val="24"/>
          <w:vertAlign w:val="superscript"/>
        </w:rPr>
        <w:t>3</w:t>
      </w:r>
      <w:r>
        <w:rPr>
          <w:rFonts w:hint="default" w:ascii="Times New Roman" w:hAnsi="Times New Roman" w:eastAsia="宋体" w:cs="Times New Roman"/>
          <w:b w:val="0"/>
          <w:bCs w:val="0"/>
          <w:color w:val="auto"/>
          <w:kern w:val="0"/>
          <w:sz w:val="24"/>
          <w:szCs w:val="24"/>
        </w:rPr>
        <w:t>/s。</w:t>
      </w:r>
    </w:p>
    <w:p w14:paraId="1992FA8C">
      <w:pPr>
        <w:widowControl/>
        <w:spacing w:line="360" w:lineRule="auto"/>
        <w:ind w:firstLine="720" w:firstLineChars="300"/>
        <w:jc w:val="both"/>
        <w:outlineLvl w:val="9"/>
        <w:rPr>
          <w:rFonts w:hint="default" w:ascii="Times New Roman" w:hAnsi="Times New Roman" w:eastAsia="宋体" w:cs="Times New Roman"/>
          <w:b w:val="0"/>
          <w:bCs w:val="0"/>
          <w:color w:val="auto"/>
          <w:kern w:val="0"/>
          <w:sz w:val="24"/>
          <w:szCs w:val="24"/>
          <w:lang w:val="en-US" w:eastAsia="zh-CN"/>
        </w:rPr>
      </w:pPr>
      <w:r>
        <w:rPr>
          <w:rFonts w:hint="default" w:ascii="Times New Roman" w:hAnsi="Times New Roman" w:eastAsia="宋体" w:cs="Times New Roman"/>
          <w:b w:val="0"/>
          <w:bCs w:val="0"/>
          <w:color w:val="auto"/>
          <w:kern w:val="0"/>
          <w:sz w:val="24"/>
          <w:szCs w:val="24"/>
        </w:rPr>
        <w:t>Ch—河水污染物浓度，mg/L；本次雨水入</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河段</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背景浓度</w:t>
      </w:r>
      <w:r>
        <w:rPr>
          <w:rFonts w:hint="default" w:ascii="Times New Roman" w:hAnsi="Times New Roman" w:eastAsia="宋体" w:cs="Times New Roman"/>
          <w:b w:val="0"/>
          <w:bCs w:val="0"/>
          <w:color w:val="auto"/>
          <w:kern w:val="0"/>
          <w:sz w:val="24"/>
          <w:szCs w:val="24"/>
          <w:lang w:val="en-US" w:eastAsia="zh-CN"/>
        </w:rPr>
        <w:t>参照</w:t>
      </w:r>
      <w:r>
        <w:rPr>
          <w:rFonts w:hint="eastAsia" w:ascii="Times New Roman" w:hAnsi="Times New Roman" w:eastAsia="宋体" w:cs="Times New Roman"/>
          <w:b w:val="0"/>
          <w:bCs w:val="0"/>
          <w:color w:val="auto"/>
          <w:kern w:val="0"/>
          <w:sz w:val="24"/>
          <w:szCs w:val="24"/>
          <w:lang w:val="en-US" w:eastAsia="zh-CN"/>
        </w:rPr>
        <w:t>取0.</w:t>
      </w:r>
      <w:r>
        <w:rPr>
          <w:rFonts w:hint="eastAsia" w:eastAsia="宋体" w:cs="Times New Roman"/>
          <w:b w:val="0"/>
          <w:bCs w:val="0"/>
          <w:color w:val="auto"/>
          <w:kern w:val="0"/>
          <w:sz w:val="24"/>
          <w:szCs w:val="24"/>
          <w:lang w:val="en-US" w:eastAsia="zh-CN"/>
        </w:rPr>
        <w:t>11</w:t>
      </w:r>
      <w:r>
        <w:rPr>
          <w:rFonts w:hint="default" w:ascii="Times New Roman" w:hAnsi="Times New Roman" w:eastAsia="宋体" w:cs="Times New Roman"/>
          <w:b w:val="0"/>
          <w:bCs w:val="0"/>
          <w:color w:val="auto"/>
          <w:kern w:val="0"/>
          <w:sz w:val="24"/>
          <w:szCs w:val="24"/>
          <w:lang w:val="en-US" w:eastAsia="zh-CN"/>
        </w:rPr>
        <w:t>mg/L。</w:t>
      </w:r>
    </w:p>
    <w:p w14:paraId="3C042AF2">
      <w:pPr>
        <w:widowControl/>
        <w:spacing w:line="360" w:lineRule="auto"/>
        <w:ind w:firstLine="720" w:firstLineChars="3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Qh—河流上游来水流量，m</w:t>
      </w:r>
      <w:r>
        <w:rPr>
          <w:rFonts w:hint="default" w:ascii="Times New Roman" w:hAnsi="Times New Roman" w:eastAsia="宋体" w:cs="Times New Roman"/>
          <w:b w:val="0"/>
          <w:bCs w:val="0"/>
          <w:color w:val="auto"/>
          <w:kern w:val="0"/>
          <w:sz w:val="24"/>
          <w:szCs w:val="24"/>
          <w:vertAlign w:val="superscript"/>
        </w:rPr>
        <w:t>3</w:t>
      </w:r>
      <w:r>
        <w:rPr>
          <w:rFonts w:hint="default" w:ascii="Times New Roman" w:hAnsi="Times New Roman" w:eastAsia="宋体" w:cs="Times New Roman"/>
          <w:b w:val="0"/>
          <w:bCs w:val="0"/>
          <w:color w:val="auto"/>
          <w:kern w:val="0"/>
          <w:sz w:val="24"/>
          <w:szCs w:val="24"/>
        </w:rPr>
        <w:t>/s；根据</w:t>
      </w:r>
      <w:r>
        <w:rPr>
          <w:rFonts w:hint="eastAsia" w:ascii="Times New Roman" w:hAnsi="Times New Roman" w:eastAsia="宋体" w:cs="Times New Roman"/>
          <w:b w:val="0"/>
          <w:bCs w:val="0"/>
          <w:color w:val="auto"/>
          <w:kern w:val="0"/>
          <w:sz w:val="24"/>
          <w:szCs w:val="24"/>
          <w:lang w:val="en-US" w:eastAsia="zh-CN"/>
        </w:rPr>
        <w:t>查阅相关资料</w:t>
      </w:r>
      <w:r>
        <w:rPr>
          <w:rFonts w:hint="default" w:ascii="Times New Roman" w:hAnsi="Times New Roman" w:eastAsia="宋体" w:cs="Times New Roman"/>
          <w:b w:val="0"/>
          <w:bCs w:val="0"/>
          <w:color w:val="auto"/>
          <w:kern w:val="0"/>
          <w:sz w:val="24"/>
          <w:szCs w:val="24"/>
        </w:rPr>
        <w:t>，90%保证率枯水期</w:t>
      </w:r>
      <w:r>
        <w:rPr>
          <w:rFonts w:hint="default" w:ascii="Times New Roman" w:hAnsi="Times New Roman" w:eastAsia="宋体" w:cs="Times New Roman"/>
          <w:b w:val="0"/>
          <w:bCs w:val="0"/>
          <w:color w:val="auto"/>
          <w:kern w:val="0"/>
          <w:sz w:val="24"/>
          <w:szCs w:val="24"/>
          <w:lang w:val="en-US" w:eastAsia="en-US"/>
        </w:rPr>
        <w:t>店埠河</w:t>
      </w:r>
      <w:r>
        <w:rPr>
          <w:rFonts w:hint="default" w:ascii="Times New Roman" w:hAnsi="Times New Roman" w:eastAsia="宋体" w:cs="Times New Roman"/>
          <w:b w:val="0"/>
          <w:bCs w:val="0"/>
          <w:color w:val="auto"/>
          <w:kern w:val="0"/>
          <w:sz w:val="24"/>
          <w:szCs w:val="24"/>
        </w:rPr>
        <w:t>流量约</w:t>
      </w:r>
      <w:r>
        <w:rPr>
          <w:rFonts w:hint="eastAsia" w:ascii="Times New Roman" w:hAnsi="Times New Roman" w:eastAsia="宋体" w:cs="Times New Roman"/>
          <w:b w:val="0"/>
          <w:bCs w:val="0"/>
          <w:color w:val="auto"/>
          <w:kern w:val="0"/>
          <w:sz w:val="24"/>
          <w:szCs w:val="24"/>
          <w:lang w:val="en-US" w:eastAsia="zh-CN"/>
        </w:rPr>
        <w:t>5.48</w:t>
      </w:r>
      <w:r>
        <w:rPr>
          <w:rFonts w:hint="default" w:ascii="Times New Roman" w:hAnsi="Times New Roman" w:eastAsia="宋体" w:cs="Times New Roman"/>
          <w:b w:val="0"/>
          <w:bCs w:val="0"/>
          <w:color w:val="auto"/>
          <w:kern w:val="0"/>
          <w:sz w:val="24"/>
          <w:szCs w:val="24"/>
        </w:rPr>
        <w:t>m</w:t>
      </w:r>
      <w:r>
        <w:rPr>
          <w:rFonts w:hint="default" w:ascii="Times New Roman" w:hAnsi="Times New Roman" w:eastAsia="宋体" w:cs="Times New Roman"/>
          <w:b w:val="0"/>
          <w:bCs w:val="0"/>
          <w:color w:val="auto"/>
          <w:kern w:val="0"/>
          <w:sz w:val="24"/>
          <w:szCs w:val="24"/>
          <w:vertAlign w:val="superscript"/>
        </w:rPr>
        <w:t>3</w:t>
      </w:r>
      <w:r>
        <w:rPr>
          <w:rFonts w:hint="default" w:ascii="Times New Roman" w:hAnsi="Times New Roman" w:eastAsia="宋体" w:cs="Times New Roman"/>
          <w:b w:val="0"/>
          <w:bCs w:val="0"/>
          <w:color w:val="auto"/>
          <w:kern w:val="0"/>
          <w:sz w:val="24"/>
          <w:szCs w:val="24"/>
        </w:rPr>
        <w:t>/s。</w:t>
      </w:r>
    </w:p>
    <w:p w14:paraId="18CB5BF4">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lang w:val="en-US" w:eastAsia="zh-CN"/>
        </w:rPr>
        <w:t>②</w:t>
      </w:r>
      <w:r>
        <w:rPr>
          <w:rFonts w:hint="default" w:ascii="Times New Roman" w:hAnsi="Times New Roman" w:eastAsia="宋体" w:cs="Times New Roman"/>
          <w:b w:val="0"/>
          <w:bCs w:val="0"/>
          <w:color w:val="auto"/>
          <w:kern w:val="0"/>
          <w:sz w:val="24"/>
          <w:szCs w:val="24"/>
        </w:rPr>
        <w:t>事故工况下对</w:t>
      </w:r>
      <w:r>
        <w:rPr>
          <w:rFonts w:hint="eastAsia" w:ascii="Times New Roman" w:hAnsi="Times New Roman" w:eastAsia="宋体" w:cs="Times New Roman"/>
          <w:b w:val="0"/>
          <w:bCs w:val="0"/>
          <w:color w:val="auto"/>
          <w:kern w:val="0"/>
          <w:sz w:val="24"/>
          <w:szCs w:val="24"/>
          <w:lang w:val="en-US" w:eastAsia="zh-CN"/>
        </w:rPr>
        <w:t>派河</w:t>
      </w:r>
      <w:r>
        <w:rPr>
          <w:rFonts w:hint="default" w:ascii="Times New Roman" w:hAnsi="Times New Roman" w:eastAsia="宋体" w:cs="Times New Roman"/>
          <w:b w:val="0"/>
          <w:bCs w:val="0"/>
          <w:color w:val="auto"/>
          <w:kern w:val="0"/>
          <w:sz w:val="24"/>
          <w:szCs w:val="24"/>
        </w:rPr>
        <w:t>的影响</w:t>
      </w:r>
    </w:p>
    <w:p w14:paraId="7DDF292B">
      <w:pPr>
        <w:widowControl/>
        <w:spacing w:line="360" w:lineRule="auto"/>
        <w:ind w:firstLine="480" w:firstLineChars="200"/>
        <w:jc w:val="left"/>
        <w:outlineLvl w:val="9"/>
        <w:rPr>
          <w:rFonts w:hint="default" w:ascii="Times New Roman" w:hAnsi="Times New Roman" w:eastAsia="宋体" w:cs="Times New Roman"/>
          <w:b w:val="0"/>
          <w:bCs w:val="0"/>
          <w:color w:val="auto"/>
          <w:kern w:val="0"/>
          <w:sz w:val="24"/>
          <w:szCs w:val="24"/>
        </w:rPr>
      </w:pPr>
      <w:r>
        <w:rPr>
          <w:rFonts w:hint="default" w:ascii="Times New Roman" w:hAnsi="Times New Roman" w:eastAsia="宋体" w:cs="Times New Roman"/>
          <w:b w:val="0"/>
          <w:bCs w:val="0"/>
          <w:color w:val="auto"/>
          <w:kern w:val="0"/>
          <w:sz w:val="24"/>
          <w:szCs w:val="24"/>
        </w:rPr>
        <w:t>事故工况下，本项目</w:t>
      </w:r>
      <w:r>
        <w:rPr>
          <w:rFonts w:hint="eastAsia" w:ascii="Times New Roman" w:hAnsi="Times New Roman" w:eastAsia="宋体" w:cs="Times New Roman"/>
          <w:b w:val="0"/>
          <w:bCs w:val="0"/>
          <w:color w:val="auto"/>
          <w:kern w:val="0"/>
          <w:sz w:val="24"/>
          <w:szCs w:val="24"/>
          <w:lang w:val="en-US" w:eastAsia="zh-CN"/>
        </w:rPr>
        <w:t>总排口含氟废水</w:t>
      </w:r>
      <w:r>
        <w:rPr>
          <w:rFonts w:hint="default" w:ascii="Times New Roman" w:hAnsi="Times New Roman" w:eastAsia="宋体" w:cs="Times New Roman"/>
          <w:b w:val="0"/>
          <w:bCs w:val="0"/>
          <w:color w:val="auto"/>
          <w:kern w:val="0"/>
          <w:sz w:val="24"/>
          <w:szCs w:val="24"/>
        </w:rPr>
        <w:t>泄漏后污染物随雨水冲刷排入</w:t>
      </w:r>
      <w:r>
        <w:rPr>
          <w:rFonts w:hint="eastAsia" w:ascii="Times New Roman" w:hAnsi="Times New Roman" w:eastAsia="宋体" w:cs="Times New Roman"/>
          <w:b w:val="0"/>
          <w:bCs w:val="0"/>
          <w:color w:val="auto"/>
          <w:kern w:val="0"/>
          <w:sz w:val="24"/>
          <w:szCs w:val="24"/>
          <w:lang w:val="en-US" w:eastAsia="zh-CN"/>
        </w:rPr>
        <w:t>派河</w:t>
      </w:r>
      <w:r>
        <w:rPr>
          <w:rFonts w:hint="default" w:ascii="Times New Roman" w:hAnsi="Times New Roman" w:eastAsia="宋体" w:cs="Times New Roman"/>
          <w:b w:val="0"/>
          <w:bCs w:val="0"/>
          <w:color w:val="auto"/>
          <w:kern w:val="0"/>
          <w:sz w:val="24"/>
          <w:szCs w:val="24"/>
        </w:rPr>
        <w:t>后，事故水入河对</w:t>
      </w:r>
      <w:r>
        <w:rPr>
          <w:rFonts w:hint="eastAsia" w:ascii="Times New Roman" w:hAnsi="Times New Roman" w:eastAsia="宋体" w:cs="Times New Roman"/>
          <w:b w:val="0"/>
          <w:bCs w:val="0"/>
          <w:color w:val="auto"/>
          <w:kern w:val="0"/>
          <w:sz w:val="24"/>
          <w:szCs w:val="24"/>
          <w:lang w:val="en-US" w:eastAsia="zh-CN"/>
        </w:rPr>
        <w:t>派河</w:t>
      </w:r>
      <w:r>
        <w:rPr>
          <w:rFonts w:hint="default" w:ascii="Times New Roman" w:hAnsi="Times New Roman" w:eastAsia="宋体" w:cs="Times New Roman"/>
          <w:b w:val="0"/>
          <w:bCs w:val="0"/>
          <w:color w:val="auto"/>
          <w:kern w:val="0"/>
          <w:sz w:val="24"/>
          <w:szCs w:val="24"/>
        </w:rPr>
        <w:t>的影响预测结果</w:t>
      </w:r>
      <w:r>
        <w:rPr>
          <w:rFonts w:hint="default" w:ascii="Times New Roman" w:hAnsi="Times New Roman" w:eastAsia="宋体" w:cs="Times New Roman"/>
          <w:b w:val="0"/>
          <w:bCs w:val="0"/>
          <w:color w:val="auto"/>
          <w:kern w:val="0"/>
          <w:sz w:val="24"/>
          <w:szCs w:val="24"/>
          <w:lang w:val="en-US" w:eastAsia="zh-CN"/>
        </w:rPr>
        <w:t>如下</w:t>
      </w:r>
      <w:r>
        <w:rPr>
          <w:rFonts w:hint="default" w:ascii="Times New Roman" w:hAnsi="Times New Roman" w:eastAsia="宋体" w:cs="Times New Roman"/>
          <w:b w:val="0"/>
          <w:bCs w:val="0"/>
          <w:color w:val="auto"/>
          <w:kern w:val="0"/>
          <w:sz w:val="24"/>
          <w:szCs w:val="24"/>
        </w:rPr>
        <w:t>。</w:t>
      </w:r>
    </w:p>
    <w:p w14:paraId="2B718A4A">
      <w:pPr>
        <w:bidi w:val="0"/>
        <w:jc w:val="center"/>
        <w:rPr>
          <w:rFonts w:hint="default"/>
          <w:b/>
          <w:bCs/>
        </w:rPr>
      </w:pPr>
      <w:r>
        <w:rPr>
          <w:rFonts w:hint="default"/>
          <w:b/>
          <w:bCs/>
        </w:rPr>
        <w:t>表</w:t>
      </w:r>
      <w:r>
        <w:rPr>
          <w:rFonts w:hint="default"/>
          <w:b/>
          <w:bCs/>
          <w:lang w:val="en-US" w:eastAsia="zh-CN"/>
        </w:rPr>
        <w:t>6.2.6-1</w:t>
      </w:r>
      <w:r>
        <w:rPr>
          <w:rFonts w:hint="eastAsia"/>
          <w:b/>
          <w:bCs/>
          <w:lang w:val="en-US" w:eastAsia="zh-CN"/>
        </w:rPr>
        <w:t>2</w:t>
      </w:r>
      <w:r>
        <w:rPr>
          <w:rFonts w:hint="default"/>
          <w:b/>
          <w:bCs/>
        </w:rPr>
        <w:t xml:space="preserve"> 事故工况下雨水入</w:t>
      </w:r>
      <w:r>
        <w:rPr>
          <w:rFonts w:hint="default"/>
          <w:b/>
          <w:bCs/>
          <w:lang w:val="en-US" w:eastAsia="zh-CN"/>
        </w:rPr>
        <w:t>店埠河</w:t>
      </w:r>
      <w:r>
        <w:rPr>
          <w:rFonts w:hint="default"/>
          <w:b/>
          <w:bCs/>
        </w:rPr>
        <w:t>水质</w:t>
      </w:r>
      <w:r>
        <w:rPr>
          <w:rFonts w:hint="eastAsia"/>
          <w:b/>
          <w:bCs/>
          <w:lang w:val="en-US" w:eastAsia="zh-CN"/>
        </w:rPr>
        <w:t>影响</w:t>
      </w:r>
      <w:r>
        <w:rPr>
          <w:rFonts w:hint="default"/>
          <w:b/>
          <w:bCs/>
        </w:rPr>
        <w:t>预测结果</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5"/>
        <w:gridCol w:w="1409"/>
        <w:gridCol w:w="3037"/>
        <w:gridCol w:w="3037"/>
      </w:tblGrid>
      <w:tr w14:paraId="029C93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1745" w:type="dxa"/>
            <w:vMerge w:val="restart"/>
            <w:noWrap w:val="0"/>
            <w:vAlign w:val="center"/>
          </w:tcPr>
          <w:p w14:paraId="0569D87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default" w:ascii="Times New Roman" w:hAnsi="Times New Roman" w:eastAsia="宋体" w:cs="Times New Roman"/>
                <w:b/>
                <w:bCs/>
                <w:color w:val="auto"/>
                <w:sz w:val="21"/>
                <w:szCs w:val="18"/>
                <w:lang w:eastAsia="zh-CN"/>
              </w:rPr>
              <w:t>断面</w:t>
            </w:r>
          </w:p>
        </w:tc>
        <w:tc>
          <w:tcPr>
            <w:tcW w:w="1409" w:type="dxa"/>
            <w:vMerge w:val="restart"/>
            <w:noWrap w:val="0"/>
            <w:vAlign w:val="center"/>
          </w:tcPr>
          <w:p w14:paraId="6A03A9E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default" w:ascii="Times New Roman" w:hAnsi="Times New Roman" w:eastAsia="宋体" w:cs="Times New Roman"/>
                <w:b/>
                <w:bCs/>
                <w:color w:val="auto"/>
                <w:sz w:val="21"/>
                <w:szCs w:val="18"/>
                <w:lang w:eastAsia="zh-CN"/>
              </w:rPr>
              <w:t>距离（m）</w:t>
            </w:r>
          </w:p>
        </w:tc>
        <w:tc>
          <w:tcPr>
            <w:tcW w:w="3037" w:type="dxa"/>
            <w:noWrap w:val="0"/>
            <w:vAlign w:val="center"/>
          </w:tcPr>
          <w:p w14:paraId="4238F4D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default" w:ascii="Times New Roman" w:hAnsi="Times New Roman" w:eastAsia="宋体" w:cs="Times New Roman"/>
                <w:b/>
                <w:bCs/>
                <w:color w:val="auto"/>
                <w:sz w:val="21"/>
                <w:szCs w:val="18"/>
                <w:lang w:eastAsia="zh-CN"/>
              </w:rPr>
              <w:t>背景浓度</w:t>
            </w:r>
          </w:p>
        </w:tc>
        <w:tc>
          <w:tcPr>
            <w:tcW w:w="3037" w:type="dxa"/>
            <w:noWrap w:val="0"/>
            <w:vAlign w:val="center"/>
          </w:tcPr>
          <w:p w14:paraId="03C65CA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default" w:ascii="Times New Roman" w:hAnsi="Times New Roman" w:eastAsia="宋体" w:cs="Times New Roman"/>
                <w:b/>
                <w:bCs/>
                <w:color w:val="auto"/>
                <w:sz w:val="21"/>
                <w:szCs w:val="18"/>
                <w:lang w:eastAsia="zh-CN"/>
              </w:rPr>
              <w:t>叠加浓度</w:t>
            </w:r>
          </w:p>
        </w:tc>
      </w:tr>
      <w:tr w14:paraId="5136F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0D5C73D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p>
        </w:tc>
        <w:tc>
          <w:tcPr>
            <w:tcW w:w="1409" w:type="dxa"/>
            <w:vMerge w:val="continue"/>
            <w:noWrap w:val="0"/>
            <w:vAlign w:val="center"/>
          </w:tcPr>
          <w:p w14:paraId="0C0B5F2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p>
        </w:tc>
        <w:tc>
          <w:tcPr>
            <w:tcW w:w="3037" w:type="dxa"/>
            <w:noWrap/>
            <w:vAlign w:val="center"/>
          </w:tcPr>
          <w:p w14:paraId="5639F08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eastAsia" w:ascii="Times New Roman" w:hAnsi="Times New Roman" w:eastAsia="宋体" w:cs="Times New Roman"/>
                <w:b/>
                <w:bCs/>
                <w:color w:val="auto"/>
                <w:sz w:val="21"/>
                <w:szCs w:val="18"/>
                <w:lang w:val="en-US" w:eastAsia="zh-CN"/>
              </w:rPr>
              <w:t>氟化物</w:t>
            </w:r>
            <w:r>
              <w:rPr>
                <w:rFonts w:hint="default" w:ascii="Times New Roman" w:hAnsi="Times New Roman" w:eastAsia="宋体" w:cs="Times New Roman"/>
                <w:b/>
                <w:bCs/>
                <w:color w:val="auto"/>
                <w:sz w:val="21"/>
                <w:szCs w:val="18"/>
                <w:lang w:eastAsia="zh-CN"/>
              </w:rPr>
              <w:t>（mg/L）</w:t>
            </w:r>
          </w:p>
        </w:tc>
        <w:tc>
          <w:tcPr>
            <w:tcW w:w="3037" w:type="dxa"/>
            <w:noWrap/>
            <w:vAlign w:val="center"/>
          </w:tcPr>
          <w:p w14:paraId="1C5A775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b/>
                <w:bCs/>
                <w:color w:val="auto"/>
                <w:sz w:val="21"/>
                <w:szCs w:val="18"/>
                <w:lang w:eastAsia="zh-CN"/>
              </w:rPr>
            </w:pPr>
            <w:r>
              <w:rPr>
                <w:rFonts w:hint="eastAsia" w:ascii="Times New Roman" w:hAnsi="Times New Roman" w:eastAsia="宋体" w:cs="Times New Roman"/>
                <w:b/>
                <w:bCs/>
                <w:color w:val="auto"/>
                <w:sz w:val="21"/>
                <w:szCs w:val="18"/>
                <w:lang w:val="en-US" w:eastAsia="zh-CN"/>
              </w:rPr>
              <w:t>氟化物</w:t>
            </w:r>
            <w:r>
              <w:rPr>
                <w:rFonts w:hint="default" w:ascii="Times New Roman" w:hAnsi="Times New Roman" w:eastAsia="宋体" w:cs="Times New Roman"/>
                <w:b/>
                <w:bCs/>
                <w:color w:val="auto"/>
                <w:sz w:val="21"/>
                <w:szCs w:val="18"/>
                <w:lang w:eastAsia="zh-CN"/>
              </w:rPr>
              <w:t>（mg/L）</w:t>
            </w:r>
          </w:p>
        </w:tc>
      </w:tr>
      <w:tr w14:paraId="5C4C3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noWrap w:val="0"/>
            <w:vAlign w:val="center"/>
          </w:tcPr>
          <w:p w14:paraId="307D70B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雨水</w:t>
            </w:r>
            <w:r>
              <w:rPr>
                <w:rFonts w:hint="default" w:ascii="Times New Roman" w:hAnsi="Times New Roman" w:eastAsia="宋体" w:cs="Times New Roman"/>
                <w:color w:val="auto"/>
                <w:sz w:val="21"/>
                <w:szCs w:val="18"/>
                <w:lang w:eastAsia="zh-CN"/>
              </w:rPr>
              <w:t>入</w:t>
            </w:r>
            <w:r>
              <w:rPr>
                <w:rFonts w:hint="default" w:ascii="Times New Roman" w:hAnsi="Times New Roman" w:eastAsia="宋体" w:cs="Times New Roman"/>
                <w:color w:val="auto"/>
                <w:sz w:val="21"/>
                <w:szCs w:val="18"/>
                <w:lang w:val="en-US" w:eastAsia="zh-CN"/>
              </w:rPr>
              <w:t>店埠河</w:t>
            </w:r>
            <w:r>
              <w:rPr>
                <w:rFonts w:hint="default" w:ascii="Times New Roman" w:hAnsi="Times New Roman" w:eastAsia="宋体" w:cs="Times New Roman"/>
                <w:color w:val="auto"/>
                <w:sz w:val="21"/>
                <w:szCs w:val="18"/>
                <w:lang w:eastAsia="zh-CN"/>
              </w:rPr>
              <w:t>点</w:t>
            </w:r>
          </w:p>
        </w:tc>
        <w:tc>
          <w:tcPr>
            <w:tcW w:w="1409" w:type="dxa"/>
            <w:noWrap w:val="0"/>
            <w:vAlign w:val="center"/>
          </w:tcPr>
          <w:p w14:paraId="7BBB45C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0</w:t>
            </w:r>
          </w:p>
        </w:tc>
        <w:tc>
          <w:tcPr>
            <w:tcW w:w="3037" w:type="dxa"/>
            <w:vMerge w:val="restart"/>
            <w:noWrap w:val="0"/>
            <w:vAlign w:val="center"/>
          </w:tcPr>
          <w:p w14:paraId="79DCE9F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imes New Roman" w:hAnsi="Times New Roman" w:eastAsia="宋体" w:cs="Times New Roman"/>
                <w:color w:val="auto"/>
                <w:sz w:val="21"/>
                <w:szCs w:val="18"/>
                <w:lang w:val="en-US" w:eastAsia="zh-CN"/>
              </w:rPr>
            </w:pPr>
            <w:r>
              <w:rPr>
                <w:rFonts w:hint="default" w:ascii="Times New Roman" w:hAnsi="Times New Roman" w:eastAsia="宋体" w:cs="Times New Roman"/>
                <w:color w:val="auto"/>
                <w:sz w:val="21"/>
                <w:szCs w:val="18"/>
                <w:lang w:val="en-US" w:eastAsia="zh-CN"/>
              </w:rPr>
              <w:t>0.</w:t>
            </w:r>
            <w:r>
              <w:rPr>
                <w:rFonts w:hint="eastAsia" w:ascii="Times New Roman" w:hAnsi="Times New Roman" w:eastAsia="宋体" w:cs="Times New Roman"/>
                <w:color w:val="auto"/>
                <w:sz w:val="21"/>
                <w:szCs w:val="18"/>
                <w:lang w:val="en-US" w:eastAsia="zh-CN"/>
              </w:rPr>
              <w:t>7</w:t>
            </w:r>
            <w:r>
              <w:rPr>
                <w:rFonts w:hint="eastAsia"/>
                <w:color w:val="auto"/>
                <w:sz w:val="21"/>
                <w:szCs w:val="21"/>
                <w:lang w:val="en-US" w:eastAsia="zh-CN"/>
              </w:rPr>
              <w:t>*</w:t>
            </w:r>
          </w:p>
        </w:tc>
        <w:tc>
          <w:tcPr>
            <w:tcW w:w="3037" w:type="dxa"/>
            <w:noWrap w:val="0"/>
            <w:vAlign w:val="center"/>
          </w:tcPr>
          <w:p w14:paraId="7F16EB6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val="en-US"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4C514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restart"/>
            <w:noWrap w:val="0"/>
            <w:vAlign w:val="center"/>
          </w:tcPr>
          <w:p w14:paraId="68920C9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val="en-US" w:eastAsia="zh-CN"/>
              </w:rPr>
            </w:pPr>
            <w:r>
              <w:rPr>
                <w:rFonts w:hint="default" w:ascii="Times New Roman" w:hAnsi="Times New Roman" w:eastAsia="宋体" w:cs="Times New Roman"/>
                <w:color w:val="auto"/>
                <w:sz w:val="21"/>
                <w:szCs w:val="18"/>
                <w:lang w:eastAsia="zh-CN"/>
              </w:rPr>
              <w:t>入</w:t>
            </w:r>
            <w:r>
              <w:rPr>
                <w:rFonts w:hint="default" w:ascii="Times New Roman" w:hAnsi="Times New Roman" w:eastAsia="宋体" w:cs="Times New Roman"/>
                <w:color w:val="auto"/>
                <w:sz w:val="21"/>
                <w:szCs w:val="18"/>
                <w:lang w:val="en-US" w:eastAsia="zh-CN"/>
              </w:rPr>
              <w:t>店埠河</w:t>
            </w:r>
            <w:r>
              <w:rPr>
                <w:rFonts w:hint="default" w:ascii="Times New Roman" w:hAnsi="Times New Roman" w:eastAsia="宋体" w:cs="Times New Roman"/>
                <w:color w:val="auto"/>
                <w:sz w:val="21"/>
                <w:szCs w:val="18"/>
                <w:lang w:eastAsia="zh-CN"/>
              </w:rPr>
              <w:t>点</w:t>
            </w:r>
            <w:r>
              <w:rPr>
                <w:rFonts w:hint="eastAsia" w:ascii="Times New Roman" w:hAnsi="Times New Roman" w:eastAsia="宋体" w:cs="Times New Roman"/>
                <w:color w:val="auto"/>
                <w:sz w:val="21"/>
                <w:szCs w:val="18"/>
                <w:lang w:val="en-US" w:eastAsia="zh-CN"/>
              </w:rPr>
              <w:t>下游</w:t>
            </w:r>
          </w:p>
        </w:tc>
        <w:tc>
          <w:tcPr>
            <w:tcW w:w="1409" w:type="dxa"/>
            <w:noWrap w:val="0"/>
            <w:vAlign w:val="center"/>
          </w:tcPr>
          <w:p w14:paraId="0258D89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100</w:t>
            </w:r>
          </w:p>
        </w:tc>
        <w:tc>
          <w:tcPr>
            <w:tcW w:w="3037" w:type="dxa"/>
            <w:vMerge w:val="continue"/>
            <w:noWrap w:val="0"/>
            <w:vAlign w:val="center"/>
          </w:tcPr>
          <w:p w14:paraId="621CDA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49A978A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26502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345649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259B9F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200</w:t>
            </w:r>
          </w:p>
        </w:tc>
        <w:tc>
          <w:tcPr>
            <w:tcW w:w="3037" w:type="dxa"/>
            <w:vMerge w:val="continue"/>
            <w:noWrap w:val="0"/>
            <w:vAlign w:val="center"/>
          </w:tcPr>
          <w:p w14:paraId="41A0EAC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02B4C10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19CB9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7B6E474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42D1EFB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500</w:t>
            </w:r>
          </w:p>
        </w:tc>
        <w:tc>
          <w:tcPr>
            <w:tcW w:w="3037" w:type="dxa"/>
            <w:vMerge w:val="continue"/>
            <w:noWrap w:val="0"/>
            <w:vAlign w:val="center"/>
          </w:tcPr>
          <w:p w14:paraId="5C272C6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5386A31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41E4C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25D9CE3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6272A9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1000</w:t>
            </w:r>
          </w:p>
        </w:tc>
        <w:tc>
          <w:tcPr>
            <w:tcW w:w="3037" w:type="dxa"/>
            <w:vMerge w:val="continue"/>
            <w:noWrap w:val="0"/>
            <w:vAlign w:val="center"/>
          </w:tcPr>
          <w:p w14:paraId="7C082A9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3484EA1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3C404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6460C8D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0377CB5C">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2000</w:t>
            </w:r>
          </w:p>
        </w:tc>
        <w:tc>
          <w:tcPr>
            <w:tcW w:w="3037" w:type="dxa"/>
            <w:vMerge w:val="continue"/>
            <w:noWrap w:val="0"/>
            <w:vAlign w:val="center"/>
          </w:tcPr>
          <w:p w14:paraId="3B575C2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01C4671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5C3CE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75F9ABF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4AC0973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3000</w:t>
            </w:r>
          </w:p>
        </w:tc>
        <w:tc>
          <w:tcPr>
            <w:tcW w:w="3037" w:type="dxa"/>
            <w:vMerge w:val="continue"/>
            <w:noWrap w:val="0"/>
            <w:vAlign w:val="center"/>
          </w:tcPr>
          <w:p w14:paraId="409C810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6DDB356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733CB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28AC7508">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3B4DE4E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default" w:ascii="Times New Roman" w:hAnsi="Times New Roman" w:eastAsia="宋体" w:cs="Times New Roman"/>
                <w:color w:val="auto"/>
                <w:sz w:val="21"/>
                <w:szCs w:val="18"/>
                <w:lang w:eastAsia="zh-CN"/>
              </w:rPr>
              <w:t>4000</w:t>
            </w:r>
          </w:p>
        </w:tc>
        <w:tc>
          <w:tcPr>
            <w:tcW w:w="3037" w:type="dxa"/>
            <w:vMerge w:val="continue"/>
            <w:noWrap w:val="0"/>
            <w:vAlign w:val="center"/>
          </w:tcPr>
          <w:p w14:paraId="4B22868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20C4C7F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r w14:paraId="69CD9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45" w:type="dxa"/>
            <w:vMerge w:val="continue"/>
            <w:noWrap w:val="0"/>
            <w:vAlign w:val="center"/>
          </w:tcPr>
          <w:p w14:paraId="5540A204">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1409" w:type="dxa"/>
            <w:noWrap w:val="0"/>
            <w:vAlign w:val="center"/>
          </w:tcPr>
          <w:p w14:paraId="45A5EB5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val="en-US" w:eastAsia="zh-CN"/>
              </w:rPr>
            </w:pPr>
            <w:r>
              <w:rPr>
                <w:rFonts w:hint="default" w:ascii="Times New Roman" w:hAnsi="Times New Roman" w:eastAsia="宋体" w:cs="Times New Roman"/>
                <w:color w:val="auto"/>
                <w:sz w:val="21"/>
                <w:szCs w:val="18"/>
                <w:lang w:val="en-US" w:eastAsia="zh-CN"/>
              </w:rPr>
              <w:t>5000</w:t>
            </w:r>
          </w:p>
        </w:tc>
        <w:tc>
          <w:tcPr>
            <w:tcW w:w="3037" w:type="dxa"/>
            <w:vMerge w:val="continue"/>
            <w:noWrap w:val="0"/>
            <w:vAlign w:val="center"/>
          </w:tcPr>
          <w:p w14:paraId="196BA77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eastAsia="zh-CN"/>
              </w:rPr>
            </w:pPr>
          </w:p>
        </w:tc>
        <w:tc>
          <w:tcPr>
            <w:tcW w:w="3037" w:type="dxa"/>
            <w:noWrap w:val="0"/>
            <w:vAlign w:val="center"/>
          </w:tcPr>
          <w:p w14:paraId="251A196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color w:val="auto"/>
                <w:sz w:val="21"/>
                <w:szCs w:val="18"/>
                <w:lang w:val="en-US" w:eastAsia="zh-CN"/>
              </w:rPr>
            </w:pPr>
            <w:r>
              <w:rPr>
                <w:rFonts w:hint="eastAsia" w:ascii="Times New Roman" w:hAnsi="Times New Roman" w:eastAsia="宋体" w:cs="Times New Roman"/>
                <w:color w:val="auto"/>
                <w:sz w:val="21"/>
                <w:szCs w:val="18"/>
                <w:lang w:val="en-US" w:eastAsia="zh-CN"/>
              </w:rPr>
              <w:t>0.</w:t>
            </w:r>
            <w:r>
              <w:rPr>
                <w:rFonts w:hint="eastAsia" w:eastAsia="宋体" w:cs="Times New Roman"/>
                <w:color w:val="auto"/>
                <w:sz w:val="21"/>
                <w:szCs w:val="18"/>
                <w:lang w:val="en-US" w:eastAsia="zh-CN"/>
              </w:rPr>
              <w:t>11</w:t>
            </w:r>
            <w:r>
              <w:rPr>
                <w:rFonts w:hint="eastAsia" w:ascii="Times New Roman" w:hAnsi="Times New Roman" w:eastAsia="宋体" w:cs="Times New Roman"/>
                <w:color w:val="auto"/>
                <w:sz w:val="21"/>
                <w:szCs w:val="18"/>
                <w:lang w:val="en-US" w:eastAsia="zh-CN"/>
              </w:rPr>
              <w:t>14</w:t>
            </w:r>
          </w:p>
        </w:tc>
      </w:tr>
    </w:tbl>
    <w:p w14:paraId="11B38C73">
      <w:pPr>
        <w:spacing w:line="240" w:lineRule="auto"/>
        <w:ind w:left="0" w:leftChars="0" w:firstLine="0" w:firstLineChars="0"/>
        <w:rPr>
          <w:rFonts w:hint="eastAsia" w:ascii="Times New Roman" w:hAnsi="Times New Roman" w:eastAsia="宋体" w:cs="Times New Roman"/>
          <w:b/>
          <w:bCs/>
          <w:color w:val="auto"/>
          <w:kern w:val="0"/>
          <w:sz w:val="24"/>
          <w:szCs w:val="24"/>
          <w:lang w:val="en-US" w:eastAsia="zh-CN"/>
        </w:rPr>
      </w:pPr>
      <w:r>
        <w:rPr>
          <w:rFonts w:hint="eastAsia" w:cs="Times New Roman"/>
          <w:b/>
          <w:bCs/>
          <w:color w:val="auto"/>
          <w:kern w:val="0"/>
          <w:sz w:val="24"/>
          <w:szCs w:val="24"/>
          <w:lang w:val="en-US" w:eastAsia="zh-CN"/>
        </w:rPr>
        <w:t>*：氟化物引用合肥循环经济示范园规划环境跟踪监测中地表水现状监测数据（2024年6月27日~28日）。</w:t>
      </w:r>
    </w:p>
    <w:p w14:paraId="79B4A7AF">
      <w:pPr>
        <w:bidi w:val="0"/>
        <w:ind w:firstLine="480" w:firstLineChars="200"/>
        <w:rPr>
          <w:rFonts w:hint="default"/>
          <w:lang w:val="en-US" w:eastAsia="zh-CN"/>
        </w:rPr>
      </w:pPr>
      <w:r>
        <w:rPr>
          <w:rFonts w:hint="default" w:ascii="Times New Roman" w:hAnsi="Times New Roman" w:eastAsia="宋体" w:cs="Times New Roman"/>
          <w:b w:val="0"/>
          <w:bCs w:val="0"/>
          <w:color w:val="auto"/>
          <w:kern w:val="0"/>
          <w:sz w:val="24"/>
          <w:szCs w:val="24"/>
        </w:rPr>
        <w:t>由预测结果，事故状态下，本项目</w:t>
      </w:r>
      <w:r>
        <w:rPr>
          <w:rFonts w:hint="eastAsia" w:ascii="Times New Roman" w:hAnsi="Times New Roman" w:eastAsia="宋体" w:cs="Times New Roman"/>
          <w:b w:val="0"/>
          <w:bCs w:val="0"/>
          <w:color w:val="auto"/>
          <w:kern w:val="0"/>
          <w:sz w:val="24"/>
          <w:szCs w:val="24"/>
          <w:lang w:val="en-US" w:eastAsia="zh-CN"/>
        </w:rPr>
        <w:t>总排口废水</w:t>
      </w:r>
      <w:r>
        <w:rPr>
          <w:rFonts w:hint="default" w:ascii="Times New Roman" w:hAnsi="Times New Roman" w:eastAsia="宋体" w:cs="Times New Roman"/>
          <w:b w:val="0"/>
          <w:bCs w:val="0"/>
          <w:color w:val="auto"/>
          <w:kern w:val="0"/>
          <w:sz w:val="24"/>
          <w:szCs w:val="24"/>
        </w:rPr>
        <w:t>泄漏后污染物随雨水冲刷排入</w:t>
      </w:r>
      <w:r>
        <w:rPr>
          <w:rFonts w:hint="default" w:ascii="Times New Roman" w:hAnsi="Times New Roman" w:eastAsia="宋体" w:cs="Times New Roman"/>
          <w:b w:val="0"/>
          <w:bCs w:val="0"/>
          <w:color w:val="auto"/>
          <w:kern w:val="0"/>
          <w:sz w:val="24"/>
          <w:szCs w:val="24"/>
          <w:lang w:val="en-US" w:eastAsia="zh-CN"/>
        </w:rPr>
        <w:t>店埠河</w:t>
      </w:r>
      <w:r>
        <w:rPr>
          <w:rFonts w:hint="default" w:ascii="Times New Roman" w:hAnsi="Times New Roman" w:eastAsia="宋体" w:cs="Times New Roman"/>
          <w:b w:val="0"/>
          <w:bCs w:val="0"/>
          <w:color w:val="auto"/>
          <w:kern w:val="0"/>
          <w:sz w:val="24"/>
          <w:szCs w:val="24"/>
        </w:rPr>
        <w:t>后很快完全混合，从入河点开始，受纳水体</w:t>
      </w:r>
      <w:r>
        <w:rPr>
          <w:rFonts w:hint="default" w:ascii="Times New Roman" w:hAnsi="Times New Roman" w:eastAsia="宋体" w:cs="Times New Roman"/>
          <w:b w:val="0"/>
          <w:bCs w:val="0"/>
          <w:color w:val="auto"/>
          <w:kern w:val="0"/>
          <w:sz w:val="24"/>
          <w:szCs w:val="24"/>
          <w:lang w:val="en-US" w:eastAsia="zh-CN"/>
        </w:rPr>
        <w:t>店埠河</w:t>
      </w:r>
      <w:r>
        <w:rPr>
          <w:rFonts w:hint="default" w:ascii="Times New Roman" w:hAnsi="Times New Roman" w:eastAsia="宋体" w:cs="Times New Roman"/>
          <w:b w:val="0"/>
          <w:bCs w:val="0"/>
          <w:color w:val="auto"/>
          <w:kern w:val="0"/>
          <w:sz w:val="24"/>
          <w:szCs w:val="24"/>
        </w:rPr>
        <w:t>中</w:t>
      </w:r>
      <w:r>
        <w:rPr>
          <w:rFonts w:hint="eastAsia" w:ascii="Times New Roman" w:hAnsi="Times New Roman" w:eastAsia="宋体" w:cs="Times New Roman"/>
          <w:b w:val="0"/>
          <w:bCs w:val="0"/>
          <w:color w:val="auto"/>
          <w:kern w:val="0"/>
          <w:sz w:val="24"/>
          <w:szCs w:val="24"/>
          <w:lang w:val="en-US" w:eastAsia="zh-CN"/>
        </w:rPr>
        <w:t>氟化物</w:t>
      </w:r>
      <w:r>
        <w:rPr>
          <w:rFonts w:hint="default" w:ascii="Times New Roman" w:hAnsi="Times New Roman" w:eastAsia="宋体" w:cs="Times New Roman"/>
          <w:b w:val="0"/>
          <w:bCs w:val="0"/>
          <w:color w:val="auto"/>
          <w:kern w:val="0"/>
          <w:sz w:val="24"/>
          <w:szCs w:val="24"/>
        </w:rPr>
        <w:t>浓度由现状值的0.</w:t>
      </w:r>
      <w:r>
        <w:rPr>
          <w:rFonts w:hint="eastAsia" w:eastAsia="宋体" w:cs="Times New Roman"/>
          <w:b w:val="0"/>
          <w:bCs w:val="0"/>
          <w:color w:val="auto"/>
          <w:kern w:val="0"/>
          <w:sz w:val="24"/>
          <w:szCs w:val="24"/>
          <w:lang w:val="en-US" w:eastAsia="zh-CN"/>
        </w:rPr>
        <w:t>11</w:t>
      </w:r>
      <w:r>
        <w:rPr>
          <w:rFonts w:hint="default" w:ascii="Times New Roman" w:hAnsi="Times New Roman" w:eastAsia="宋体" w:cs="Times New Roman"/>
          <w:b w:val="0"/>
          <w:bCs w:val="0"/>
          <w:color w:val="auto"/>
          <w:kern w:val="0"/>
          <w:sz w:val="24"/>
          <w:szCs w:val="24"/>
        </w:rPr>
        <w:t>mg/L，增加为0.</w:t>
      </w:r>
      <w:r>
        <w:rPr>
          <w:rFonts w:hint="eastAsia" w:eastAsia="宋体" w:cs="Times New Roman"/>
          <w:b w:val="0"/>
          <w:bCs w:val="0"/>
          <w:color w:val="auto"/>
          <w:kern w:val="0"/>
          <w:sz w:val="24"/>
          <w:szCs w:val="24"/>
          <w:lang w:val="en-US" w:eastAsia="zh-CN"/>
        </w:rPr>
        <w:t>11</w:t>
      </w:r>
      <w:r>
        <w:rPr>
          <w:rFonts w:hint="eastAsia" w:ascii="Times New Roman" w:hAnsi="Times New Roman" w:eastAsia="宋体" w:cs="Times New Roman"/>
          <w:b w:val="0"/>
          <w:bCs w:val="0"/>
          <w:color w:val="auto"/>
          <w:kern w:val="0"/>
          <w:sz w:val="24"/>
          <w:szCs w:val="24"/>
          <w:lang w:val="en-US" w:eastAsia="zh-CN"/>
        </w:rPr>
        <w:t>14</w:t>
      </w:r>
      <w:r>
        <w:rPr>
          <w:rFonts w:hint="default" w:ascii="Times New Roman" w:hAnsi="Times New Roman" w:eastAsia="宋体" w:cs="Times New Roman"/>
          <w:b w:val="0"/>
          <w:bCs w:val="0"/>
          <w:color w:val="auto"/>
          <w:kern w:val="0"/>
          <w:sz w:val="24"/>
          <w:szCs w:val="24"/>
        </w:rPr>
        <w:t>mg/L，能满足《地表水环境质量标准》（GB3838-2002）中Ⅲ类标准限值，因此事故状态下，本项目</w:t>
      </w:r>
      <w:r>
        <w:rPr>
          <w:rFonts w:hint="default" w:ascii="Times New Roman" w:hAnsi="Times New Roman" w:eastAsia="宋体" w:cs="Times New Roman"/>
          <w:b w:val="0"/>
          <w:bCs w:val="0"/>
          <w:color w:val="auto"/>
          <w:kern w:val="0"/>
          <w:sz w:val="24"/>
          <w:szCs w:val="24"/>
          <w:lang w:val="en-US" w:eastAsia="zh-CN"/>
        </w:rPr>
        <w:t>事故</w:t>
      </w:r>
      <w:r>
        <w:rPr>
          <w:rFonts w:hint="default" w:ascii="Times New Roman" w:hAnsi="Times New Roman" w:eastAsia="宋体" w:cs="Times New Roman"/>
          <w:b w:val="0"/>
          <w:bCs w:val="0"/>
          <w:color w:val="auto"/>
          <w:kern w:val="0"/>
          <w:sz w:val="24"/>
          <w:szCs w:val="24"/>
        </w:rPr>
        <w:t>雨水入河对</w:t>
      </w:r>
      <w:r>
        <w:rPr>
          <w:rFonts w:hint="default" w:ascii="Times New Roman" w:hAnsi="Times New Roman" w:eastAsia="宋体" w:cs="Times New Roman"/>
          <w:b w:val="0"/>
          <w:bCs w:val="0"/>
          <w:color w:val="auto"/>
          <w:kern w:val="0"/>
          <w:sz w:val="24"/>
          <w:szCs w:val="24"/>
          <w:lang w:val="en-US" w:eastAsia="zh-CN"/>
        </w:rPr>
        <w:t>附近地表</w:t>
      </w:r>
      <w:r>
        <w:rPr>
          <w:rFonts w:hint="default" w:ascii="Times New Roman" w:hAnsi="Times New Roman" w:eastAsia="宋体" w:cs="Times New Roman"/>
          <w:b w:val="0"/>
          <w:bCs w:val="0"/>
          <w:color w:val="auto"/>
          <w:kern w:val="0"/>
          <w:sz w:val="24"/>
          <w:szCs w:val="24"/>
        </w:rPr>
        <w:t>水体</w:t>
      </w:r>
      <w:r>
        <w:rPr>
          <w:rFonts w:hint="default" w:ascii="Times New Roman" w:hAnsi="Times New Roman" w:eastAsia="宋体" w:cs="Times New Roman"/>
          <w:b w:val="0"/>
          <w:bCs w:val="0"/>
          <w:color w:val="auto"/>
          <w:kern w:val="0"/>
          <w:sz w:val="24"/>
          <w:szCs w:val="24"/>
          <w:lang w:val="en-US" w:eastAsia="zh-CN"/>
        </w:rPr>
        <w:t>店埠河</w:t>
      </w:r>
      <w:r>
        <w:rPr>
          <w:rFonts w:hint="default" w:ascii="Times New Roman" w:hAnsi="Times New Roman" w:eastAsia="宋体" w:cs="Times New Roman"/>
          <w:b w:val="0"/>
          <w:bCs w:val="0"/>
          <w:color w:val="auto"/>
          <w:kern w:val="0"/>
          <w:sz w:val="24"/>
          <w:szCs w:val="24"/>
        </w:rPr>
        <w:t>影响较小。</w:t>
      </w:r>
    </w:p>
    <w:p w14:paraId="3596DAD5">
      <w:pPr>
        <w:bidi w:val="0"/>
        <w:ind w:firstLine="480" w:firstLineChars="200"/>
        <w:rPr>
          <w:rFonts w:hint="eastAsia"/>
          <w:lang w:val="en-US" w:eastAsia="zh-CN"/>
        </w:rPr>
      </w:pPr>
      <w:r>
        <w:rPr>
          <w:rFonts w:hint="eastAsia"/>
          <w:lang w:val="en-US" w:eastAsia="zh-CN"/>
        </w:rPr>
        <w:t>（3）地下水环境风险影响分析</w:t>
      </w:r>
    </w:p>
    <w:p w14:paraId="491A9428">
      <w:pPr>
        <w:bidi w:val="0"/>
        <w:ind w:firstLine="480" w:firstLineChars="200"/>
        <w:rPr>
          <w:rFonts w:hint="default"/>
          <w:lang w:val="en-US" w:eastAsia="zh-CN"/>
        </w:rPr>
      </w:pPr>
      <w:r>
        <w:rPr>
          <w:rFonts w:hint="eastAsia"/>
          <w:lang w:val="en-US" w:eastAsia="zh-CN"/>
        </w:rPr>
        <w:t>项目区地下水发生环境风险事故情形具体见“</w:t>
      </w:r>
      <w:r>
        <w:rPr>
          <w:rFonts w:hint="default"/>
          <w:lang w:val="en-US" w:eastAsia="zh-CN"/>
        </w:rPr>
        <w:t>6.2.4.2 地下水环境影响预测评价</w:t>
      </w:r>
      <w:r>
        <w:rPr>
          <w:rFonts w:hint="eastAsia"/>
          <w:lang w:val="en-US" w:eastAsia="zh-CN"/>
        </w:rPr>
        <w:t>”章节。一旦发生火灾爆炸事故，产生的消防废水经事故池收集后进入厂内事故池，项目</w:t>
      </w:r>
      <w:r>
        <w:rPr>
          <w:sz w:val="24"/>
          <w:szCs w:val="24"/>
        </w:rPr>
        <w:t>现有厂区</w:t>
      </w:r>
      <w:r>
        <w:rPr>
          <w:rFonts w:hint="default" w:ascii="Times New Roman" w:hAnsi="Times New Roman" w:cs="Times New Roman"/>
          <w:sz w:val="24"/>
          <w:szCs w:val="24"/>
          <w:lang w:val="en-US" w:eastAsia="zh-CN"/>
        </w:rPr>
        <w:t>雨水管网排口前端建设有效容积624m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的初期雨水池并设置雨水切断阀和提升泵等装置</w:t>
      </w:r>
      <w:r>
        <w:rPr>
          <w:rFonts w:hint="eastAsia" w:cs="Times New Roman"/>
          <w:sz w:val="24"/>
          <w:szCs w:val="24"/>
          <w:lang w:val="en-US" w:eastAsia="zh-CN"/>
        </w:rPr>
        <w:t>，</w:t>
      </w:r>
      <w:r>
        <w:rPr>
          <w:rFonts w:hint="eastAsia"/>
          <w:lang w:val="en-US" w:eastAsia="zh-CN"/>
        </w:rPr>
        <w:t>污水处理站处已建设2座容积分别为3060m</w:t>
      </w:r>
      <w:r>
        <w:rPr>
          <w:rFonts w:hint="eastAsia"/>
          <w:vertAlign w:val="superscript"/>
          <w:lang w:val="en-US" w:eastAsia="zh-CN"/>
        </w:rPr>
        <w:t>3</w:t>
      </w:r>
      <w:r>
        <w:rPr>
          <w:rFonts w:hint="eastAsia"/>
          <w:lang w:val="en-US" w:eastAsia="zh-CN"/>
        </w:rPr>
        <w:t>、1306.62m</w:t>
      </w:r>
      <w:r>
        <w:rPr>
          <w:rFonts w:hint="eastAsia"/>
          <w:vertAlign w:val="superscript"/>
          <w:lang w:val="en-US" w:eastAsia="zh-CN"/>
        </w:rPr>
        <w:t>3</w:t>
      </w:r>
      <w:r>
        <w:rPr>
          <w:rFonts w:hint="eastAsia"/>
          <w:lang w:val="en-US" w:eastAsia="zh-CN"/>
        </w:rPr>
        <w:t>的事故应急池1~2，满足项目事故状况的废水临时储存需要。且事故应急池和初期雨水池等均采取了重点防渗措施，可确保事故废水不进入地下水、土壤，因此，本项目环境风险事故对地下水环境影响较小。</w:t>
      </w:r>
    </w:p>
    <w:p w14:paraId="5A112D97">
      <w:pPr>
        <w:bidi w:val="0"/>
        <w:rPr>
          <w:rFonts w:hint="default"/>
          <w:b/>
          <w:bCs/>
          <w:lang w:val="en-US" w:eastAsia="zh-CN"/>
        </w:rPr>
      </w:pPr>
      <w:r>
        <w:rPr>
          <w:rFonts w:hint="eastAsia"/>
          <w:b/>
          <w:bCs/>
          <w:lang w:val="en-US" w:eastAsia="zh-CN"/>
        </w:rPr>
        <w:t>6.2.6.2.8</w:t>
      </w:r>
      <w:r>
        <w:rPr>
          <w:rFonts w:hint="default"/>
          <w:b/>
          <w:bCs/>
          <w:lang w:val="en-US" w:eastAsia="zh-CN"/>
        </w:rPr>
        <w:t xml:space="preserve"> 环境风险防范措施</w:t>
      </w:r>
    </w:p>
    <w:p w14:paraId="06578E1B">
      <w:pPr>
        <w:bidi w:val="0"/>
        <w:ind w:firstLine="480" w:firstLineChars="200"/>
        <w:rPr>
          <w:rFonts w:hint="default"/>
          <w:lang w:val="en-US" w:eastAsia="zh-CN"/>
        </w:rPr>
      </w:pPr>
      <w:r>
        <w:rPr>
          <w:rFonts w:ascii="Times New Roman" w:hAnsi="Times New Roman" w:cs="Times New Roman"/>
        </w:rPr>
        <w:t>风险管理是研究风险发生规律和风险控制技术的一门管理科学，各组织通过风险识别、风险估测、风险评价，并在此基础上优化组合各种风险管理技术，对风险实施有效的控制并妥善处理风险事故，以期达到最低事故率、最小损失和最大的安全投资效益的目的。</w:t>
      </w:r>
    </w:p>
    <w:p w14:paraId="20BE9173">
      <w:pPr>
        <w:bidi w:val="0"/>
        <w:ind w:firstLine="480" w:firstLineChars="200"/>
        <w:rPr>
          <w:rFonts w:hint="default"/>
          <w:lang w:val="en-US" w:eastAsia="zh-CN"/>
        </w:rPr>
      </w:pPr>
      <w:r>
        <w:rPr>
          <w:rFonts w:hint="eastAsia"/>
          <w:lang w:val="en-US" w:eastAsia="zh-CN"/>
        </w:rPr>
        <w:t>（1）</w:t>
      </w:r>
      <w:r>
        <w:rPr>
          <w:rFonts w:hint="default"/>
          <w:lang w:val="en-US" w:eastAsia="zh-CN"/>
        </w:rPr>
        <w:t>大气环境风险防范措施</w:t>
      </w:r>
    </w:p>
    <w:p w14:paraId="6F7FEE06">
      <w:pPr>
        <w:bidi w:val="0"/>
        <w:ind w:firstLine="480" w:firstLineChars="200"/>
        <w:rPr>
          <w:rFonts w:hint="default"/>
          <w:lang w:val="en-US" w:eastAsia="zh-CN"/>
        </w:rPr>
      </w:pPr>
      <w:r>
        <w:rPr>
          <w:rFonts w:hint="default"/>
          <w:lang w:val="en-US" w:eastAsia="zh-CN"/>
        </w:rPr>
        <w:t>本</w:t>
      </w:r>
      <w:r>
        <w:rPr>
          <w:rFonts w:hint="eastAsia"/>
          <w:lang w:val="en-US" w:eastAsia="zh-CN"/>
        </w:rPr>
        <w:t>次技改</w:t>
      </w:r>
      <w:r>
        <w:rPr>
          <w:rFonts w:hint="default"/>
          <w:lang w:val="en-US" w:eastAsia="zh-CN"/>
        </w:rPr>
        <w:t>项目不新增风险单元，</w:t>
      </w:r>
      <w:r>
        <w:rPr>
          <w:rFonts w:hint="eastAsia"/>
          <w:lang w:val="en-US" w:eastAsia="zh-CN"/>
        </w:rPr>
        <w:t>项目所涉及的特气三甲基铝</w:t>
      </w:r>
      <w:r>
        <w:rPr>
          <w:rFonts w:hint="default"/>
          <w:lang w:val="en-US" w:eastAsia="zh-CN"/>
        </w:rPr>
        <w:t>依托现有工程特气房</w:t>
      </w:r>
      <w:r>
        <w:rPr>
          <w:rFonts w:hint="eastAsia"/>
          <w:lang w:val="en-US" w:eastAsia="zh-CN"/>
        </w:rPr>
        <w:t>暂存</w:t>
      </w:r>
      <w:r>
        <w:rPr>
          <w:rFonts w:hint="default"/>
          <w:lang w:val="en-US" w:eastAsia="zh-CN"/>
        </w:rPr>
        <w:t>，有管线输送至电池车间内。项目特气泄漏分为三种情形，既特气贮存泄漏、特气输送管线泄漏和电池车间特气泄漏。</w:t>
      </w:r>
    </w:p>
    <w:p w14:paraId="123B30C7">
      <w:pPr>
        <w:bidi w:val="0"/>
        <w:ind w:firstLine="480" w:firstLineChars="200"/>
        <w:rPr>
          <w:rFonts w:hint="default"/>
          <w:lang w:val="en-US" w:eastAsia="zh-CN"/>
        </w:rPr>
      </w:pPr>
      <w:r>
        <w:rPr>
          <w:rFonts w:hint="default"/>
          <w:lang w:val="en-US" w:eastAsia="zh-CN"/>
        </w:rPr>
        <w:t>①特气贮存泄漏</w:t>
      </w:r>
    </w:p>
    <w:p w14:paraId="142DF4C0">
      <w:pPr>
        <w:bidi w:val="0"/>
        <w:ind w:firstLine="480" w:firstLineChars="200"/>
        <w:rPr>
          <w:rFonts w:hint="default"/>
          <w:lang w:val="en-US" w:eastAsia="zh-CN"/>
        </w:rPr>
      </w:pPr>
      <w:r>
        <w:rPr>
          <w:rFonts w:hint="default"/>
          <w:lang w:val="en-US" w:eastAsia="zh-CN"/>
        </w:rPr>
        <w:t>项目特气主要贮存在特气房</w:t>
      </w:r>
      <w:r>
        <w:rPr>
          <w:rFonts w:hint="eastAsia"/>
          <w:lang w:val="en-US" w:eastAsia="zh-CN"/>
        </w:rPr>
        <w:t>内，</w:t>
      </w:r>
      <w:r>
        <w:rPr>
          <w:rFonts w:hint="default"/>
          <w:lang w:val="en-US" w:eastAsia="zh-CN"/>
        </w:rPr>
        <w:t>根据现有工程环境风险回顾性分析，上述位置均浓度检测装置，可及时发现特气泄漏情形。浓度检测装置发现特气泄漏，先由浓度检测装置发出报警，并由连锁关闭气体输送管线关联闸阀，开启特气房配套应急排放系统，将泄漏特气抽至应急喷淋设施处理后高空排放。同时，组织人员对泄漏点，组织人员穿戴防护设备进行封堵和更换。</w:t>
      </w:r>
    </w:p>
    <w:p w14:paraId="1D4A0CD8">
      <w:pPr>
        <w:bidi w:val="0"/>
        <w:ind w:firstLine="480" w:firstLineChars="200"/>
        <w:rPr>
          <w:rFonts w:hint="default"/>
          <w:lang w:val="en-US" w:eastAsia="zh-CN"/>
        </w:rPr>
      </w:pPr>
      <w:r>
        <w:rPr>
          <w:rFonts w:hint="default"/>
          <w:lang w:val="en-US" w:eastAsia="zh-CN"/>
        </w:rPr>
        <w:t>②特气输送管线泄漏</w:t>
      </w:r>
    </w:p>
    <w:p w14:paraId="30B91F21">
      <w:pPr>
        <w:bidi w:val="0"/>
        <w:ind w:firstLine="480" w:firstLineChars="200"/>
        <w:rPr>
          <w:rFonts w:hint="default"/>
          <w:lang w:val="en-US" w:eastAsia="zh-CN"/>
        </w:rPr>
      </w:pPr>
      <w:r>
        <w:rPr>
          <w:rFonts w:hint="default"/>
          <w:lang w:val="en-US" w:eastAsia="zh-CN"/>
        </w:rPr>
        <w:t>针对特气输送管线出现泄漏，一般采用定期检漏和配备便携式检测设备人员巡检相结合的方式。</w:t>
      </w:r>
    </w:p>
    <w:p w14:paraId="171CB3F0">
      <w:pPr>
        <w:bidi w:val="0"/>
        <w:ind w:firstLine="480" w:firstLineChars="200"/>
        <w:rPr>
          <w:rFonts w:hint="default"/>
          <w:lang w:val="en-US" w:eastAsia="zh-CN"/>
        </w:rPr>
      </w:pPr>
      <w:r>
        <w:rPr>
          <w:rFonts w:hint="default"/>
          <w:lang w:val="en-US" w:eastAsia="zh-CN"/>
        </w:rPr>
        <w:t>定期检查或巡检过程发现泄漏，紧急关闭特气管线阀门，停止物料输送；电池车间内配套急停系统启动，相关生产设备停机。用氮气将管线内残存的特气吹扫至应急喷淋设施，处理后高空排放。对泄漏点，组织人员进行封堵和更换。</w:t>
      </w:r>
    </w:p>
    <w:p w14:paraId="02475087">
      <w:pPr>
        <w:bidi w:val="0"/>
        <w:ind w:firstLine="480" w:firstLineChars="200"/>
        <w:rPr>
          <w:rFonts w:hint="default"/>
          <w:lang w:val="en-US" w:eastAsia="zh-CN"/>
        </w:rPr>
      </w:pPr>
      <w:r>
        <w:rPr>
          <w:rFonts w:hint="default"/>
          <w:lang w:val="en-US" w:eastAsia="zh-CN"/>
        </w:rPr>
        <w:t>项目</w:t>
      </w:r>
      <w:r>
        <w:rPr>
          <w:rFonts w:hint="eastAsia"/>
          <w:lang w:val="en-US" w:eastAsia="zh-CN"/>
        </w:rPr>
        <w:t>三甲基铝</w:t>
      </w:r>
      <w:r>
        <w:rPr>
          <w:rFonts w:hint="default"/>
          <w:lang w:val="en-US" w:eastAsia="zh-CN"/>
        </w:rPr>
        <w:t>采用双层套管输送，内管输送</w:t>
      </w:r>
      <w:r>
        <w:rPr>
          <w:rFonts w:hint="eastAsia"/>
          <w:lang w:val="en-US" w:eastAsia="zh-CN"/>
        </w:rPr>
        <w:t>三甲基铝</w:t>
      </w:r>
      <w:r>
        <w:rPr>
          <w:rFonts w:hint="default"/>
          <w:lang w:val="en-US" w:eastAsia="zh-CN"/>
        </w:rPr>
        <w:t>；内外管间负压，并设置有压力传感器。如管线出现破损，联锁装置启动，停止物料输送；同时，采取车间停车、吹扫排空、维修更换等措施。</w:t>
      </w:r>
    </w:p>
    <w:p w14:paraId="231D367E">
      <w:pPr>
        <w:bidi w:val="0"/>
        <w:ind w:firstLine="480" w:firstLineChars="200"/>
        <w:rPr>
          <w:rFonts w:hint="default"/>
          <w:lang w:val="en-US" w:eastAsia="zh-CN"/>
        </w:rPr>
      </w:pPr>
      <w:r>
        <w:rPr>
          <w:rFonts w:hint="default"/>
          <w:lang w:val="en-US" w:eastAsia="zh-CN"/>
        </w:rPr>
        <w:t>③电池车间特气泄漏</w:t>
      </w:r>
    </w:p>
    <w:p w14:paraId="2E66D97E">
      <w:pPr>
        <w:bidi w:val="0"/>
        <w:ind w:firstLine="480" w:firstLineChars="200"/>
        <w:rPr>
          <w:rFonts w:hint="default"/>
          <w:lang w:val="en-US" w:eastAsia="zh-CN"/>
        </w:rPr>
      </w:pPr>
      <w:r>
        <w:rPr>
          <w:rFonts w:hint="default"/>
          <w:lang w:val="en-US" w:eastAsia="zh-CN"/>
        </w:rPr>
        <w:t>电池车间内安装有</w:t>
      </w:r>
      <w:r>
        <w:rPr>
          <w:rFonts w:hint="eastAsia"/>
          <w:lang w:val="en-US" w:eastAsia="zh-CN"/>
        </w:rPr>
        <w:t>气体泄露</w:t>
      </w:r>
      <w:r>
        <w:rPr>
          <w:rFonts w:hint="default"/>
          <w:lang w:val="en-US" w:eastAsia="zh-CN"/>
        </w:rPr>
        <w:t>探测仪，各设备配套抽风系统，并设置有急停系统。车间内探测仪发现特气泄漏，立即关闭供气装置，停止特气供应；各设备配套配套的抽风系统处于常开状态，可第一时间将泄漏的特气抽至洗涤塔，处理后高空排放。同时，车间内急停系统启动，相关生产设备停机；组织人员疏散；再组织人员对漏点进行维修更换。</w:t>
      </w:r>
    </w:p>
    <w:p w14:paraId="08C04748">
      <w:pPr>
        <w:bidi w:val="0"/>
        <w:ind w:firstLine="480" w:firstLineChars="200"/>
        <w:rPr>
          <w:rFonts w:hint="eastAsia"/>
          <w:lang w:val="en-US" w:eastAsia="zh-CN"/>
        </w:rPr>
      </w:pPr>
      <w:r>
        <w:rPr>
          <w:rFonts w:hint="eastAsia"/>
          <w:lang w:val="en-US" w:eastAsia="zh-CN"/>
        </w:rPr>
        <w:t>（2）地表水环境风险防范措施</w:t>
      </w:r>
    </w:p>
    <w:p w14:paraId="56603AEE">
      <w:pPr>
        <w:bidi w:val="0"/>
        <w:ind w:firstLine="480" w:firstLineChars="200"/>
        <w:rPr>
          <w:rFonts w:hint="eastAsia"/>
          <w:lang w:val="en-US" w:eastAsia="zh-CN"/>
        </w:rPr>
      </w:pPr>
      <w:r>
        <w:rPr>
          <w:rFonts w:hint="default"/>
          <w:lang w:val="en-US" w:eastAsia="zh-CN"/>
        </w:rPr>
        <w:t>①</w:t>
      </w:r>
      <w:r>
        <w:rPr>
          <w:rFonts w:hint="eastAsia"/>
          <w:lang w:val="en-US" w:eastAsia="zh-CN"/>
        </w:rPr>
        <w:t>电池车间</w:t>
      </w:r>
    </w:p>
    <w:p w14:paraId="7CAC49EE">
      <w:pPr>
        <w:bidi w:val="0"/>
        <w:ind w:firstLine="480" w:firstLineChars="200"/>
        <w:rPr>
          <w:rFonts w:hint="eastAsia"/>
          <w:lang w:val="en-US" w:eastAsia="zh-CN"/>
        </w:rPr>
      </w:pPr>
      <w:r>
        <w:rPr>
          <w:rFonts w:hint="eastAsia"/>
          <w:lang w:val="en-US" w:eastAsia="zh-CN"/>
        </w:rPr>
        <w:t>本项目</w:t>
      </w:r>
      <w:r>
        <w:rPr>
          <w:rFonts w:hint="default"/>
          <w:lang w:val="en-US" w:eastAsia="zh-CN"/>
        </w:rPr>
        <w:t>网版浆料仓</w:t>
      </w:r>
      <w:r>
        <w:rPr>
          <w:rFonts w:hint="eastAsia"/>
          <w:lang w:val="en-US" w:eastAsia="zh-CN"/>
        </w:rPr>
        <w:t>存放有</w:t>
      </w:r>
      <w:r>
        <w:rPr>
          <w:rFonts w:hint="default"/>
          <w:lang w:val="en-US" w:eastAsia="zh-CN"/>
        </w:rPr>
        <w:t>银浆</w:t>
      </w:r>
      <w:r>
        <w:rPr>
          <w:rFonts w:hint="eastAsia"/>
          <w:lang w:val="en-US" w:eastAsia="zh-CN"/>
        </w:rPr>
        <w:t>和</w:t>
      </w:r>
      <w:r>
        <w:rPr>
          <w:rFonts w:hint="default"/>
          <w:lang w:val="en-US" w:eastAsia="zh-CN"/>
        </w:rPr>
        <w:t>银包铜浆料</w:t>
      </w:r>
      <w:r>
        <w:rPr>
          <w:rFonts w:hint="eastAsia"/>
          <w:lang w:val="en-US" w:eastAsia="zh-CN"/>
        </w:rPr>
        <w:t>。本次评价要求，存放银浆和</w:t>
      </w:r>
      <w:r>
        <w:rPr>
          <w:rFonts w:hint="default"/>
          <w:lang w:val="en-US" w:eastAsia="zh-CN"/>
        </w:rPr>
        <w:t>银包铜浆料</w:t>
      </w:r>
      <w:r>
        <w:rPr>
          <w:rFonts w:hint="eastAsia"/>
          <w:lang w:val="en-US" w:eastAsia="zh-CN"/>
        </w:rPr>
        <w:t>的库房设置有围堰，边沟和集液池等，上述位置均采取重点防渗措施。避免泄漏的银浆和</w:t>
      </w:r>
      <w:r>
        <w:rPr>
          <w:rFonts w:hint="default"/>
          <w:lang w:val="en-US" w:eastAsia="zh-CN"/>
        </w:rPr>
        <w:t>银包铜浆料</w:t>
      </w:r>
      <w:r>
        <w:rPr>
          <w:rFonts w:hint="eastAsia"/>
          <w:lang w:val="en-US" w:eastAsia="zh-CN"/>
        </w:rPr>
        <w:t>对外环境造成污染。同时，仓库内设置有视频监控设置，并与人工点检巡视结合；务求第一时间发现泄漏，积极组织人员进行抢救清理。</w:t>
      </w:r>
    </w:p>
    <w:p w14:paraId="1776DE97">
      <w:pPr>
        <w:bidi w:val="0"/>
        <w:ind w:firstLine="480" w:firstLineChars="200"/>
        <w:rPr>
          <w:rFonts w:hint="eastAsia"/>
          <w:lang w:val="en-US" w:eastAsia="zh-CN"/>
        </w:rPr>
      </w:pPr>
      <w:r>
        <w:rPr>
          <w:rFonts w:hint="default"/>
          <w:lang w:val="en-US" w:eastAsia="zh-CN"/>
        </w:rPr>
        <w:t>②</w:t>
      </w:r>
      <w:r>
        <w:rPr>
          <w:rFonts w:hint="eastAsia"/>
          <w:lang w:val="en-US" w:eastAsia="zh-CN"/>
        </w:rPr>
        <w:t>化学品库储罐围堰依托可行性分析</w:t>
      </w:r>
    </w:p>
    <w:p w14:paraId="7D170577">
      <w:pPr>
        <w:bidi w:val="0"/>
        <w:ind w:firstLine="480" w:firstLineChars="200"/>
        <w:rPr>
          <w:rFonts w:hint="eastAsia"/>
          <w:lang w:val="en-US" w:eastAsia="zh-CN"/>
        </w:rPr>
      </w:pPr>
      <w:r>
        <w:rPr>
          <w:rFonts w:hint="eastAsia"/>
          <w:lang w:val="en-US" w:eastAsia="zh-CN"/>
        </w:rPr>
        <w:t>项目化学品库内主要存放有双氧水、氢氧化钠溶液、氢氟酸、盐酸、正碱抛添加剂、背碱抛添加剂以及制绒添加剂等，均采用储罐存储；各储罐配套有围堰，其有效性均可满足拟建项目生产风险防范需求。</w:t>
      </w:r>
    </w:p>
    <w:p w14:paraId="1FA65555">
      <w:pPr>
        <w:bidi w:val="0"/>
        <w:ind w:firstLine="480" w:firstLineChars="200"/>
        <w:rPr>
          <w:rFonts w:hint="eastAsia"/>
          <w:lang w:val="en-US" w:eastAsia="zh-CN"/>
        </w:rPr>
      </w:pPr>
      <w:r>
        <w:rPr>
          <w:rFonts w:hint="default"/>
          <w:lang w:val="en-US" w:eastAsia="zh-CN"/>
        </w:rPr>
        <w:t>③</w:t>
      </w:r>
      <w:r>
        <w:rPr>
          <w:rFonts w:hint="eastAsia"/>
          <w:lang w:val="en-US" w:eastAsia="zh-CN"/>
        </w:rPr>
        <w:t>事故池依托可行性</w:t>
      </w:r>
    </w:p>
    <w:p w14:paraId="78EC6028">
      <w:pPr>
        <w:bidi w:val="0"/>
        <w:ind w:firstLine="480" w:firstLineChars="200"/>
        <w:rPr>
          <w:rFonts w:hint="eastAsia"/>
          <w:lang w:val="en-US" w:eastAsia="zh-CN"/>
        </w:rPr>
      </w:pPr>
      <w:r>
        <w:rPr>
          <w:rFonts w:hint="eastAsia"/>
          <w:lang w:val="en-US" w:eastAsia="zh-CN"/>
        </w:rPr>
        <w:t>本次技改项目不新增建筑物，现有工程储罐区设置围堰，事故废水不新增，依托现有工程已建的2座容积分别为3060m</w:t>
      </w:r>
      <w:r>
        <w:rPr>
          <w:rFonts w:hint="eastAsia"/>
          <w:vertAlign w:val="superscript"/>
          <w:lang w:val="en-US" w:eastAsia="zh-CN"/>
        </w:rPr>
        <w:t>3</w:t>
      </w:r>
      <w:r>
        <w:rPr>
          <w:rFonts w:hint="eastAsia"/>
          <w:lang w:val="en-US" w:eastAsia="zh-CN"/>
        </w:rPr>
        <w:t>、1306.62m</w:t>
      </w:r>
      <w:r>
        <w:rPr>
          <w:rFonts w:hint="eastAsia"/>
          <w:vertAlign w:val="superscript"/>
          <w:lang w:val="en-US" w:eastAsia="zh-CN"/>
        </w:rPr>
        <w:t>3</w:t>
      </w:r>
      <w:r>
        <w:rPr>
          <w:rFonts w:hint="eastAsia"/>
          <w:lang w:val="en-US" w:eastAsia="zh-CN"/>
        </w:rPr>
        <w:t>的事故池可行。</w:t>
      </w:r>
    </w:p>
    <w:p w14:paraId="4271C08F">
      <w:pPr>
        <w:bidi w:val="0"/>
        <w:ind w:firstLine="480" w:firstLineChars="200"/>
        <w:rPr>
          <w:rFonts w:hint="eastAsia"/>
          <w:lang w:val="en-US" w:eastAsia="zh-CN"/>
        </w:rPr>
      </w:pPr>
      <w:r>
        <w:rPr>
          <w:rFonts w:hint="eastAsia"/>
          <w:lang w:val="en-US" w:eastAsia="zh-CN"/>
        </w:rPr>
        <w:t>（3）地下水环境风险防范措施</w:t>
      </w:r>
    </w:p>
    <w:p w14:paraId="689D2E26">
      <w:pPr>
        <w:bidi w:val="0"/>
        <w:ind w:firstLine="480" w:firstLineChars="200"/>
        <w:rPr>
          <w:rFonts w:hint="eastAsia"/>
          <w:lang w:val="en-US" w:eastAsia="zh-CN"/>
        </w:rPr>
      </w:pPr>
      <w:r>
        <w:rPr>
          <w:rFonts w:hint="eastAsia"/>
          <w:lang w:val="en-US" w:eastAsia="zh-CN"/>
        </w:rPr>
        <w:t>项目区电池车间1、电池车间2、污水处理站1、污水处理站2、化学品库1~2、危废库、初期雨水池、事故应急池1~2等区域进行重点防渗，一般固废库、动力站、氨气笑气站、制氮站、硅烷站1~2、特气房已进行一般防渗进行一般防渗。厂区设置1处地下水监测井，定期开展地下水监测。结合项目区例行地下水环境质量现状监测结果，可明确区域地下水环境质量能够满足《地下水质量标准》（GB/T14848-2017）中III类标准。</w:t>
      </w:r>
    </w:p>
    <w:p w14:paraId="5C2866B4">
      <w:pPr>
        <w:bidi w:val="0"/>
        <w:ind w:firstLine="480" w:firstLineChars="200"/>
        <w:rPr>
          <w:rFonts w:hint="default"/>
          <w:lang w:val="en-US" w:eastAsia="zh-CN"/>
        </w:rPr>
      </w:pPr>
      <w:r>
        <w:rPr>
          <w:rFonts w:hint="eastAsia"/>
          <w:lang w:val="en-US" w:eastAsia="zh-CN"/>
        </w:rPr>
        <w:t>（4）</w:t>
      </w:r>
      <w:r>
        <w:rPr>
          <w:rFonts w:hint="default"/>
          <w:lang w:val="en-US" w:eastAsia="zh-CN"/>
        </w:rPr>
        <w:t>建立与园区对接、联动的风险防范体系</w:t>
      </w:r>
    </w:p>
    <w:p w14:paraId="57EF59A0">
      <w:pPr>
        <w:bidi w:val="0"/>
        <w:ind w:firstLine="480" w:firstLineChars="200"/>
        <w:rPr>
          <w:rFonts w:hint="default"/>
          <w:lang w:val="en-US" w:eastAsia="zh-CN"/>
        </w:rPr>
      </w:pPr>
      <w:r>
        <w:rPr>
          <w:rFonts w:hint="default"/>
          <w:lang w:val="en-US" w:eastAsia="zh-CN"/>
        </w:rPr>
        <w:t>项目公司环境风险防范应建立与</w:t>
      </w:r>
      <w:r>
        <w:rPr>
          <w:rFonts w:hint="eastAsia"/>
          <w:lang w:val="en-US" w:eastAsia="zh-CN"/>
        </w:rPr>
        <w:t>循环经济园</w:t>
      </w:r>
      <w:r>
        <w:rPr>
          <w:rFonts w:hint="default"/>
          <w:lang w:val="en-US" w:eastAsia="zh-CN"/>
        </w:rPr>
        <w:t>对接、联动的风险防范体系。可从以下几个方面进行建设：</w:t>
      </w:r>
    </w:p>
    <w:p w14:paraId="126D0B8B">
      <w:pPr>
        <w:bidi w:val="0"/>
        <w:ind w:firstLine="480" w:firstLineChars="200"/>
        <w:rPr>
          <w:rFonts w:hint="default"/>
          <w:lang w:val="en-US" w:eastAsia="zh-CN"/>
        </w:rPr>
      </w:pPr>
      <w:r>
        <w:rPr>
          <w:rFonts w:hint="default" w:ascii="Times New Roman" w:hAnsi="Times New Roman" w:cs="Times New Roman"/>
          <w:lang w:val="en-US" w:eastAsia="zh-CN"/>
        </w:rPr>
        <w:t>①</w:t>
      </w:r>
      <w:r>
        <w:rPr>
          <w:rFonts w:hint="default"/>
          <w:lang w:val="en-US" w:eastAsia="zh-CN"/>
        </w:rPr>
        <w:t>项目应建立厂内各生产车间的联动体系，并在预案中予以体现。一旦某车间发生燃爆等事故，相邻功能单元乃至全厂可根据事故发生的性质、大小，决定是否需要立即停产，是否需要切断污染源、风险源，防止造成连锁反应，甚至多米诺骨牌效应。</w:t>
      </w:r>
    </w:p>
    <w:p w14:paraId="52A37C7E">
      <w:pPr>
        <w:bidi w:val="0"/>
        <w:ind w:firstLine="480" w:firstLineChars="200"/>
        <w:rPr>
          <w:rFonts w:hint="default"/>
          <w:lang w:val="en-US" w:eastAsia="zh-CN"/>
        </w:rPr>
      </w:pPr>
      <w:r>
        <w:rPr>
          <w:rFonts w:hint="default"/>
          <w:lang w:val="en-US" w:eastAsia="zh-CN"/>
        </w:rPr>
        <w:t>②建设畅通的信息通道，使项目应急指挥部必须与周边企业、</w:t>
      </w:r>
      <w:r>
        <w:rPr>
          <w:rFonts w:hint="eastAsia"/>
          <w:lang w:val="en-US" w:eastAsia="zh-CN"/>
        </w:rPr>
        <w:t>循环经济园</w:t>
      </w:r>
      <w:r>
        <w:rPr>
          <w:rFonts w:hint="default"/>
          <w:lang w:val="en-US" w:eastAsia="zh-CN"/>
        </w:rPr>
        <w:t>管委会保持24小时的电话联系。一旦发生风险事故，可在第一时间通知相关单位组织居民疏散、撤离。</w:t>
      </w:r>
    </w:p>
    <w:p w14:paraId="3F0868C5">
      <w:pPr>
        <w:bidi w:val="0"/>
        <w:ind w:firstLine="480" w:firstLineChars="200"/>
        <w:rPr>
          <w:rFonts w:hint="default"/>
          <w:lang w:val="en-US" w:eastAsia="zh-CN"/>
        </w:rPr>
      </w:pPr>
      <w:r>
        <w:rPr>
          <w:rFonts w:hint="default"/>
          <w:lang w:val="en-US" w:eastAsia="zh-CN"/>
        </w:rPr>
        <w:t>③项目所使用的危险化学品种类及数量应及时上报</w:t>
      </w:r>
      <w:r>
        <w:rPr>
          <w:rFonts w:hint="eastAsia"/>
          <w:lang w:val="en-US" w:eastAsia="zh-CN"/>
        </w:rPr>
        <w:t>循环经济园</w:t>
      </w:r>
      <w:r>
        <w:rPr>
          <w:rFonts w:hint="default"/>
          <w:lang w:val="en-US" w:eastAsia="zh-CN"/>
        </w:rPr>
        <w:t>救援中心，并将可能发生的事故类型及对应的救援方案纳入</w:t>
      </w:r>
      <w:r>
        <w:rPr>
          <w:rFonts w:hint="eastAsia"/>
          <w:lang w:val="en-US" w:eastAsia="zh-CN"/>
        </w:rPr>
        <w:t>循环经济园</w:t>
      </w:r>
      <w:r>
        <w:rPr>
          <w:rFonts w:hint="default"/>
          <w:lang w:val="en-US" w:eastAsia="zh-CN"/>
        </w:rPr>
        <w:t>风险管理体系。</w:t>
      </w:r>
    </w:p>
    <w:p w14:paraId="40B0899B">
      <w:pPr>
        <w:bidi w:val="0"/>
        <w:ind w:firstLine="480" w:firstLineChars="200"/>
        <w:rPr>
          <w:rFonts w:hint="default"/>
          <w:lang w:val="en-US" w:eastAsia="zh-CN"/>
        </w:rPr>
      </w:pPr>
      <w:r>
        <w:rPr>
          <w:rFonts w:hint="default" w:ascii="Times New Roman" w:hAnsi="Times New Roman" w:eastAsia="微软雅黑" w:cs="Times New Roman"/>
          <w:lang w:val="en-US" w:eastAsia="zh-CN"/>
        </w:rPr>
        <w:t>④</w:t>
      </w:r>
      <w:r>
        <w:rPr>
          <w:rFonts w:hint="eastAsia"/>
          <w:lang w:val="en-US" w:eastAsia="zh-CN"/>
        </w:rPr>
        <w:t>循环经济园</w:t>
      </w:r>
      <w:r>
        <w:rPr>
          <w:rFonts w:hint="default"/>
          <w:lang w:val="en-US" w:eastAsia="zh-CN"/>
        </w:rPr>
        <w:t>救援中心应建立入区企业事故类型、应急物资数据库，一旦区内某一家企业发生风险事故，可立即调配其余企业的同类型救援物资进行救援，构筑“一家有难，集体联动”的防范体系。</w:t>
      </w:r>
    </w:p>
    <w:p w14:paraId="1EDF11A9">
      <w:pPr>
        <w:bidi w:val="0"/>
        <w:ind w:firstLine="480" w:firstLineChars="200"/>
        <w:rPr>
          <w:rFonts w:hint="default"/>
          <w:lang w:val="en-US" w:eastAsia="zh-CN"/>
        </w:rPr>
      </w:pPr>
      <w:r>
        <w:rPr>
          <w:rFonts w:hint="eastAsia"/>
          <w:lang w:val="en-US" w:eastAsia="zh-CN"/>
        </w:rPr>
        <w:t>（5）</w:t>
      </w:r>
      <w:r>
        <w:rPr>
          <w:rFonts w:hint="default"/>
          <w:lang w:val="en-US" w:eastAsia="zh-CN"/>
        </w:rPr>
        <w:t>突发环境事件应急预案编制要求</w:t>
      </w:r>
    </w:p>
    <w:p w14:paraId="10423399">
      <w:pPr>
        <w:bidi w:val="0"/>
        <w:ind w:firstLine="480" w:firstLineChars="200"/>
        <w:rPr>
          <w:rFonts w:hint="default"/>
          <w:lang w:val="en-US" w:eastAsia="zh-CN"/>
        </w:rPr>
      </w:pPr>
      <w:r>
        <w:rPr>
          <w:rFonts w:hint="default" w:ascii="Times New Roman" w:hAnsi="Times New Roman" w:cs="Times New Roman"/>
          <w:lang w:val="en-US" w:eastAsia="zh-CN"/>
        </w:rPr>
        <w:t>①</w:t>
      </w:r>
      <w:r>
        <w:rPr>
          <w:rFonts w:hint="default"/>
          <w:lang w:val="en-US" w:eastAsia="zh-CN"/>
        </w:rPr>
        <w:t>总体要求及注意事项</w:t>
      </w:r>
    </w:p>
    <w:p w14:paraId="34302CB6">
      <w:pPr>
        <w:bidi w:val="0"/>
        <w:ind w:firstLine="480" w:firstLineChars="200"/>
        <w:rPr>
          <w:rFonts w:hint="default"/>
          <w:lang w:val="en-US" w:eastAsia="zh-CN"/>
        </w:rPr>
      </w:pPr>
      <w:r>
        <w:rPr>
          <w:rFonts w:hint="default"/>
          <w:lang w:val="en-US" w:eastAsia="zh-CN"/>
        </w:rPr>
        <w:t>本项目为技改项目，企业已编制突发环境事件应急预案。本</w:t>
      </w:r>
      <w:r>
        <w:rPr>
          <w:rFonts w:hint="eastAsia"/>
          <w:lang w:val="en-US" w:eastAsia="zh-CN"/>
        </w:rPr>
        <w:t>次技改</w:t>
      </w:r>
      <w:r>
        <w:rPr>
          <w:rFonts w:hint="default"/>
          <w:lang w:val="en-US" w:eastAsia="zh-CN"/>
        </w:rPr>
        <w:t>项目未新增风险单元。针对可能发生的环境污染事件，为迅速、有序地开展环境应急行动，本评价要求，本项目建成投产前，晶科公司必须严格按照《企业事业单位突发环境事件应急预案备案管理办法（试行）》等要求，修编突发环境事件应急预案及时组织评审、发布、备案，并定时组织开展应急演练。</w:t>
      </w:r>
    </w:p>
    <w:p w14:paraId="4722ED74">
      <w:pPr>
        <w:bidi w:val="0"/>
        <w:ind w:firstLine="480" w:firstLineChars="200"/>
        <w:rPr>
          <w:rFonts w:hint="default"/>
          <w:lang w:val="en-US" w:eastAsia="zh-CN"/>
        </w:rPr>
      </w:pPr>
      <w:r>
        <w:rPr>
          <w:rFonts w:hint="default"/>
          <w:lang w:val="en-US" w:eastAsia="zh-CN"/>
        </w:rPr>
        <w:t>②环境风险事故分级</w:t>
      </w:r>
    </w:p>
    <w:p w14:paraId="1544C1F4">
      <w:pPr>
        <w:bidi w:val="0"/>
        <w:ind w:firstLine="480" w:firstLineChars="200"/>
        <w:rPr>
          <w:rFonts w:hint="default"/>
          <w:lang w:val="en-US" w:eastAsia="zh-CN"/>
        </w:rPr>
      </w:pPr>
      <w:r>
        <w:rPr>
          <w:rFonts w:hint="default"/>
          <w:lang w:val="en-US" w:eastAsia="zh-CN"/>
        </w:rPr>
        <w:t>按照环境风险事故的严重程度和影响范围，根据事故应急救援需要，将事故划分为Ⅰ、Ⅱ、Ⅲ级。</w:t>
      </w:r>
    </w:p>
    <w:p w14:paraId="7DB053CE">
      <w:pPr>
        <w:bidi w:val="0"/>
        <w:ind w:firstLine="480" w:firstLineChars="200"/>
        <w:rPr>
          <w:rFonts w:hint="default"/>
          <w:lang w:val="en-US" w:eastAsia="zh-CN"/>
        </w:rPr>
      </w:pPr>
      <w:r>
        <w:rPr>
          <w:rFonts w:hint="default"/>
          <w:lang w:val="en-US" w:eastAsia="zh-CN"/>
        </w:rPr>
        <w:t>Ⅰ级事故：是指后果特别重大，且发生后可能持续一段时间，事故控制及其对生产、社会产生的影响依靠项目公司自身救援力量不能控制，需要当园区有关部门或相关方协助救援的事故。</w:t>
      </w:r>
    </w:p>
    <w:p w14:paraId="05B789C4">
      <w:pPr>
        <w:bidi w:val="0"/>
        <w:ind w:firstLine="480" w:firstLineChars="200"/>
        <w:rPr>
          <w:rFonts w:hint="default"/>
          <w:lang w:val="en-US" w:eastAsia="zh-CN"/>
        </w:rPr>
      </w:pPr>
      <w:r>
        <w:rPr>
          <w:rFonts w:hint="default"/>
          <w:lang w:val="en-US" w:eastAsia="zh-CN"/>
        </w:rPr>
        <w:t>Ⅱ级事故：是指后果重大，且发生后可能持续一段时间，事故控制及其对生产、社会产生的影响依靠车间自身救援力量不能控制，需要企业或相关方救援才能控制的事故。</w:t>
      </w:r>
    </w:p>
    <w:p w14:paraId="09C12543">
      <w:pPr>
        <w:bidi w:val="0"/>
        <w:ind w:firstLine="480" w:firstLineChars="200"/>
        <w:rPr>
          <w:rFonts w:hint="default"/>
          <w:lang w:val="en-US" w:eastAsia="zh-CN"/>
        </w:rPr>
      </w:pPr>
      <w:r>
        <w:rPr>
          <w:rFonts w:hint="default"/>
          <w:lang w:val="en-US" w:eastAsia="zh-CN"/>
        </w:rPr>
        <w:t>Ⅲ级事故：是指生产车间现场就能控制，不需要救援的事故。</w:t>
      </w:r>
    </w:p>
    <w:p w14:paraId="30DECCA1">
      <w:pPr>
        <w:bidi w:val="0"/>
        <w:ind w:firstLine="480" w:firstLineChars="200"/>
        <w:rPr>
          <w:rFonts w:hint="default"/>
          <w:lang w:val="en-US" w:eastAsia="zh-CN"/>
        </w:rPr>
      </w:pPr>
      <w:r>
        <w:rPr>
          <w:rFonts w:hint="default"/>
          <w:lang w:val="en-US" w:eastAsia="zh-CN"/>
        </w:rPr>
        <w:t>③各级应急预案响应和联动程序</w:t>
      </w:r>
    </w:p>
    <w:p w14:paraId="790561DA">
      <w:pPr>
        <w:bidi w:val="0"/>
        <w:ind w:firstLine="480" w:firstLineChars="200"/>
        <w:rPr>
          <w:rFonts w:hint="default"/>
          <w:lang w:val="en-US" w:eastAsia="zh-CN"/>
        </w:rPr>
      </w:pPr>
      <w:r>
        <w:rPr>
          <w:rFonts w:hint="eastAsia"/>
          <w:lang w:val="en-US" w:eastAsia="zh-CN"/>
        </w:rPr>
        <w:t>1、</w:t>
      </w:r>
      <w:r>
        <w:rPr>
          <w:rFonts w:hint="default"/>
          <w:lang w:val="en-US" w:eastAsia="zh-CN"/>
        </w:rPr>
        <w:t>发生Ⅲ级事故，启动车间级环境风险事件应急预案；</w:t>
      </w:r>
    </w:p>
    <w:p w14:paraId="6507BA87">
      <w:pPr>
        <w:bidi w:val="0"/>
        <w:ind w:firstLine="480" w:firstLineChars="200"/>
        <w:rPr>
          <w:rFonts w:hint="default"/>
          <w:lang w:val="en-US" w:eastAsia="zh-CN"/>
        </w:rPr>
      </w:pPr>
      <w:r>
        <w:rPr>
          <w:rFonts w:hint="eastAsia"/>
          <w:lang w:val="en-US" w:eastAsia="zh-CN"/>
        </w:rPr>
        <w:t>2、</w:t>
      </w:r>
      <w:r>
        <w:rPr>
          <w:rFonts w:hint="default"/>
          <w:lang w:val="en-US" w:eastAsia="zh-CN"/>
        </w:rPr>
        <w:t>发生Ⅱ级事故，启动车间级、厂区级两级环境风险事件应急预案，同时告知当地政府预警；</w:t>
      </w:r>
    </w:p>
    <w:p w14:paraId="35DDBB75">
      <w:pPr>
        <w:bidi w:val="0"/>
        <w:ind w:firstLine="480" w:firstLineChars="200"/>
        <w:rPr>
          <w:rFonts w:hint="default"/>
          <w:lang w:val="en-US" w:eastAsia="zh-CN"/>
        </w:rPr>
      </w:pPr>
      <w:r>
        <w:rPr>
          <w:rFonts w:hint="eastAsia"/>
          <w:lang w:val="en-US" w:eastAsia="zh-CN"/>
        </w:rPr>
        <w:t>3、</w:t>
      </w:r>
      <w:r>
        <w:rPr>
          <w:rFonts w:hint="default"/>
          <w:lang w:val="en-US" w:eastAsia="zh-CN"/>
        </w:rPr>
        <w:t>发生Ⅰ级事故，启动车间级、厂区级两级环境风险事件应急预案，同时告知园区管委会协调启动本级突发环境事件应急预案。</w:t>
      </w:r>
    </w:p>
    <w:p w14:paraId="49285134">
      <w:pPr>
        <w:bidi w:val="0"/>
        <w:ind w:firstLine="480" w:firstLineChars="200"/>
        <w:rPr>
          <w:rFonts w:hint="default"/>
          <w:lang w:val="en-US" w:eastAsia="zh-CN"/>
        </w:rPr>
      </w:pPr>
      <w:r>
        <w:rPr>
          <w:rFonts w:hint="default"/>
          <w:lang w:val="en-US" w:eastAsia="zh-CN"/>
        </w:rPr>
        <w:t>本</w:t>
      </w:r>
      <w:r>
        <w:rPr>
          <w:rFonts w:hint="eastAsia"/>
          <w:lang w:val="en-US" w:eastAsia="zh-CN"/>
        </w:rPr>
        <w:t>次技改</w:t>
      </w:r>
      <w:r>
        <w:rPr>
          <w:rFonts w:hint="default"/>
          <w:lang w:val="en-US" w:eastAsia="zh-CN"/>
        </w:rPr>
        <w:t>项目建成运行后，生产过程中涉及多种有毒有害物质，存在一定的环境风险隐患。针对可能发生的环境污染事件，为迅速、有序地开展环境应急行动，本评价要求，企业应参照《石油化工企业环境应急预案编制指南》(环办[</w:t>
      </w:r>
      <w:r>
        <w:rPr>
          <w:rFonts w:hint="default"/>
          <w:lang w:val="en-US" w:eastAsia="zh-CN"/>
        </w:rPr>
        <w:fldChar w:fldCharType="begin"/>
      </w:r>
      <w:r>
        <w:rPr>
          <w:rFonts w:hint="default"/>
          <w:lang w:val="en-US" w:eastAsia="zh-CN"/>
        </w:rPr>
        <w:instrText xml:space="preserve"> HYPERLINK \l "bookmark1" </w:instrText>
      </w:r>
      <w:r>
        <w:rPr>
          <w:rFonts w:hint="default"/>
          <w:lang w:val="en-US" w:eastAsia="zh-CN"/>
        </w:rPr>
        <w:fldChar w:fldCharType="separate"/>
      </w:r>
      <w:r>
        <w:rPr>
          <w:rFonts w:hint="default"/>
          <w:lang w:val="en-US" w:eastAsia="zh-CN"/>
        </w:rPr>
        <w:t>2010</w:t>
      </w:r>
      <w:r>
        <w:rPr>
          <w:rFonts w:hint="default"/>
          <w:lang w:val="en-US" w:eastAsia="zh-CN"/>
        </w:rPr>
        <w:fldChar w:fldCharType="end"/>
      </w:r>
      <w:r>
        <w:rPr>
          <w:rFonts w:hint="default"/>
          <w:lang w:val="en-US" w:eastAsia="zh-CN"/>
        </w:rPr>
        <w:t>]10号) 、《关于加强突发环境事件应急预案管理工作的通知》(环察函[</w:t>
      </w:r>
      <w:r>
        <w:rPr>
          <w:rFonts w:hint="default"/>
          <w:lang w:val="en-US" w:eastAsia="zh-CN"/>
        </w:rPr>
        <w:fldChar w:fldCharType="begin"/>
      </w:r>
      <w:r>
        <w:rPr>
          <w:rFonts w:hint="default"/>
          <w:lang w:val="en-US" w:eastAsia="zh-CN"/>
        </w:rPr>
        <w:instrText xml:space="preserve"> HYPERLINK \l "bookmark2" </w:instrText>
      </w:r>
      <w:r>
        <w:rPr>
          <w:rFonts w:hint="default"/>
          <w:lang w:val="en-US" w:eastAsia="zh-CN"/>
        </w:rPr>
        <w:fldChar w:fldCharType="separate"/>
      </w:r>
      <w:r>
        <w:rPr>
          <w:rFonts w:hint="default"/>
          <w:lang w:val="en-US" w:eastAsia="zh-CN"/>
        </w:rPr>
        <w:t>2012</w:t>
      </w:r>
      <w:r>
        <w:rPr>
          <w:rFonts w:hint="default"/>
          <w:lang w:val="en-US" w:eastAsia="zh-CN"/>
        </w:rPr>
        <w:fldChar w:fldCharType="end"/>
      </w:r>
      <w:r>
        <w:rPr>
          <w:rFonts w:hint="default"/>
          <w:lang w:val="en-US" w:eastAsia="zh-CN"/>
        </w:rPr>
        <w:t>]699号)要求，编制企业环境风险应急预案。并按《企业事业单位突发环境事件应急预案备案管理办法(试行)》要求，向项目所在地环境保护主管部门备案，并与园区及园区企业建立应急联动。</w:t>
      </w:r>
    </w:p>
    <w:p w14:paraId="3FC667B8">
      <w:pPr>
        <w:bidi w:val="0"/>
        <w:ind w:firstLine="480" w:firstLineChars="200"/>
        <w:rPr>
          <w:rFonts w:hint="default"/>
          <w:lang w:val="en-US" w:eastAsia="zh-CN"/>
        </w:rPr>
      </w:pPr>
      <w:r>
        <w:rPr>
          <w:rFonts w:hint="default"/>
          <w:lang w:val="en-US" w:eastAsia="zh-CN"/>
        </w:rPr>
        <w:t>本评价参考相关规范要求，列出应急预案编制内容要求汇总见下表。</w:t>
      </w:r>
    </w:p>
    <w:p w14:paraId="6B9520E2">
      <w:pPr>
        <w:bidi w:val="0"/>
        <w:jc w:val="center"/>
        <w:rPr>
          <w:rFonts w:hint="default"/>
          <w:b/>
          <w:bCs/>
          <w:lang w:val="en-US" w:eastAsia="zh-CN"/>
        </w:rPr>
      </w:pPr>
      <w:r>
        <w:rPr>
          <w:rFonts w:hint="default"/>
          <w:b/>
          <w:bCs/>
          <w:lang w:val="en-US" w:eastAsia="zh-CN"/>
        </w:rPr>
        <w:t>表6.2.6-1</w:t>
      </w:r>
      <w:r>
        <w:rPr>
          <w:rFonts w:hint="eastAsia"/>
          <w:b/>
          <w:bCs/>
          <w:lang w:val="en-US" w:eastAsia="zh-CN"/>
        </w:rPr>
        <w:t>3</w:t>
      </w:r>
      <w:r>
        <w:rPr>
          <w:rFonts w:hint="default"/>
          <w:b/>
          <w:bCs/>
          <w:lang w:val="en-US" w:eastAsia="zh-CN"/>
        </w:rPr>
        <w:t xml:space="preserve"> 企业环境风险应急预案编制内容要求汇总一览表</w:t>
      </w:r>
    </w:p>
    <w:tbl>
      <w:tblPr>
        <w:tblStyle w:val="25"/>
        <w:tblW w:w="974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38"/>
        <w:gridCol w:w="1880"/>
        <w:gridCol w:w="7127"/>
      </w:tblGrid>
      <w:tr w14:paraId="2C3EDA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738" w:type="dxa"/>
            <w:vAlign w:val="center"/>
          </w:tcPr>
          <w:p w14:paraId="43CAF06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b/>
                <w:bCs/>
                <w:sz w:val="21"/>
                <w:szCs w:val="21"/>
                <w:lang w:val="en-US" w:eastAsia="zh-CN"/>
              </w:rPr>
            </w:pPr>
            <w:r>
              <w:rPr>
                <w:rFonts w:hint="default"/>
                <w:b/>
                <w:bCs/>
                <w:sz w:val="21"/>
                <w:szCs w:val="21"/>
                <w:lang w:val="en-US" w:eastAsia="zh-CN"/>
              </w:rPr>
              <w:t>序号</w:t>
            </w:r>
          </w:p>
        </w:tc>
        <w:tc>
          <w:tcPr>
            <w:tcW w:w="1880" w:type="dxa"/>
            <w:vAlign w:val="center"/>
          </w:tcPr>
          <w:p w14:paraId="6A7DBC5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b/>
                <w:bCs/>
                <w:sz w:val="21"/>
                <w:szCs w:val="21"/>
                <w:lang w:val="en-US" w:eastAsia="zh-CN"/>
              </w:rPr>
            </w:pPr>
            <w:r>
              <w:rPr>
                <w:rFonts w:hint="default"/>
                <w:b/>
                <w:bCs/>
                <w:sz w:val="21"/>
                <w:szCs w:val="21"/>
                <w:lang w:val="en-US" w:eastAsia="zh-CN"/>
              </w:rPr>
              <w:t>章节</w:t>
            </w:r>
          </w:p>
        </w:tc>
        <w:tc>
          <w:tcPr>
            <w:tcW w:w="7127" w:type="dxa"/>
            <w:vAlign w:val="center"/>
          </w:tcPr>
          <w:p w14:paraId="7F4079A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b/>
                <w:bCs/>
                <w:sz w:val="21"/>
                <w:szCs w:val="21"/>
                <w:lang w:val="en-US" w:eastAsia="zh-CN"/>
              </w:rPr>
            </w:pPr>
            <w:r>
              <w:rPr>
                <w:rFonts w:hint="default"/>
                <w:b/>
                <w:bCs/>
                <w:sz w:val="21"/>
                <w:szCs w:val="21"/>
                <w:lang w:val="en-US" w:eastAsia="zh-CN"/>
              </w:rPr>
              <w:t>主要内容</w:t>
            </w:r>
          </w:p>
        </w:tc>
      </w:tr>
      <w:tr w14:paraId="1B4E86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738" w:type="dxa"/>
            <w:vAlign w:val="center"/>
          </w:tcPr>
          <w:p w14:paraId="095B5E8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1</w:t>
            </w:r>
          </w:p>
        </w:tc>
        <w:tc>
          <w:tcPr>
            <w:tcW w:w="1880" w:type="dxa"/>
            <w:vAlign w:val="center"/>
          </w:tcPr>
          <w:p w14:paraId="0BCE8D6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总则</w:t>
            </w:r>
          </w:p>
        </w:tc>
        <w:tc>
          <w:tcPr>
            <w:tcW w:w="7127" w:type="dxa"/>
            <w:vAlign w:val="center"/>
          </w:tcPr>
          <w:p w14:paraId="1C286D2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明确预案编制的目的、依据、适用范围、等级划分等</w:t>
            </w:r>
          </w:p>
        </w:tc>
      </w:tr>
      <w:tr w14:paraId="091006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738" w:type="dxa"/>
            <w:vAlign w:val="center"/>
          </w:tcPr>
          <w:p w14:paraId="6735FFE1">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2</w:t>
            </w:r>
          </w:p>
        </w:tc>
        <w:tc>
          <w:tcPr>
            <w:tcW w:w="1880" w:type="dxa"/>
            <w:vAlign w:val="center"/>
          </w:tcPr>
          <w:p w14:paraId="1A49CEBA">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组织结构和职责</w:t>
            </w:r>
          </w:p>
        </w:tc>
        <w:tc>
          <w:tcPr>
            <w:tcW w:w="7127" w:type="dxa"/>
            <w:vAlign w:val="center"/>
          </w:tcPr>
          <w:p w14:paraId="6F1B3D0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明确应急机构的组成、各机构职责等</w:t>
            </w:r>
          </w:p>
        </w:tc>
      </w:tr>
      <w:tr w14:paraId="3C78CD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738" w:type="dxa"/>
            <w:vAlign w:val="center"/>
          </w:tcPr>
          <w:p w14:paraId="1721756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3</w:t>
            </w:r>
          </w:p>
        </w:tc>
        <w:tc>
          <w:tcPr>
            <w:tcW w:w="1880" w:type="dxa"/>
            <w:vAlign w:val="center"/>
          </w:tcPr>
          <w:p w14:paraId="767E035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预防与预警</w:t>
            </w:r>
          </w:p>
        </w:tc>
        <w:tc>
          <w:tcPr>
            <w:tcW w:w="7127" w:type="dxa"/>
            <w:vAlign w:val="center"/>
          </w:tcPr>
          <w:p w14:paraId="64E4BF7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明确区域内的重大危险源分布、各应急机构根据职责开展应急预防和应急准</w:t>
            </w:r>
          </w:p>
          <w:p w14:paraId="384C67B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备等</w:t>
            </w:r>
          </w:p>
        </w:tc>
      </w:tr>
      <w:tr w14:paraId="1AECBF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738" w:type="dxa"/>
            <w:vAlign w:val="center"/>
          </w:tcPr>
          <w:p w14:paraId="14169F22">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4</w:t>
            </w:r>
          </w:p>
        </w:tc>
        <w:tc>
          <w:tcPr>
            <w:tcW w:w="1880" w:type="dxa"/>
            <w:vAlign w:val="center"/>
          </w:tcPr>
          <w:p w14:paraId="0B06233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应急响应</w:t>
            </w:r>
          </w:p>
        </w:tc>
        <w:tc>
          <w:tcPr>
            <w:tcW w:w="7127" w:type="dxa"/>
            <w:vAlign w:val="center"/>
          </w:tcPr>
          <w:p w14:paraId="21D8CE7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明确预案应急响应的流程、分级响应及启动条件、信息报告与处置及现场处</w:t>
            </w:r>
          </w:p>
          <w:p w14:paraId="569930B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置等</w:t>
            </w:r>
          </w:p>
        </w:tc>
      </w:tr>
      <w:tr w14:paraId="73C34F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4" w:hRule="atLeast"/>
        </w:trPr>
        <w:tc>
          <w:tcPr>
            <w:tcW w:w="738" w:type="dxa"/>
            <w:vAlign w:val="center"/>
          </w:tcPr>
          <w:p w14:paraId="2A101101">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5</w:t>
            </w:r>
          </w:p>
        </w:tc>
        <w:tc>
          <w:tcPr>
            <w:tcW w:w="1880" w:type="dxa"/>
            <w:vAlign w:val="center"/>
          </w:tcPr>
          <w:p w14:paraId="1BFDEA92">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安全防护</w:t>
            </w:r>
          </w:p>
        </w:tc>
        <w:tc>
          <w:tcPr>
            <w:tcW w:w="7127" w:type="dxa"/>
            <w:vAlign w:val="center"/>
          </w:tcPr>
          <w:p w14:paraId="4F9C5FE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明确事件现场保护措施、群众安全转移措施、次生灾害方法治措施等</w:t>
            </w:r>
          </w:p>
        </w:tc>
      </w:tr>
      <w:tr w14:paraId="18748D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738" w:type="dxa"/>
            <w:vAlign w:val="center"/>
          </w:tcPr>
          <w:p w14:paraId="05CE5D81">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6</w:t>
            </w:r>
          </w:p>
        </w:tc>
        <w:tc>
          <w:tcPr>
            <w:tcW w:w="1880" w:type="dxa"/>
            <w:vAlign w:val="center"/>
          </w:tcPr>
          <w:p w14:paraId="751AE78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应急状态解除</w:t>
            </w:r>
          </w:p>
        </w:tc>
        <w:tc>
          <w:tcPr>
            <w:tcW w:w="7127" w:type="dxa"/>
            <w:vAlign w:val="center"/>
          </w:tcPr>
          <w:p w14:paraId="6AE57C0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明确应急终止的条件、程序及跟踪监测和评估方案等</w:t>
            </w:r>
          </w:p>
        </w:tc>
      </w:tr>
      <w:tr w14:paraId="1B43B8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738" w:type="dxa"/>
            <w:vAlign w:val="center"/>
          </w:tcPr>
          <w:p w14:paraId="0FEB019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7</w:t>
            </w:r>
          </w:p>
        </w:tc>
        <w:tc>
          <w:tcPr>
            <w:tcW w:w="1880" w:type="dxa"/>
            <w:vAlign w:val="center"/>
          </w:tcPr>
          <w:p w14:paraId="6328093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善后处置</w:t>
            </w:r>
          </w:p>
        </w:tc>
        <w:tc>
          <w:tcPr>
            <w:tcW w:w="7127" w:type="dxa"/>
            <w:vAlign w:val="center"/>
          </w:tcPr>
          <w:p w14:paraId="6412C42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明确受灾人员的安置及赔偿方案等</w:t>
            </w:r>
          </w:p>
        </w:tc>
      </w:tr>
      <w:tr w14:paraId="61FE7D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738" w:type="dxa"/>
            <w:vAlign w:val="center"/>
          </w:tcPr>
          <w:p w14:paraId="7A2A052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8</w:t>
            </w:r>
          </w:p>
        </w:tc>
        <w:tc>
          <w:tcPr>
            <w:tcW w:w="1880" w:type="dxa"/>
            <w:vAlign w:val="center"/>
          </w:tcPr>
          <w:p w14:paraId="74F11AB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应急保障</w:t>
            </w:r>
          </w:p>
        </w:tc>
        <w:tc>
          <w:tcPr>
            <w:tcW w:w="7127" w:type="dxa"/>
            <w:vAlign w:val="center"/>
          </w:tcPr>
          <w:p w14:paraId="691843A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明确应急保障计划、应急物资、装备保障及其他保障措施等</w:t>
            </w:r>
          </w:p>
        </w:tc>
      </w:tr>
      <w:tr w14:paraId="3374EF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738" w:type="dxa"/>
            <w:vAlign w:val="center"/>
          </w:tcPr>
          <w:p w14:paraId="66DF9C3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9</w:t>
            </w:r>
          </w:p>
        </w:tc>
        <w:tc>
          <w:tcPr>
            <w:tcW w:w="1880" w:type="dxa"/>
            <w:vAlign w:val="center"/>
          </w:tcPr>
          <w:p w14:paraId="41ECD531">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预案管理</w:t>
            </w:r>
          </w:p>
        </w:tc>
        <w:tc>
          <w:tcPr>
            <w:tcW w:w="7127" w:type="dxa"/>
            <w:vAlign w:val="center"/>
          </w:tcPr>
          <w:p w14:paraId="2542103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sz w:val="21"/>
                <w:szCs w:val="21"/>
                <w:lang w:val="en-US" w:eastAsia="zh-CN"/>
              </w:rPr>
            </w:pPr>
            <w:r>
              <w:rPr>
                <w:rFonts w:hint="default"/>
                <w:sz w:val="21"/>
                <w:szCs w:val="21"/>
                <w:lang w:val="en-US" w:eastAsia="zh-CN"/>
              </w:rPr>
              <w:t>明确预案的演练计划、修订方案及备案程序等</w:t>
            </w:r>
          </w:p>
        </w:tc>
      </w:tr>
    </w:tbl>
    <w:p w14:paraId="2C09582F">
      <w:pPr>
        <w:bidi w:val="0"/>
        <w:rPr>
          <w:rFonts w:hint="eastAsia"/>
          <w:b/>
          <w:bCs/>
          <w:lang w:val="en-US" w:eastAsia="zh-CN"/>
        </w:rPr>
      </w:pPr>
      <w:r>
        <w:rPr>
          <w:rFonts w:hint="eastAsia"/>
          <w:b/>
          <w:bCs/>
          <w:lang w:val="en-US" w:eastAsia="zh-CN"/>
        </w:rPr>
        <w:t>6.2.6.2.9</w:t>
      </w:r>
      <w:r>
        <w:rPr>
          <w:rFonts w:hint="default"/>
          <w:b/>
          <w:bCs/>
          <w:lang w:val="en-US" w:eastAsia="zh-CN"/>
        </w:rPr>
        <w:t xml:space="preserve"> </w:t>
      </w:r>
      <w:r>
        <w:rPr>
          <w:rFonts w:hint="eastAsia"/>
          <w:b/>
          <w:bCs/>
          <w:lang w:val="en-US" w:eastAsia="zh-CN"/>
        </w:rPr>
        <w:t>小结</w:t>
      </w:r>
    </w:p>
    <w:p w14:paraId="67FEAC67">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b w:val="0"/>
          <w:bCs w:val="0"/>
          <w:lang w:val="en-US" w:eastAsia="zh-CN"/>
        </w:rPr>
      </w:pPr>
      <w:r>
        <w:rPr>
          <w:rFonts w:hint="eastAsia"/>
          <w:b w:val="0"/>
          <w:bCs w:val="0"/>
          <w:lang w:val="en-US" w:eastAsia="zh-CN"/>
        </w:rPr>
        <w:t>（1）</w:t>
      </w:r>
      <w:r>
        <w:rPr>
          <w:rFonts w:hint="eastAsia"/>
          <w:color w:val="auto"/>
          <w:lang w:val="en-US" w:eastAsia="zh-CN"/>
        </w:rPr>
        <w:t>本次技改项目主要位于电池片1车间，同时依托现有工程1车间辅料仓（银浆、银包铜浆料）、特气房（三甲基铝）等储运单元以及污水处理站和危废暂存间等环保单元。</w:t>
      </w:r>
      <w:r>
        <w:rPr>
          <w:color w:val="auto"/>
        </w:rPr>
        <w:t>根据《建设项目环境风险评价技术导则HJ169-2018》附表B和附录C突发环境事件风险物质及临界量表，</w:t>
      </w:r>
      <w:r>
        <w:rPr>
          <w:rFonts w:hint="eastAsia"/>
          <w:color w:val="auto"/>
          <w:lang w:val="en-US" w:eastAsia="zh-CN"/>
        </w:rPr>
        <w:t>本次技改项目涉及到的</w:t>
      </w:r>
      <w:r>
        <w:rPr>
          <w:color w:val="auto"/>
        </w:rPr>
        <w:t>环境风险物质</w:t>
      </w:r>
      <w:r>
        <w:rPr>
          <w:rFonts w:hint="eastAsia"/>
          <w:color w:val="auto"/>
          <w:lang w:val="en-US" w:eastAsia="zh-CN"/>
        </w:rPr>
        <w:t>主要为银浆、银包铜浆料、</w:t>
      </w:r>
      <w:r>
        <w:rPr>
          <w:color w:val="auto"/>
        </w:rPr>
        <w:t>三甲基铝</w:t>
      </w:r>
      <w:r>
        <w:rPr>
          <w:rFonts w:hint="eastAsia"/>
          <w:color w:val="auto"/>
          <w:lang w:val="en-US" w:eastAsia="zh-CN"/>
        </w:rPr>
        <w:t>和危险废物等</w:t>
      </w:r>
      <w:r>
        <w:rPr>
          <w:rFonts w:hint="eastAsia"/>
          <w:b w:val="0"/>
          <w:bCs w:val="0"/>
          <w:lang w:val="en-US" w:eastAsia="zh-CN"/>
        </w:rPr>
        <w:t>。通过风险识别和源项分析，确定本工程最大可信事故为三甲基铝钢瓶泄漏引发的火灾/爆炸产生次生物质CO风险事故。</w:t>
      </w:r>
    </w:p>
    <w:p w14:paraId="267F15BE">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b w:val="0"/>
          <w:bCs w:val="0"/>
          <w:lang w:val="en-US" w:eastAsia="zh-CN"/>
        </w:rPr>
      </w:pPr>
      <w:r>
        <w:rPr>
          <w:rFonts w:hint="eastAsia"/>
          <w:b w:val="0"/>
          <w:bCs w:val="0"/>
          <w:lang w:val="en-US" w:eastAsia="zh-CN"/>
        </w:rPr>
        <w:t>（2）结合项目风险事故情形及最大预测结果，</w:t>
      </w:r>
      <w:r>
        <w:rPr>
          <w:rFonts w:hint="default"/>
          <w:lang w:val="en-US" w:eastAsia="zh-CN"/>
        </w:rPr>
        <w:t>三甲基铝钢瓶泄漏引发的火灾/爆炸产生次生物质CO</w:t>
      </w:r>
      <w:r>
        <w:rPr>
          <w:rFonts w:ascii="Times New Roman" w:hAnsi="Times New Roman" w:cs="Times New Roman"/>
          <w:color w:val="auto"/>
        </w:rPr>
        <w:t>，</w:t>
      </w:r>
      <w:r>
        <w:rPr>
          <w:rFonts w:hint="eastAsia" w:ascii="Times New Roman" w:hAnsi="Times New Roman" w:cs="Times New Roman"/>
          <w:color w:val="auto"/>
        </w:rPr>
        <w:t>最</w:t>
      </w:r>
      <w:r>
        <w:rPr>
          <w:rFonts w:hint="eastAsia" w:ascii="Times New Roman" w:hAnsi="Times New Roman" w:cs="Times New Roman"/>
          <w:color w:val="auto"/>
          <w:lang w:val="en-US" w:eastAsia="zh-CN"/>
        </w:rPr>
        <w:t>不利</w:t>
      </w:r>
      <w:r>
        <w:rPr>
          <w:rFonts w:hint="eastAsia" w:ascii="Times New Roman" w:hAnsi="Times New Roman" w:cs="Times New Roman"/>
          <w:color w:val="auto"/>
        </w:rPr>
        <w:t>气象条件下</w:t>
      </w:r>
      <w:r>
        <w:rPr>
          <w:rFonts w:ascii="Times New Roman" w:hAnsi="Times New Roman" w:cs="Times New Roman"/>
          <w:color w:val="auto"/>
        </w:rPr>
        <w:t>，</w:t>
      </w:r>
      <w:r>
        <w:rPr>
          <w:rFonts w:hint="default"/>
          <w:lang w:val="en-US" w:eastAsia="zh-CN"/>
        </w:rPr>
        <w:t>CO高峰高峰浓度小未出现于大气毒性终点浓度-1的最远距离未出现</w:t>
      </w:r>
      <w:r>
        <w:rPr>
          <w:rFonts w:hint="eastAsia" w:ascii="Times New Roman" w:hAnsi="Times New Roman" w:cs="Times New Roman"/>
          <w:color w:val="auto"/>
          <w:lang w:val="en-US" w:eastAsia="zh-CN"/>
        </w:rPr>
        <w:t>，本次技改项目维持现有工程</w:t>
      </w:r>
      <w:r>
        <w:rPr>
          <w:rFonts w:ascii="Times New Roman" w:hAnsi="Times New Roman" w:cs="Times New Roman"/>
          <w:color w:val="auto"/>
        </w:rPr>
        <w:t>1</w:t>
      </w:r>
      <w:r>
        <w:rPr>
          <w:rFonts w:hint="eastAsia" w:ascii="Times New Roman" w:hAnsi="Times New Roman" w:cs="Times New Roman"/>
          <w:color w:val="auto"/>
          <w:lang w:val="en-US" w:eastAsia="zh-CN"/>
        </w:rPr>
        <w:t>5</w:t>
      </w:r>
      <w:r>
        <w:rPr>
          <w:rFonts w:ascii="Times New Roman" w:hAnsi="Times New Roman" w:cs="Times New Roman"/>
          <w:color w:val="auto"/>
        </w:rPr>
        <w:t>0m的环境防护距离</w:t>
      </w:r>
      <w:r>
        <w:rPr>
          <w:rFonts w:hint="eastAsia" w:ascii="Times New Roman" w:hAnsi="Times New Roman" w:cs="Times New Roman"/>
          <w:color w:val="auto"/>
          <w:lang w:val="en-US" w:eastAsia="zh-CN"/>
        </w:rPr>
        <w:t>不变</w:t>
      </w:r>
      <w:r>
        <w:rPr>
          <w:rFonts w:ascii="Times New Roman" w:hAnsi="Times New Roman" w:cs="Times New Roman"/>
          <w:color w:val="auto"/>
        </w:rPr>
        <w:t>，环境防护距离内目前</w:t>
      </w:r>
      <w:r>
        <w:rPr>
          <w:rFonts w:hint="eastAsia" w:ascii="Times New Roman" w:hAnsi="Times New Roman" w:cs="Times New Roman"/>
          <w:color w:val="auto"/>
        </w:rPr>
        <w:t>不</w:t>
      </w:r>
      <w:r>
        <w:rPr>
          <w:rFonts w:ascii="Times New Roman" w:hAnsi="Times New Roman" w:cs="Times New Roman"/>
          <w:color w:val="auto"/>
        </w:rPr>
        <w:t>存在敏感点</w:t>
      </w:r>
      <w:r>
        <w:rPr>
          <w:rFonts w:hint="eastAsia"/>
          <w:b w:val="0"/>
          <w:bCs w:val="0"/>
          <w:lang w:val="en-US" w:eastAsia="zh-CN"/>
        </w:rPr>
        <w:t>。</w:t>
      </w:r>
    </w:p>
    <w:p w14:paraId="29C1171C">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b w:val="0"/>
          <w:bCs w:val="0"/>
          <w:lang w:val="en-US" w:eastAsia="zh-CN"/>
        </w:rPr>
      </w:pPr>
      <w:r>
        <w:rPr>
          <w:rFonts w:hint="eastAsia"/>
          <w:b w:val="0"/>
          <w:bCs w:val="0"/>
          <w:lang w:val="en-US" w:eastAsia="zh-CN"/>
        </w:rPr>
        <w:t>（3）本项目的事故风险可以接受，但应进一步进行控制和预防。该风险水平是可以接受的。</w:t>
      </w:r>
    </w:p>
    <w:p w14:paraId="0F1B87A6">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b w:val="0"/>
          <w:bCs w:val="0"/>
          <w:lang w:val="en-US" w:eastAsia="zh-CN"/>
        </w:rPr>
      </w:pPr>
      <w:r>
        <w:rPr>
          <w:rFonts w:hint="eastAsia"/>
          <w:b w:val="0"/>
          <w:bCs w:val="0"/>
          <w:lang w:val="en-US" w:eastAsia="zh-CN"/>
        </w:rPr>
        <w:t>（4）本项目具有潜在的事故风险，尽管最大可信灾害事故概率较小，但要从建设、生产、贮存等各方面积极采取防护措施，这是确保安全的根本措施。</w:t>
      </w:r>
    </w:p>
    <w:p w14:paraId="6FF09F3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b w:val="0"/>
          <w:bCs w:val="0"/>
          <w:lang w:val="en-US" w:eastAsia="zh-CN"/>
        </w:rPr>
      </w:pPr>
      <w:r>
        <w:rPr>
          <w:rFonts w:hint="eastAsia"/>
          <w:b w:val="0"/>
          <w:bCs w:val="0"/>
          <w:lang w:val="en-US" w:eastAsia="zh-CN"/>
        </w:rPr>
        <w:t>为了防范事故和减少危害，项目必须制定事故应急预案。发生事故时，采取相应的应急措施，以控制事故和减少对环境造成的危害。</w:t>
      </w:r>
    </w:p>
    <w:p w14:paraId="2B900320">
      <w:pPr>
        <w:bidi w:val="0"/>
        <w:jc w:val="center"/>
        <w:rPr>
          <w:rFonts w:hint="eastAsia"/>
          <w:b/>
          <w:bCs/>
          <w:lang w:val="en-US" w:eastAsia="zh-CN"/>
        </w:rPr>
      </w:pPr>
      <w:r>
        <w:rPr>
          <w:rFonts w:hint="eastAsia"/>
          <w:b/>
          <w:bCs/>
          <w:lang w:val="en-US" w:eastAsia="zh-CN"/>
        </w:rPr>
        <w:t>表</w:t>
      </w:r>
      <w:r>
        <w:rPr>
          <w:rFonts w:hint="default"/>
          <w:b/>
          <w:bCs/>
          <w:lang w:val="en-US" w:eastAsia="zh-CN"/>
        </w:rPr>
        <w:t>6.2.6-1</w:t>
      </w:r>
      <w:r>
        <w:rPr>
          <w:rFonts w:hint="eastAsia"/>
          <w:b/>
          <w:bCs/>
          <w:lang w:val="en-US" w:eastAsia="zh-CN"/>
        </w:rPr>
        <w:t>4 全厂环境风险评价自查表</w:t>
      </w:r>
    </w:p>
    <w:tbl>
      <w:tblPr>
        <w:tblStyle w:val="25"/>
        <w:tblW w:w="966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1"/>
        <w:gridCol w:w="608"/>
        <w:gridCol w:w="1238"/>
        <w:gridCol w:w="429"/>
        <w:gridCol w:w="146"/>
        <w:gridCol w:w="88"/>
        <w:gridCol w:w="552"/>
        <w:gridCol w:w="569"/>
        <w:gridCol w:w="58"/>
        <w:gridCol w:w="264"/>
        <w:gridCol w:w="167"/>
        <w:gridCol w:w="366"/>
        <w:gridCol w:w="608"/>
        <w:gridCol w:w="329"/>
        <w:gridCol w:w="206"/>
        <w:gridCol w:w="101"/>
        <w:gridCol w:w="92"/>
        <w:gridCol w:w="203"/>
        <w:gridCol w:w="401"/>
        <w:gridCol w:w="167"/>
        <w:gridCol w:w="303"/>
        <w:gridCol w:w="292"/>
        <w:gridCol w:w="99"/>
        <w:gridCol w:w="53"/>
        <w:gridCol w:w="272"/>
        <w:gridCol w:w="583"/>
        <w:gridCol w:w="757"/>
      </w:tblGrid>
      <w:tr w14:paraId="048793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1319" w:type="dxa"/>
            <w:gridSpan w:val="2"/>
            <w:tcBorders>
              <w:top w:val="single" w:color="auto" w:sz="4" w:space="0"/>
              <w:left w:val="single" w:color="auto" w:sz="4" w:space="0"/>
              <w:bottom w:val="single" w:color="auto" w:sz="4" w:space="0"/>
              <w:right w:val="single" w:color="auto" w:sz="4" w:space="0"/>
            </w:tcBorders>
            <w:vAlign w:val="center"/>
          </w:tcPr>
          <w:p w14:paraId="56DF1EBD">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工作内容</w:t>
            </w:r>
          </w:p>
        </w:tc>
        <w:tc>
          <w:tcPr>
            <w:tcW w:w="8343" w:type="dxa"/>
            <w:gridSpan w:val="25"/>
            <w:tcBorders>
              <w:top w:val="single" w:color="auto" w:sz="4" w:space="0"/>
              <w:left w:val="single" w:color="auto" w:sz="4" w:space="0"/>
              <w:bottom w:val="single" w:color="auto" w:sz="4" w:space="0"/>
              <w:right w:val="single" w:color="auto" w:sz="4" w:space="0"/>
            </w:tcBorders>
            <w:vAlign w:val="center"/>
          </w:tcPr>
          <w:p w14:paraId="56218E2E">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完成情况</w:t>
            </w:r>
          </w:p>
        </w:tc>
      </w:tr>
      <w:tr w14:paraId="3B2157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711" w:type="dxa"/>
            <w:vMerge w:val="restart"/>
            <w:tcBorders>
              <w:top w:val="single" w:color="auto" w:sz="4" w:space="0"/>
              <w:left w:val="single" w:color="auto" w:sz="4" w:space="0"/>
              <w:bottom w:val="single" w:color="auto" w:sz="4" w:space="0"/>
              <w:right w:val="single" w:color="auto" w:sz="4" w:space="0"/>
            </w:tcBorders>
            <w:vAlign w:val="center"/>
          </w:tcPr>
          <w:p w14:paraId="3089EB00">
            <w:pPr>
              <w:widowControl w:val="0"/>
              <w:bidi w:val="0"/>
              <w:spacing w:line="240" w:lineRule="auto"/>
              <w:jc w:val="center"/>
              <w:rPr>
                <w:rFonts w:hint="eastAsia"/>
                <w:sz w:val="21"/>
                <w:szCs w:val="21"/>
                <w:lang w:val="en-US" w:eastAsia="zh-CN"/>
              </w:rPr>
            </w:pPr>
            <w:r>
              <w:rPr>
                <w:rFonts w:hint="eastAsia"/>
                <w:sz w:val="21"/>
                <w:szCs w:val="21"/>
                <w:lang w:val="en-US" w:eastAsia="zh-CN"/>
              </w:rPr>
              <w:t>风险调查</w:t>
            </w:r>
          </w:p>
        </w:tc>
        <w:tc>
          <w:tcPr>
            <w:tcW w:w="608" w:type="dxa"/>
            <w:vMerge w:val="restart"/>
            <w:tcBorders>
              <w:top w:val="single" w:color="auto" w:sz="4" w:space="0"/>
              <w:left w:val="single" w:color="auto" w:sz="4" w:space="0"/>
              <w:bottom w:val="single" w:color="auto" w:sz="4" w:space="0"/>
              <w:right w:val="single" w:color="auto" w:sz="4" w:space="0"/>
            </w:tcBorders>
            <w:vAlign w:val="center"/>
          </w:tcPr>
          <w:p w14:paraId="26B8408B">
            <w:pPr>
              <w:widowControl w:val="0"/>
              <w:bidi w:val="0"/>
              <w:spacing w:line="240" w:lineRule="auto"/>
              <w:jc w:val="center"/>
              <w:rPr>
                <w:rFonts w:hint="eastAsia"/>
                <w:sz w:val="21"/>
                <w:szCs w:val="21"/>
                <w:lang w:val="en-US" w:eastAsia="zh-CN"/>
              </w:rPr>
            </w:pPr>
            <w:r>
              <w:rPr>
                <w:rFonts w:hint="eastAsia"/>
                <w:sz w:val="21"/>
                <w:szCs w:val="21"/>
                <w:lang w:val="en-US" w:eastAsia="zh-CN"/>
              </w:rPr>
              <w:t>危险物质</w:t>
            </w:r>
          </w:p>
        </w:tc>
        <w:tc>
          <w:tcPr>
            <w:tcW w:w="1238" w:type="dxa"/>
            <w:tcBorders>
              <w:top w:val="single" w:color="auto" w:sz="4" w:space="0"/>
              <w:left w:val="single" w:color="auto" w:sz="4" w:space="0"/>
              <w:bottom w:val="single" w:color="auto" w:sz="4" w:space="0"/>
              <w:right w:val="single" w:color="auto" w:sz="4" w:space="0"/>
            </w:tcBorders>
            <w:vAlign w:val="center"/>
          </w:tcPr>
          <w:p w14:paraId="51771D99">
            <w:pPr>
              <w:widowControl w:val="0"/>
              <w:bidi w:val="0"/>
              <w:spacing w:line="240" w:lineRule="auto"/>
              <w:jc w:val="center"/>
              <w:rPr>
                <w:rFonts w:hint="eastAsia"/>
                <w:sz w:val="21"/>
                <w:szCs w:val="21"/>
                <w:lang w:val="en-US" w:eastAsia="zh-CN"/>
              </w:rPr>
            </w:pPr>
            <w:r>
              <w:rPr>
                <w:rFonts w:hint="eastAsia"/>
                <w:sz w:val="21"/>
                <w:szCs w:val="21"/>
                <w:lang w:val="en-US" w:eastAsia="zh-CN"/>
              </w:rPr>
              <w:t>名称</w:t>
            </w:r>
          </w:p>
        </w:tc>
        <w:tc>
          <w:tcPr>
            <w:tcW w:w="575" w:type="dxa"/>
            <w:gridSpan w:val="2"/>
            <w:tcBorders>
              <w:top w:val="single" w:color="auto" w:sz="4" w:space="0"/>
              <w:left w:val="single" w:color="auto" w:sz="4" w:space="0"/>
              <w:bottom w:val="single" w:color="auto" w:sz="4" w:space="0"/>
              <w:right w:val="single" w:color="auto" w:sz="4" w:space="0"/>
            </w:tcBorders>
            <w:vAlign w:val="center"/>
          </w:tcPr>
          <w:p w14:paraId="2910C3C1">
            <w:pPr>
              <w:widowControl w:val="0"/>
              <w:bidi w:val="0"/>
              <w:spacing w:line="240" w:lineRule="auto"/>
              <w:jc w:val="center"/>
              <w:rPr>
                <w:rFonts w:hint="eastAsia"/>
                <w:sz w:val="21"/>
                <w:szCs w:val="21"/>
                <w:lang w:val="en-US" w:eastAsia="zh-CN"/>
              </w:rPr>
            </w:pPr>
            <w:r>
              <w:rPr>
                <w:rFonts w:hint="eastAsia"/>
                <w:sz w:val="21"/>
                <w:szCs w:val="21"/>
                <w:lang w:val="en-US" w:eastAsia="zh-CN"/>
              </w:rPr>
              <w:t>银及其化合物（以银计）</w:t>
            </w:r>
          </w:p>
        </w:tc>
        <w:tc>
          <w:tcPr>
            <w:tcW w:w="640" w:type="dxa"/>
            <w:gridSpan w:val="2"/>
            <w:tcBorders>
              <w:top w:val="single" w:color="auto" w:sz="4" w:space="0"/>
              <w:left w:val="single" w:color="auto" w:sz="4" w:space="0"/>
              <w:bottom w:val="single" w:color="auto" w:sz="4" w:space="0"/>
              <w:right w:val="single" w:color="auto" w:sz="4" w:space="0"/>
            </w:tcBorders>
            <w:vAlign w:val="center"/>
          </w:tcPr>
          <w:p w14:paraId="0962293D">
            <w:pPr>
              <w:widowControl w:val="0"/>
              <w:bidi w:val="0"/>
              <w:spacing w:line="240" w:lineRule="auto"/>
              <w:jc w:val="center"/>
              <w:rPr>
                <w:rFonts w:hint="eastAsia"/>
                <w:sz w:val="21"/>
                <w:szCs w:val="21"/>
                <w:lang w:val="en-US" w:eastAsia="zh-CN"/>
              </w:rPr>
            </w:pPr>
            <w:r>
              <w:rPr>
                <w:rFonts w:hint="eastAsia"/>
                <w:sz w:val="21"/>
                <w:szCs w:val="21"/>
                <w:lang w:val="en-US" w:eastAsia="zh-CN"/>
              </w:rPr>
              <w:t>液氨</w:t>
            </w:r>
          </w:p>
        </w:tc>
        <w:tc>
          <w:tcPr>
            <w:tcW w:w="627" w:type="dxa"/>
            <w:gridSpan w:val="2"/>
            <w:tcBorders>
              <w:top w:val="single" w:color="auto" w:sz="4" w:space="0"/>
              <w:left w:val="single" w:color="auto" w:sz="4" w:space="0"/>
              <w:bottom w:val="single" w:color="auto" w:sz="4" w:space="0"/>
              <w:right w:val="single" w:color="auto" w:sz="4" w:space="0"/>
            </w:tcBorders>
            <w:vAlign w:val="center"/>
          </w:tcPr>
          <w:p w14:paraId="382A3C76">
            <w:pPr>
              <w:widowControl w:val="0"/>
              <w:bidi w:val="0"/>
              <w:spacing w:line="240" w:lineRule="auto"/>
              <w:jc w:val="center"/>
              <w:rPr>
                <w:rFonts w:hint="eastAsia"/>
                <w:sz w:val="21"/>
                <w:szCs w:val="21"/>
                <w:lang w:val="en-US" w:eastAsia="zh-CN"/>
              </w:rPr>
            </w:pPr>
            <w:r>
              <w:rPr>
                <w:rFonts w:hint="eastAsia"/>
                <w:sz w:val="21"/>
                <w:szCs w:val="21"/>
                <w:lang w:val="en-US" w:eastAsia="zh-CN"/>
              </w:rPr>
              <w:t>三氯</w:t>
            </w:r>
          </w:p>
          <w:p w14:paraId="04E8D273">
            <w:pPr>
              <w:widowControl w:val="0"/>
              <w:bidi w:val="0"/>
              <w:spacing w:line="240" w:lineRule="auto"/>
              <w:jc w:val="center"/>
              <w:rPr>
                <w:rFonts w:hint="eastAsia"/>
                <w:sz w:val="21"/>
                <w:szCs w:val="21"/>
                <w:lang w:val="en-US" w:eastAsia="zh-CN"/>
              </w:rPr>
            </w:pPr>
            <w:r>
              <w:rPr>
                <w:rFonts w:hint="eastAsia"/>
                <w:sz w:val="21"/>
                <w:szCs w:val="21"/>
                <w:lang w:val="en-US" w:eastAsia="zh-CN"/>
              </w:rPr>
              <w:t>化硼</w:t>
            </w:r>
          </w:p>
        </w:tc>
        <w:tc>
          <w:tcPr>
            <w:tcW w:w="797" w:type="dxa"/>
            <w:gridSpan w:val="3"/>
            <w:tcBorders>
              <w:top w:val="single" w:color="auto" w:sz="4" w:space="0"/>
              <w:left w:val="single" w:color="auto" w:sz="4" w:space="0"/>
              <w:bottom w:val="single" w:color="auto" w:sz="4" w:space="0"/>
              <w:right w:val="single" w:color="auto" w:sz="4" w:space="0"/>
            </w:tcBorders>
            <w:vAlign w:val="center"/>
          </w:tcPr>
          <w:p w14:paraId="71AD1292">
            <w:pPr>
              <w:widowControl w:val="0"/>
              <w:bidi w:val="0"/>
              <w:spacing w:line="240" w:lineRule="auto"/>
              <w:jc w:val="center"/>
              <w:rPr>
                <w:rFonts w:hint="eastAsia"/>
                <w:sz w:val="21"/>
                <w:szCs w:val="21"/>
                <w:lang w:val="en-US" w:eastAsia="zh-CN"/>
              </w:rPr>
            </w:pPr>
            <w:r>
              <w:rPr>
                <w:rFonts w:hint="eastAsia"/>
                <w:sz w:val="21"/>
                <w:szCs w:val="21"/>
                <w:lang w:val="en-US" w:eastAsia="zh-CN"/>
              </w:rPr>
              <w:t>硅烷</w:t>
            </w:r>
          </w:p>
        </w:tc>
        <w:tc>
          <w:tcPr>
            <w:tcW w:w="608" w:type="dxa"/>
            <w:tcBorders>
              <w:top w:val="single" w:color="auto" w:sz="4" w:space="0"/>
              <w:left w:val="single" w:color="auto" w:sz="4" w:space="0"/>
              <w:bottom w:val="single" w:color="auto" w:sz="4" w:space="0"/>
              <w:right w:val="single" w:color="auto" w:sz="4" w:space="0"/>
            </w:tcBorders>
            <w:vAlign w:val="center"/>
          </w:tcPr>
          <w:p w14:paraId="5C49F055">
            <w:pPr>
              <w:widowControl w:val="0"/>
              <w:bidi w:val="0"/>
              <w:spacing w:line="240" w:lineRule="auto"/>
              <w:jc w:val="center"/>
              <w:rPr>
                <w:rFonts w:hint="eastAsia"/>
                <w:sz w:val="21"/>
                <w:szCs w:val="21"/>
                <w:lang w:val="en-US" w:eastAsia="zh-CN"/>
              </w:rPr>
            </w:pPr>
            <w:r>
              <w:rPr>
                <w:rFonts w:hint="eastAsia"/>
                <w:sz w:val="21"/>
                <w:szCs w:val="21"/>
                <w:lang w:val="en-US" w:eastAsia="zh-CN"/>
              </w:rPr>
              <w:t>盐酸</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30D87844">
            <w:pPr>
              <w:widowControl w:val="0"/>
              <w:bidi w:val="0"/>
              <w:spacing w:line="240" w:lineRule="auto"/>
              <w:jc w:val="center"/>
              <w:rPr>
                <w:rFonts w:hint="eastAsia"/>
                <w:sz w:val="21"/>
                <w:szCs w:val="21"/>
                <w:lang w:val="en-US" w:eastAsia="zh-CN"/>
              </w:rPr>
            </w:pPr>
            <w:r>
              <w:rPr>
                <w:rFonts w:hint="eastAsia"/>
                <w:sz w:val="21"/>
                <w:szCs w:val="21"/>
                <w:lang w:val="en-US" w:eastAsia="zh-CN"/>
              </w:rPr>
              <w:t>三氯氧磷</w:t>
            </w:r>
          </w:p>
        </w:tc>
        <w:tc>
          <w:tcPr>
            <w:tcW w:w="871" w:type="dxa"/>
            <w:gridSpan w:val="3"/>
            <w:tcBorders>
              <w:top w:val="single" w:color="auto" w:sz="4" w:space="0"/>
              <w:left w:val="single" w:color="auto" w:sz="4" w:space="0"/>
              <w:bottom w:val="single" w:color="auto" w:sz="4" w:space="0"/>
              <w:right w:val="single" w:color="auto" w:sz="4" w:space="0"/>
            </w:tcBorders>
            <w:vAlign w:val="center"/>
          </w:tcPr>
          <w:p w14:paraId="4D29D39A">
            <w:pPr>
              <w:widowControl w:val="0"/>
              <w:bidi w:val="0"/>
              <w:spacing w:line="240" w:lineRule="auto"/>
              <w:jc w:val="center"/>
              <w:rPr>
                <w:rFonts w:hint="eastAsia"/>
                <w:sz w:val="21"/>
                <w:szCs w:val="21"/>
                <w:lang w:val="en-US" w:eastAsia="zh-CN"/>
              </w:rPr>
            </w:pPr>
            <w:r>
              <w:rPr>
                <w:rFonts w:hint="eastAsia"/>
                <w:sz w:val="21"/>
                <w:szCs w:val="21"/>
                <w:lang w:val="en-US" w:eastAsia="zh-CN"/>
              </w:rPr>
              <w:t>氢氟酸</w:t>
            </w:r>
          </w:p>
        </w:tc>
        <w:tc>
          <w:tcPr>
            <w:tcW w:w="716" w:type="dxa"/>
            <w:gridSpan w:val="4"/>
            <w:tcBorders>
              <w:top w:val="single" w:color="auto" w:sz="4" w:space="0"/>
              <w:left w:val="single" w:color="auto" w:sz="4" w:space="0"/>
              <w:bottom w:val="single" w:color="auto" w:sz="4" w:space="0"/>
              <w:right w:val="single" w:color="auto" w:sz="4" w:space="0"/>
            </w:tcBorders>
            <w:vAlign w:val="center"/>
          </w:tcPr>
          <w:p w14:paraId="30B10D0F">
            <w:pPr>
              <w:widowControl w:val="0"/>
              <w:bidi w:val="0"/>
              <w:spacing w:line="240" w:lineRule="auto"/>
              <w:jc w:val="center"/>
              <w:rPr>
                <w:rFonts w:hint="eastAsia"/>
                <w:sz w:val="21"/>
                <w:szCs w:val="21"/>
                <w:lang w:val="en-US" w:eastAsia="zh-CN"/>
              </w:rPr>
            </w:pPr>
            <w:r>
              <w:rPr>
                <w:rFonts w:hint="eastAsia"/>
                <w:sz w:val="21"/>
                <w:szCs w:val="21"/>
                <w:lang w:val="en-US" w:eastAsia="zh-CN"/>
              </w:rPr>
              <w:t>三甲基铝</w:t>
            </w:r>
          </w:p>
        </w:tc>
        <w:tc>
          <w:tcPr>
            <w:tcW w:w="583" w:type="dxa"/>
            <w:tcBorders>
              <w:top w:val="single" w:color="auto" w:sz="4" w:space="0"/>
              <w:left w:val="single" w:color="auto" w:sz="4" w:space="0"/>
              <w:bottom w:val="single" w:color="auto" w:sz="4" w:space="0"/>
              <w:right w:val="single" w:color="auto" w:sz="4" w:space="0"/>
            </w:tcBorders>
            <w:vAlign w:val="center"/>
          </w:tcPr>
          <w:p w14:paraId="1B2AD50A">
            <w:pPr>
              <w:widowControl w:val="0"/>
              <w:bidi w:val="0"/>
              <w:spacing w:line="240" w:lineRule="auto"/>
              <w:jc w:val="center"/>
              <w:rPr>
                <w:rFonts w:hint="eastAsia"/>
                <w:sz w:val="21"/>
                <w:szCs w:val="21"/>
                <w:lang w:val="en-US" w:eastAsia="zh-CN"/>
              </w:rPr>
            </w:pPr>
            <w:r>
              <w:rPr>
                <w:rFonts w:hint="eastAsia"/>
                <w:sz w:val="21"/>
                <w:szCs w:val="21"/>
                <w:lang w:val="en-US" w:eastAsia="zh-CN"/>
              </w:rPr>
              <w:t>无水</w:t>
            </w:r>
          </w:p>
          <w:p w14:paraId="0C64ED10">
            <w:pPr>
              <w:widowControl w:val="0"/>
              <w:bidi w:val="0"/>
              <w:spacing w:line="240" w:lineRule="auto"/>
              <w:jc w:val="center"/>
              <w:rPr>
                <w:rFonts w:hint="eastAsia"/>
                <w:sz w:val="21"/>
                <w:szCs w:val="21"/>
                <w:lang w:val="en-US" w:eastAsia="zh-CN"/>
              </w:rPr>
            </w:pPr>
            <w:r>
              <w:rPr>
                <w:rFonts w:hint="eastAsia"/>
                <w:sz w:val="21"/>
                <w:szCs w:val="21"/>
                <w:lang w:val="en-US" w:eastAsia="zh-CN"/>
              </w:rPr>
              <w:t>乙醇</w:t>
            </w:r>
          </w:p>
        </w:tc>
        <w:tc>
          <w:tcPr>
            <w:tcW w:w="757" w:type="dxa"/>
            <w:tcBorders>
              <w:top w:val="single" w:color="auto" w:sz="4" w:space="0"/>
              <w:left w:val="single" w:color="auto" w:sz="4" w:space="0"/>
              <w:bottom w:val="single" w:color="auto" w:sz="4" w:space="0"/>
              <w:right w:val="single" w:color="auto" w:sz="4" w:space="0"/>
            </w:tcBorders>
            <w:vAlign w:val="center"/>
          </w:tcPr>
          <w:p w14:paraId="4A4F5853">
            <w:pPr>
              <w:widowControl w:val="0"/>
              <w:bidi w:val="0"/>
              <w:spacing w:line="240" w:lineRule="auto"/>
              <w:jc w:val="center"/>
              <w:rPr>
                <w:rFonts w:hint="eastAsia"/>
                <w:sz w:val="21"/>
                <w:szCs w:val="21"/>
                <w:lang w:val="en-US" w:eastAsia="zh-CN"/>
              </w:rPr>
            </w:pPr>
            <w:r>
              <w:rPr>
                <w:rFonts w:hint="eastAsia"/>
                <w:sz w:val="21"/>
                <w:szCs w:val="21"/>
                <w:lang w:val="en-US" w:eastAsia="zh-CN"/>
              </w:rPr>
              <w:t>危险废物</w:t>
            </w:r>
          </w:p>
        </w:tc>
      </w:tr>
      <w:tr w14:paraId="65EAA6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03221629">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5E551666">
            <w:pPr>
              <w:widowControl w:val="0"/>
              <w:bidi w:val="0"/>
              <w:spacing w:line="240" w:lineRule="auto"/>
              <w:jc w:val="center"/>
              <w:rPr>
                <w:rFonts w:hint="eastAsia"/>
                <w:sz w:val="21"/>
                <w:szCs w:val="21"/>
                <w:lang w:val="en-US" w:eastAsia="zh-CN"/>
              </w:rPr>
            </w:pPr>
          </w:p>
        </w:tc>
        <w:tc>
          <w:tcPr>
            <w:tcW w:w="1238" w:type="dxa"/>
            <w:tcBorders>
              <w:top w:val="single" w:color="auto" w:sz="4" w:space="0"/>
              <w:left w:val="single" w:color="auto" w:sz="4" w:space="0"/>
              <w:bottom w:val="single" w:color="auto" w:sz="4" w:space="0"/>
              <w:right w:val="single" w:color="auto" w:sz="4" w:space="0"/>
            </w:tcBorders>
            <w:vAlign w:val="center"/>
          </w:tcPr>
          <w:p w14:paraId="6BBB0B06">
            <w:pPr>
              <w:widowControl w:val="0"/>
              <w:bidi w:val="0"/>
              <w:spacing w:line="240" w:lineRule="auto"/>
              <w:jc w:val="center"/>
              <w:rPr>
                <w:rFonts w:hint="eastAsia"/>
                <w:sz w:val="21"/>
                <w:szCs w:val="21"/>
                <w:lang w:val="en-US" w:eastAsia="zh-CN"/>
              </w:rPr>
            </w:pPr>
            <w:r>
              <w:rPr>
                <w:rFonts w:hint="eastAsia"/>
                <w:sz w:val="21"/>
                <w:szCs w:val="21"/>
                <w:lang w:val="en-US" w:eastAsia="zh-CN"/>
              </w:rPr>
              <w:t>存在总量/t</w:t>
            </w:r>
          </w:p>
        </w:tc>
        <w:tc>
          <w:tcPr>
            <w:tcW w:w="575" w:type="dxa"/>
            <w:gridSpan w:val="2"/>
            <w:tcBorders>
              <w:top w:val="single" w:color="auto" w:sz="4" w:space="0"/>
              <w:left w:val="single" w:color="auto" w:sz="4" w:space="0"/>
              <w:bottom w:val="single" w:color="auto" w:sz="4" w:space="0"/>
              <w:right w:val="single" w:color="auto" w:sz="4" w:space="0"/>
            </w:tcBorders>
            <w:vAlign w:val="center"/>
          </w:tcPr>
          <w:p w14:paraId="27332BBE">
            <w:pPr>
              <w:widowControl w:val="0"/>
              <w:bidi w:val="0"/>
              <w:spacing w:line="240" w:lineRule="auto"/>
              <w:jc w:val="center"/>
              <w:rPr>
                <w:rFonts w:hint="default"/>
                <w:sz w:val="21"/>
                <w:szCs w:val="21"/>
                <w:lang w:val="en-US" w:eastAsia="zh-CN"/>
              </w:rPr>
            </w:pPr>
            <w:r>
              <w:rPr>
                <w:rFonts w:hint="eastAsia"/>
                <w:sz w:val="21"/>
                <w:szCs w:val="21"/>
                <w:lang w:val="en-US" w:eastAsia="zh-CN"/>
              </w:rPr>
              <w:t>1.75</w:t>
            </w:r>
          </w:p>
        </w:tc>
        <w:tc>
          <w:tcPr>
            <w:tcW w:w="640" w:type="dxa"/>
            <w:gridSpan w:val="2"/>
            <w:tcBorders>
              <w:top w:val="single" w:color="auto" w:sz="4" w:space="0"/>
              <w:left w:val="single" w:color="auto" w:sz="4" w:space="0"/>
              <w:bottom w:val="single" w:color="auto" w:sz="4" w:space="0"/>
              <w:right w:val="single" w:color="auto" w:sz="4" w:space="0"/>
            </w:tcBorders>
            <w:vAlign w:val="center"/>
          </w:tcPr>
          <w:p w14:paraId="6120D0A7">
            <w:pPr>
              <w:widowControl w:val="0"/>
              <w:bidi w:val="0"/>
              <w:spacing w:line="240" w:lineRule="auto"/>
              <w:jc w:val="center"/>
              <w:rPr>
                <w:rFonts w:hint="eastAsia"/>
                <w:sz w:val="21"/>
                <w:szCs w:val="21"/>
                <w:lang w:val="en-US" w:eastAsia="zh-CN"/>
              </w:rPr>
            </w:pPr>
            <w:r>
              <w:rPr>
                <w:rFonts w:hint="eastAsia"/>
                <w:sz w:val="21"/>
                <w:szCs w:val="21"/>
                <w:lang w:val="en-US" w:eastAsia="zh-CN"/>
              </w:rPr>
              <w:t>107.055</w:t>
            </w:r>
          </w:p>
        </w:tc>
        <w:tc>
          <w:tcPr>
            <w:tcW w:w="627" w:type="dxa"/>
            <w:gridSpan w:val="2"/>
            <w:tcBorders>
              <w:top w:val="single" w:color="auto" w:sz="4" w:space="0"/>
              <w:left w:val="single" w:color="auto" w:sz="4" w:space="0"/>
              <w:bottom w:val="single" w:color="auto" w:sz="4" w:space="0"/>
              <w:right w:val="single" w:color="auto" w:sz="4" w:space="0"/>
            </w:tcBorders>
            <w:vAlign w:val="center"/>
          </w:tcPr>
          <w:p w14:paraId="009449E9">
            <w:pPr>
              <w:widowControl w:val="0"/>
              <w:bidi w:val="0"/>
              <w:spacing w:line="240" w:lineRule="auto"/>
              <w:jc w:val="center"/>
              <w:rPr>
                <w:rFonts w:hint="eastAsia"/>
                <w:sz w:val="21"/>
                <w:szCs w:val="21"/>
                <w:lang w:val="en-US" w:eastAsia="zh-CN"/>
              </w:rPr>
            </w:pPr>
            <w:r>
              <w:rPr>
                <w:rFonts w:hint="eastAsia"/>
                <w:sz w:val="21"/>
                <w:szCs w:val="21"/>
                <w:lang w:val="en-US" w:eastAsia="zh-CN"/>
              </w:rPr>
              <w:t>0.3</w:t>
            </w:r>
          </w:p>
        </w:tc>
        <w:tc>
          <w:tcPr>
            <w:tcW w:w="797" w:type="dxa"/>
            <w:gridSpan w:val="3"/>
            <w:tcBorders>
              <w:top w:val="single" w:color="auto" w:sz="4" w:space="0"/>
              <w:left w:val="single" w:color="auto" w:sz="4" w:space="0"/>
              <w:bottom w:val="single" w:color="auto" w:sz="4" w:space="0"/>
              <w:right w:val="single" w:color="auto" w:sz="4" w:space="0"/>
            </w:tcBorders>
            <w:vAlign w:val="center"/>
          </w:tcPr>
          <w:p w14:paraId="37B9E4D7">
            <w:pPr>
              <w:widowControl w:val="0"/>
              <w:bidi w:val="0"/>
              <w:spacing w:line="240" w:lineRule="auto"/>
              <w:jc w:val="center"/>
              <w:rPr>
                <w:rFonts w:hint="eastAsia"/>
                <w:sz w:val="21"/>
                <w:szCs w:val="21"/>
                <w:lang w:val="en-US" w:eastAsia="zh-CN"/>
              </w:rPr>
            </w:pPr>
            <w:r>
              <w:rPr>
                <w:rFonts w:hint="eastAsia"/>
                <w:sz w:val="21"/>
                <w:szCs w:val="21"/>
                <w:lang w:val="en-US" w:eastAsia="zh-CN"/>
              </w:rPr>
              <w:t>0.14976</w:t>
            </w:r>
          </w:p>
        </w:tc>
        <w:tc>
          <w:tcPr>
            <w:tcW w:w="608" w:type="dxa"/>
            <w:tcBorders>
              <w:top w:val="single" w:color="auto" w:sz="4" w:space="0"/>
              <w:left w:val="single" w:color="auto" w:sz="4" w:space="0"/>
              <w:bottom w:val="single" w:color="auto" w:sz="4" w:space="0"/>
              <w:right w:val="single" w:color="auto" w:sz="4" w:space="0"/>
            </w:tcBorders>
            <w:vAlign w:val="center"/>
          </w:tcPr>
          <w:p w14:paraId="68BF10C8">
            <w:pPr>
              <w:widowControl w:val="0"/>
              <w:bidi w:val="0"/>
              <w:spacing w:line="240" w:lineRule="auto"/>
              <w:jc w:val="center"/>
              <w:rPr>
                <w:rFonts w:hint="eastAsia"/>
                <w:sz w:val="21"/>
                <w:szCs w:val="21"/>
                <w:lang w:val="en-US" w:eastAsia="zh-CN"/>
              </w:rPr>
            </w:pPr>
            <w:r>
              <w:rPr>
                <w:rFonts w:hint="eastAsia"/>
                <w:sz w:val="21"/>
                <w:szCs w:val="21"/>
                <w:lang w:val="en-US" w:eastAsia="zh-CN"/>
              </w:rPr>
              <w:t>35.224</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3A936289">
            <w:pPr>
              <w:widowControl w:val="0"/>
              <w:bidi w:val="0"/>
              <w:spacing w:line="240" w:lineRule="auto"/>
              <w:jc w:val="center"/>
              <w:rPr>
                <w:rFonts w:hint="eastAsia"/>
                <w:sz w:val="21"/>
                <w:szCs w:val="21"/>
                <w:lang w:val="en-US" w:eastAsia="zh-CN"/>
              </w:rPr>
            </w:pPr>
            <w:r>
              <w:rPr>
                <w:rFonts w:hint="eastAsia"/>
                <w:sz w:val="21"/>
                <w:szCs w:val="21"/>
                <w:lang w:val="en-US" w:eastAsia="zh-CN"/>
              </w:rPr>
              <w:t>1.7766</w:t>
            </w:r>
          </w:p>
        </w:tc>
        <w:tc>
          <w:tcPr>
            <w:tcW w:w="871" w:type="dxa"/>
            <w:gridSpan w:val="3"/>
            <w:tcBorders>
              <w:top w:val="single" w:color="auto" w:sz="4" w:space="0"/>
              <w:left w:val="single" w:color="auto" w:sz="4" w:space="0"/>
              <w:bottom w:val="single" w:color="auto" w:sz="4" w:space="0"/>
              <w:right w:val="single" w:color="auto" w:sz="4" w:space="0"/>
            </w:tcBorders>
            <w:vAlign w:val="center"/>
          </w:tcPr>
          <w:p w14:paraId="169DFA17">
            <w:pPr>
              <w:widowControl w:val="0"/>
              <w:bidi w:val="0"/>
              <w:spacing w:line="240" w:lineRule="auto"/>
              <w:jc w:val="center"/>
              <w:rPr>
                <w:rFonts w:hint="eastAsia"/>
                <w:sz w:val="21"/>
                <w:szCs w:val="21"/>
                <w:lang w:val="en-US" w:eastAsia="zh-CN"/>
              </w:rPr>
            </w:pPr>
            <w:r>
              <w:rPr>
                <w:rFonts w:hint="eastAsia"/>
                <w:sz w:val="21"/>
                <w:szCs w:val="21"/>
                <w:lang w:val="en-US" w:eastAsia="zh-CN"/>
              </w:rPr>
              <w:t>92</w:t>
            </w:r>
          </w:p>
        </w:tc>
        <w:tc>
          <w:tcPr>
            <w:tcW w:w="716" w:type="dxa"/>
            <w:gridSpan w:val="4"/>
            <w:tcBorders>
              <w:top w:val="single" w:color="auto" w:sz="4" w:space="0"/>
              <w:left w:val="single" w:color="auto" w:sz="4" w:space="0"/>
              <w:bottom w:val="single" w:color="auto" w:sz="4" w:space="0"/>
              <w:right w:val="single" w:color="auto" w:sz="4" w:space="0"/>
            </w:tcBorders>
            <w:vAlign w:val="center"/>
          </w:tcPr>
          <w:p w14:paraId="72902FA5">
            <w:pPr>
              <w:widowControl w:val="0"/>
              <w:bidi w:val="0"/>
              <w:spacing w:line="240" w:lineRule="auto"/>
              <w:jc w:val="center"/>
              <w:rPr>
                <w:rFonts w:hint="eastAsia"/>
                <w:sz w:val="21"/>
                <w:szCs w:val="21"/>
                <w:lang w:val="en-US" w:eastAsia="zh-CN"/>
              </w:rPr>
            </w:pPr>
            <w:r>
              <w:rPr>
                <w:rFonts w:hint="eastAsia"/>
                <w:sz w:val="21"/>
                <w:szCs w:val="21"/>
                <w:lang w:val="en-US" w:eastAsia="zh-CN"/>
              </w:rPr>
              <w:t>1.2</w:t>
            </w:r>
          </w:p>
        </w:tc>
        <w:tc>
          <w:tcPr>
            <w:tcW w:w="583" w:type="dxa"/>
            <w:tcBorders>
              <w:top w:val="single" w:color="auto" w:sz="4" w:space="0"/>
              <w:left w:val="single" w:color="auto" w:sz="4" w:space="0"/>
              <w:bottom w:val="single" w:color="auto" w:sz="4" w:space="0"/>
              <w:right w:val="single" w:color="auto" w:sz="4" w:space="0"/>
            </w:tcBorders>
            <w:vAlign w:val="center"/>
          </w:tcPr>
          <w:p w14:paraId="2A911EBA">
            <w:pPr>
              <w:widowControl w:val="0"/>
              <w:bidi w:val="0"/>
              <w:spacing w:line="240" w:lineRule="auto"/>
              <w:jc w:val="center"/>
              <w:rPr>
                <w:rFonts w:hint="eastAsia"/>
                <w:sz w:val="21"/>
                <w:szCs w:val="21"/>
                <w:lang w:val="en-US" w:eastAsia="zh-CN"/>
              </w:rPr>
            </w:pPr>
            <w:r>
              <w:rPr>
                <w:rFonts w:hint="eastAsia"/>
                <w:sz w:val="21"/>
                <w:szCs w:val="21"/>
                <w:lang w:val="en-US" w:eastAsia="zh-CN"/>
              </w:rPr>
              <w:t>5.3652</w:t>
            </w:r>
          </w:p>
        </w:tc>
        <w:tc>
          <w:tcPr>
            <w:tcW w:w="757" w:type="dxa"/>
            <w:tcBorders>
              <w:top w:val="single" w:color="auto" w:sz="4" w:space="0"/>
              <w:left w:val="single" w:color="auto" w:sz="4" w:space="0"/>
              <w:bottom w:val="single" w:color="auto" w:sz="4" w:space="0"/>
              <w:right w:val="single" w:color="auto" w:sz="4" w:space="0"/>
            </w:tcBorders>
            <w:vAlign w:val="center"/>
          </w:tcPr>
          <w:p w14:paraId="1F62BEC7">
            <w:pPr>
              <w:widowControl w:val="0"/>
              <w:bidi w:val="0"/>
              <w:spacing w:line="240" w:lineRule="auto"/>
              <w:jc w:val="center"/>
              <w:rPr>
                <w:rFonts w:hint="eastAsia"/>
                <w:sz w:val="21"/>
                <w:szCs w:val="21"/>
                <w:lang w:val="en-US" w:eastAsia="zh-CN"/>
              </w:rPr>
            </w:pPr>
            <w:r>
              <w:rPr>
                <w:rFonts w:hint="eastAsia"/>
                <w:sz w:val="21"/>
                <w:szCs w:val="21"/>
                <w:lang w:val="en-US" w:eastAsia="zh-CN"/>
              </w:rPr>
              <w:t>24.375</w:t>
            </w:r>
          </w:p>
        </w:tc>
      </w:tr>
      <w:tr w14:paraId="3A5192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77AAAB71">
            <w:pPr>
              <w:widowControl w:val="0"/>
              <w:bidi w:val="0"/>
              <w:spacing w:line="240" w:lineRule="auto"/>
              <w:jc w:val="center"/>
              <w:rPr>
                <w:rFonts w:hint="eastAsia"/>
                <w:sz w:val="21"/>
                <w:szCs w:val="21"/>
                <w:lang w:val="en-US" w:eastAsia="zh-CN"/>
              </w:rPr>
            </w:pPr>
          </w:p>
        </w:tc>
        <w:tc>
          <w:tcPr>
            <w:tcW w:w="608" w:type="dxa"/>
            <w:vMerge w:val="restart"/>
            <w:tcBorders>
              <w:top w:val="single" w:color="auto" w:sz="4" w:space="0"/>
              <w:left w:val="single" w:color="auto" w:sz="4" w:space="0"/>
              <w:bottom w:val="single" w:color="auto" w:sz="4" w:space="0"/>
              <w:right w:val="single" w:color="auto" w:sz="4" w:space="0"/>
            </w:tcBorders>
            <w:vAlign w:val="center"/>
          </w:tcPr>
          <w:p w14:paraId="262504B6">
            <w:pPr>
              <w:widowControl w:val="0"/>
              <w:bidi w:val="0"/>
              <w:spacing w:line="240" w:lineRule="auto"/>
              <w:jc w:val="center"/>
              <w:rPr>
                <w:rFonts w:hint="eastAsia"/>
                <w:sz w:val="21"/>
                <w:szCs w:val="21"/>
                <w:lang w:val="en-US" w:eastAsia="zh-CN"/>
              </w:rPr>
            </w:pPr>
            <w:r>
              <w:rPr>
                <w:rFonts w:hint="eastAsia"/>
                <w:sz w:val="21"/>
                <w:szCs w:val="21"/>
                <w:lang w:val="en-US" w:eastAsia="zh-CN"/>
              </w:rPr>
              <w:t>环境敏感性</w:t>
            </w:r>
          </w:p>
        </w:tc>
        <w:tc>
          <w:tcPr>
            <w:tcW w:w="1238" w:type="dxa"/>
            <w:vMerge w:val="restart"/>
            <w:tcBorders>
              <w:top w:val="single" w:color="auto" w:sz="4" w:space="0"/>
              <w:left w:val="single" w:color="auto" w:sz="4" w:space="0"/>
              <w:bottom w:val="single" w:color="auto" w:sz="4" w:space="0"/>
              <w:right w:val="single" w:color="auto" w:sz="4" w:space="0"/>
            </w:tcBorders>
            <w:vAlign w:val="center"/>
          </w:tcPr>
          <w:p w14:paraId="1C8ECA88">
            <w:pPr>
              <w:widowControl w:val="0"/>
              <w:bidi w:val="0"/>
              <w:spacing w:line="240" w:lineRule="auto"/>
              <w:jc w:val="center"/>
              <w:rPr>
                <w:rFonts w:hint="eastAsia"/>
                <w:sz w:val="21"/>
                <w:szCs w:val="21"/>
                <w:lang w:val="en-US" w:eastAsia="zh-CN"/>
              </w:rPr>
            </w:pPr>
            <w:r>
              <w:rPr>
                <w:rFonts w:hint="eastAsia"/>
                <w:sz w:val="21"/>
                <w:szCs w:val="21"/>
                <w:lang w:val="en-US" w:eastAsia="zh-CN"/>
              </w:rPr>
              <w:t>大气</w:t>
            </w:r>
          </w:p>
        </w:tc>
        <w:tc>
          <w:tcPr>
            <w:tcW w:w="3975" w:type="dxa"/>
            <w:gridSpan w:val="14"/>
            <w:tcBorders>
              <w:top w:val="single" w:color="auto" w:sz="4" w:space="0"/>
              <w:left w:val="single" w:color="auto" w:sz="4" w:space="0"/>
              <w:bottom w:val="single" w:color="auto" w:sz="4" w:space="0"/>
              <w:right w:val="single" w:color="auto" w:sz="4" w:space="0"/>
            </w:tcBorders>
            <w:vAlign w:val="center"/>
          </w:tcPr>
          <w:p w14:paraId="4C0192EC">
            <w:pPr>
              <w:widowControl w:val="0"/>
              <w:bidi w:val="0"/>
              <w:spacing w:line="240" w:lineRule="auto"/>
              <w:jc w:val="center"/>
              <w:rPr>
                <w:rFonts w:hint="eastAsia"/>
                <w:sz w:val="21"/>
                <w:szCs w:val="21"/>
                <w:lang w:val="en-US" w:eastAsia="zh-CN"/>
              </w:rPr>
            </w:pPr>
            <w:r>
              <w:rPr>
                <w:rFonts w:hint="eastAsia"/>
                <w:sz w:val="21"/>
                <w:szCs w:val="21"/>
                <w:lang w:val="en-US" w:eastAsia="zh-CN"/>
              </w:rPr>
              <w:t>500m范围内人口数  人</w:t>
            </w:r>
          </w:p>
        </w:tc>
        <w:tc>
          <w:tcPr>
            <w:tcW w:w="3130" w:type="dxa"/>
            <w:gridSpan w:val="10"/>
            <w:tcBorders>
              <w:top w:val="single" w:color="auto" w:sz="4" w:space="0"/>
              <w:left w:val="single" w:color="auto" w:sz="4" w:space="0"/>
              <w:bottom w:val="single" w:color="auto" w:sz="4" w:space="0"/>
              <w:right w:val="single" w:color="auto" w:sz="4" w:space="0"/>
            </w:tcBorders>
            <w:vAlign w:val="center"/>
          </w:tcPr>
          <w:p w14:paraId="2F25C5A2">
            <w:pPr>
              <w:widowControl w:val="0"/>
              <w:bidi w:val="0"/>
              <w:spacing w:line="240" w:lineRule="auto"/>
              <w:jc w:val="center"/>
              <w:rPr>
                <w:rFonts w:hint="eastAsia"/>
                <w:sz w:val="21"/>
                <w:szCs w:val="21"/>
                <w:lang w:val="en-US" w:eastAsia="zh-CN"/>
              </w:rPr>
            </w:pPr>
            <w:r>
              <w:rPr>
                <w:rFonts w:hint="eastAsia"/>
                <w:sz w:val="21"/>
                <w:szCs w:val="21"/>
                <w:lang w:val="en-US" w:eastAsia="zh-CN"/>
              </w:rPr>
              <w:t>5km范围内人口数    26185  人</w:t>
            </w:r>
          </w:p>
        </w:tc>
      </w:tr>
      <w:tr w14:paraId="6F2F0D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08E6027E">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49ADB192">
            <w:pPr>
              <w:widowControl w:val="0"/>
              <w:bidi w:val="0"/>
              <w:spacing w:line="240" w:lineRule="auto"/>
              <w:jc w:val="center"/>
              <w:rPr>
                <w:rFonts w:hint="eastAsia"/>
                <w:sz w:val="21"/>
                <w:szCs w:val="21"/>
                <w:lang w:val="en-US" w:eastAsia="zh-CN"/>
              </w:rPr>
            </w:pPr>
          </w:p>
        </w:tc>
        <w:tc>
          <w:tcPr>
            <w:tcW w:w="1238" w:type="dxa"/>
            <w:vMerge w:val="continue"/>
            <w:tcBorders>
              <w:top w:val="single" w:color="auto" w:sz="4" w:space="0"/>
              <w:left w:val="single" w:color="auto" w:sz="4" w:space="0"/>
              <w:bottom w:val="single" w:color="auto" w:sz="4" w:space="0"/>
              <w:right w:val="single" w:color="auto" w:sz="4" w:space="0"/>
            </w:tcBorders>
            <w:vAlign w:val="center"/>
          </w:tcPr>
          <w:p w14:paraId="65DBC30A">
            <w:pPr>
              <w:widowControl w:val="0"/>
              <w:bidi w:val="0"/>
              <w:spacing w:line="240" w:lineRule="auto"/>
              <w:jc w:val="center"/>
              <w:rPr>
                <w:rFonts w:hint="eastAsia"/>
                <w:sz w:val="21"/>
                <w:szCs w:val="21"/>
                <w:lang w:val="en-US" w:eastAsia="zh-CN"/>
              </w:rPr>
            </w:pPr>
          </w:p>
        </w:tc>
        <w:tc>
          <w:tcPr>
            <w:tcW w:w="5341" w:type="dxa"/>
            <w:gridSpan w:val="19"/>
            <w:tcBorders>
              <w:top w:val="single" w:color="auto" w:sz="4" w:space="0"/>
              <w:left w:val="single" w:color="auto" w:sz="4" w:space="0"/>
              <w:bottom w:val="single" w:color="auto" w:sz="4" w:space="0"/>
              <w:right w:val="single" w:color="auto" w:sz="4" w:space="0"/>
            </w:tcBorders>
            <w:vAlign w:val="center"/>
          </w:tcPr>
          <w:p w14:paraId="0AE10012">
            <w:pPr>
              <w:widowControl w:val="0"/>
              <w:bidi w:val="0"/>
              <w:spacing w:line="240" w:lineRule="auto"/>
              <w:jc w:val="center"/>
              <w:rPr>
                <w:rFonts w:hint="eastAsia"/>
                <w:sz w:val="21"/>
                <w:szCs w:val="21"/>
                <w:lang w:val="en-US" w:eastAsia="zh-CN"/>
              </w:rPr>
            </w:pPr>
            <w:r>
              <w:rPr>
                <w:rFonts w:hint="eastAsia"/>
                <w:sz w:val="21"/>
                <w:szCs w:val="21"/>
                <w:lang w:val="en-US" w:eastAsia="zh-CN"/>
              </w:rPr>
              <w:t>每公里管段周边200m范围内人口数（最大）</w:t>
            </w:r>
          </w:p>
        </w:tc>
        <w:tc>
          <w:tcPr>
            <w:tcW w:w="1764" w:type="dxa"/>
            <w:gridSpan w:val="5"/>
            <w:tcBorders>
              <w:top w:val="single" w:color="auto" w:sz="4" w:space="0"/>
              <w:left w:val="single" w:color="auto" w:sz="4" w:space="0"/>
              <w:bottom w:val="single" w:color="auto" w:sz="4" w:space="0"/>
              <w:right w:val="single" w:color="auto" w:sz="4" w:space="0"/>
            </w:tcBorders>
            <w:vAlign w:val="center"/>
          </w:tcPr>
          <w:p w14:paraId="3D8F0DE1">
            <w:pPr>
              <w:widowControl w:val="0"/>
              <w:bidi w:val="0"/>
              <w:spacing w:line="240" w:lineRule="auto"/>
              <w:jc w:val="center"/>
              <w:rPr>
                <w:rFonts w:hint="eastAsia"/>
                <w:sz w:val="21"/>
                <w:szCs w:val="21"/>
                <w:lang w:val="en-US" w:eastAsia="zh-CN"/>
              </w:rPr>
            </w:pPr>
            <w:r>
              <w:rPr>
                <w:rFonts w:hint="eastAsia"/>
                <w:sz w:val="21"/>
                <w:szCs w:val="21"/>
                <w:lang w:val="en-US" w:eastAsia="zh-CN"/>
              </w:rPr>
              <w:t>/     人</w:t>
            </w:r>
          </w:p>
        </w:tc>
      </w:tr>
      <w:tr w14:paraId="521FAC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52F9CA58">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4A97A58A">
            <w:pPr>
              <w:widowControl w:val="0"/>
              <w:bidi w:val="0"/>
              <w:spacing w:line="240" w:lineRule="auto"/>
              <w:jc w:val="center"/>
              <w:rPr>
                <w:rFonts w:hint="eastAsia"/>
                <w:sz w:val="21"/>
                <w:szCs w:val="21"/>
                <w:lang w:val="en-US" w:eastAsia="zh-CN"/>
              </w:rPr>
            </w:pPr>
          </w:p>
        </w:tc>
        <w:tc>
          <w:tcPr>
            <w:tcW w:w="1238" w:type="dxa"/>
            <w:vMerge w:val="restart"/>
            <w:tcBorders>
              <w:top w:val="single" w:color="auto" w:sz="4" w:space="0"/>
              <w:left w:val="single" w:color="auto" w:sz="4" w:space="0"/>
              <w:bottom w:val="single" w:color="auto" w:sz="4" w:space="0"/>
              <w:right w:val="single" w:color="auto" w:sz="4" w:space="0"/>
            </w:tcBorders>
            <w:vAlign w:val="center"/>
          </w:tcPr>
          <w:p w14:paraId="78A8FD94">
            <w:pPr>
              <w:widowControl w:val="0"/>
              <w:bidi w:val="0"/>
              <w:spacing w:line="240" w:lineRule="auto"/>
              <w:jc w:val="center"/>
              <w:rPr>
                <w:rFonts w:hint="eastAsia"/>
                <w:sz w:val="21"/>
                <w:szCs w:val="21"/>
                <w:lang w:val="en-US" w:eastAsia="zh-CN"/>
              </w:rPr>
            </w:pPr>
            <w:r>
              <w:rPr>
                <w:rFonts w:hint="eastAsia"/>
                <w:sz w:val="21"/>
                <w:szCs w:val="21"/>
                <w:lang w:val="en-US" w:eastAsia="zh-CN"/>
              </w:rPr>
              <w:t>地表水</w:t>
            </w:r>
          </w:p>
        </w:tc>
        <w:tc>
          <w:tcPr>
            <w:tcW w:w="3247" w:type="dxa"/>
            <w:gridSpan w:val="10"/>
            <w:tcBorders>
              <w:top w:val="single" w:color="auto" w:sz="4" w:space="0"/>
              <w:left w:val="single" w:color="auto" w:sz="4" w:space="0"/>
              <w:bottom w:val="single" w:color="auto" w:sz="4" w:space="0"/>
              <w:right w:val="single" w:color="auto" w:sz="4" w:space="0"/>
            </w:tcBorders>
            <w:vAlign w:val="center"/>
          </w:tcPr>
          <w:p w14:paraId="702B7C03">
            <w:pPr>
              <w:widowControl w:val="0"/>
              <w:bidi w:val="0"/>
              <w:spacing w:line="240" w:lineRule="auto"/>
              <w:jc w:val="center"/>
              <w:rPr>
                <w:rFonts w:hint="eastAsia"/>
                <w:sz w:val="21"/>
                <w:szCs w:val="21"/>
                <w:lang w:val="en-US" w:eastAsia="zh-CN"/>
              </w:rPr>
            </w:pPr>
            <w:r>
              <w:rPr>
                <w:rFonts w:hint="eastAsia"/>
                <w:sz w:val="21"/>
                <w:szCs w:val="21"/>
                <w:lang w:val="en-US" w:eastAsia="zh-CN"/>
              </w:rPr>
              <w:t>地表水功能敏感性</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042496FA">
            <w:pPr>
              <w:widowControl w:val="0"/>
              <w:bidi w:val="0"/>
              <w:spacing w:line="240" w:lineRule="auto"/>
              <w:jc w:val="center"/>
              <w:rPr>
                <w:rFonts w:hint="eastAsia"/>
                <w:sz w:val="21"/>
                <w:szCs w:val="21"/>
                <w:lang w:val="en-US" w:eastAsia="zh-CN"/>
              </w:rPr>
            </w:pPr>
            <w:r>
              <w:rPr>
                <w:rFonts w:hint="eastAsia"/>
                <w:sz w:val="21"/>
                <w:szCs w:val="21"/>
                <w:lang w:val="en-US" w:eastAsia="zh-CN"/>
              </w:rPr>
              <w:t>F1 □</w:t>
            </w:r>
          </w:p>
        </w:tc>
        <w:tc>
          <w:tcPr>
            <w:tcW w:w="1587" w:type="dxa"/>
            <w:gridSpan w:val="7"/>
            <w:tcBorders>
              <w:top w:val="single" w:color="auto" w:sz="4" w:space="0"/>
              <w:left w:val="single" w:color="auto" w:sz="4" w:space="0"/>
              <w:bottom w:val="single" w:color="auto" w:sz="4" w:space="0"/>
              <w:right w:val="single" w:color="auto" w:sz="4" w:space="0"/>
            </w:tcBorders>
            <w:vAlign w:val="center"/>
          </w:tcPr>
          <w:p w14:paraId="2000DC5F">
            <w:pPr>
              <w:widowControl w:val="0"/>
              <w:bidi w:val="0"/>
              <w:spacing w:line="240" w:lineRule="auto"/>
              <w:jc w:val="center"/>
              <w:rPr>
                <w:rFonts w:hint="eastAsia"/>
                <w:sz w:val="21"/>
                <w:szCs w:val="21"/>
                <w:lang w:val="en-US" w:eastAsia="zh-CN"/>
              </w:rPr>
            </w:pPr>
            <w:r>
              <w:rPr>
                <w:rFonts w:hint="eastAsia"/>
                <w:sz w:val="21"/>
                <w:szCs w:val="21"/>
                <w:lang w:val="en-US" w:eastAsia="zh-CN"/>
              </w:rPr>
              <w:t>F2 □</w:t>
            </w:r>
          </w:p>
        </w:tc>
        <w:tc>
          <w:tcPr>
            <w:tcW w:w="1340" w:type="dxa"/>
            <w:gridSpan w:val="2"/>
            <w:tcBorders>
              <w:top w:val="single" w:color="auto" w:sz="4" w:space="0"/>
              <w:left w:val="single" w:color="auto" w:sz="4" w:space="0"/>
              <w:bottom w:val="single" w:color="auto" w:sz="4" w:space="0"/>
              <w:right w:val="single" w:color="auto" w:sz="4" w:space="0"/>
            </w:tcBorders>
            <w:vAlign w:val="center"/>
          </w:tcPr>
          <w:p w14:paraId="64DA048B">
            <w:pPr>
              <w:widowControl w:val="0"/>
              <w:bidi w:val="0"/>
              <w:spacing w:line="240" w:lineRule="auto"/>
              <w:jc w:val="center"/>
              <w:rPr>
                <w:rFonts w:hint="eastAsia"/>
                <w:sz w:val="21"/>
                <w:szCs w:val="21"/>
                <w:lang w:val="en-US" w:eastAsia="zh-CN"/>
              </w:rPr>
            </w:pPr>
            <w:r>
              <w:rPr>
                <w:rFonts w:hint="eastAsia"/>
                <w:sz w:val="21"/>
                <w:szCs w:val="21"/>
                <w:lang w:val="en-US" w:eastAsia="zh-CN"/>
              </w:rPr>
              <w:t>F3 ☑</w:t>
            </w:r>
          </w:p>
        </w:tc>
      </w:tr>
      <w:tr w14:paraId="3FEF96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4D01B0CF">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6783C257">
            <w:pPr>
              <w:widowControl w:val="0"/>
              <w:bidi w:val="0"/>
              <w:spacing w:line="240" w:lineRule="auto"/>
              <w:jc w:val="center"/>
              <w:rPr>
                <w:rFonts w:hint="eastAsia"/>
                <w:sz w:val="21"/>
                <w:szCs w:val="21"/>
                <w:lang w:val="en-US" w:eastAsia="zh-CN"/>
              </w:rPr>
            </w:pPr>
          </w:p>
        </w:tc>
        <w:tc>
          <w:tcPr>
            <w:tcW w:w="1238" w:type="dxa"/>
            <w:vMerge w:val="continue"/>
            <w:tcBorders>
              <w:top w:val="single" w:color="auto" w:sz="4" w:space="0"/>
              <w:left w:val="single" w:color="auto" w:sz="4" w:space="0"/>
              <w:bottom w:val="single" w:color="auto" w:sz="4" w:space="0"/>
              <w:right w:val="single" w:color="auto" w:sz="4" w:space="0"/>
            </w:tcBorders>
            <w:vAlign w:val="center"/>
          </w:tcPr>
          <w:p w14:paraId="2260D73A">
            <w:pPr>
              <w:widowControl w:val="0"/>
              <w:bidi w:val="0"/>
              <w:spacing w:line="240" w:lineRule="auto"/>
              <w:jc w:val="center"/>
              <w:rPr>
                <w:rFonts w:hint="eastAsia"/>
                <w:sz w:val="21"/>
                <w:szCs w:val="21"/>
                <w:lang w:val="en-US" w:eastAsia="zh-CN"/>
              </w:rPr>
            </w:pPr>
          </w:p>
        </w:tc>
        <w:tc>
          <w:tcPr>
            <w:tcW w:w="3247" w:type="dxa"/>
            <w:gridSpan w:val="10"/>
            <w:tcBorders>
              <w:top w:val="single" w:color="auto" w:sz="4" w:space="0"/>
              <w:left w:val="single" w:color="auto" w:sz="4" w:space="0"/>
              <w:bottom w:val="single" w:color="auto" w:sz="4" w:space="0"/>
              <w:right w:val="single" w:color="auto" w:sz="4" w:space="0"/>
            </w:tcBorders>
            <w:vAlign w:val="center"/>
          </w:tcPr>
          <w:p w14:paraId="05764CC7">
            <w:pPr>
              <w:widowControl w:val="0"/>
              <w:bidi w:val="0"/>
              <w:spacing w:line="240" w:lineRule="auto"/>
              <w:jc w:val="center"/>
              <w:rPr>
                <w:rFonts w:hint="eastAsia"/>
                <w:sz w:val="21"/>
                <w:szCs w:val="21"/>
                <w:lang w:val="en-US" w:eastAsia="zh-CN"/>
              </w:rPr>
            </w:pPr>
            <w:r>
              <w:rPr>
                <w:rFonts w:hint="eastAsia"/>
                <w:sz w:val="21"/>
                <w:szCs w:val="21"/>
                <w:lang w:val="en-US" w:eastAsia="zh-CN"/>
              </w:rPr>
              <w:t>环境敏感目标分级</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6E8389F7">
            <w:pPr>
              <w:widowControl w:val="0"/>
              <w:bidi w:val="0"/>
              <w:spacing w:line="240" w:lineRule="auto"/>
              <w:jc w:val="center"/>
              <w:rPr>
                <w:rFonts w:hint="eastAsia"/>
                <w:sz w:val="21"/>
                <w:szCs w:val="21"/>
                <w:lang w:val="en-US" w:eastAsia="zh-CN"/>
              </w:rPr>
            </w:pPr>
            <w:r>
              <w:rPr>
                <w:rFonts w:hint="eastAsia"/>
                <w:sz w:val="21"/>
                <w:szCs w:val="21"/>
                <w:lang w:val="en-US" w:eastAsia="zh-CN"/>
              </w:rPr>
              <w:t>S1 □</w:t>
            </w:r>
          </w:p>
        </w:tc>
        <w:tc>
          <w:tcPr>
            <w:tcW w:w="1587" w:type="dxa"/>
            <w:gridSpan w:val="7"/>
            <w:tcBorders>
              <w:top w:val="single" w:color="auto" w:sz="4" w:space="0"/>
              <w:left w:val="single" w:color="auto" w:sz="4" w:space="0"/>
              <w:bottom w:val="single" w:color="auto" w:sz="4" w:space="0"/>
              <w:right w:val="single" w:color="auto" w:sz="4" w:space="0"/>
            </w:tcBorders>
            <w:vAlign w:val="center"/>
          </w:tcPr>
          <w:p w14:paraId="74963563">
            <w:pPr>
              <w:widowControl w:val="0"/>
              <w:bidi w:val="0"/>
              <w:spacing w:line="240" w:lineRule="auto"/>
              <w:jc w:val="center"/>
              <w:rPr>
                <w:rFonts w:hint="eastAsia"/>
                <w:sz w:val="21"/>
                <w:szCs w:val="21"/>
                <w:lang w:val="en-US" w:eastAsia="zh-CN"/>
              </w:rPr>
            </w:pPr>
            <w:r>
              <w:rPr>
                <w:rFonts w:hint="eastAsia"/>
                <w:sz w:val="21"/>
                <w:szCs w:val="21"/>
                <w:lang w:val="en-US" w:eastAsia="zh-CN"/>
              </w:rPr>
              <w:t>S2 □</w:t>
            </w:r>
          </w:p>
        </w:tc>
        <w:tc>
          <w:tcPr>
            <w:tcW w:w="1340" w:type="dxa"/>
            <w:gridSpan w:val="2"/>
            <w:tcBorders>
              <w:top w:val="single" w:color="auto" w:sz="4" w:space="0"/>
              <w:left w:val="single" w:color="auto" w:sz="4" w:space="0"/>
              <w:bottom w:val="single" w:color="auto" w:sz="4" w:space="0"/>
              <w:right w:val="single" w:color="auto" w:sz="4" w:space="0"/>
            </w:tcBorders>
            <w:vAlign w:val="center"/>
          </w:tcPr>
          <w:p w14:paraId="0A95FC83">
            <w:pPr>
              <w:widowControl w:val="0"/>
              <w:bidi w:val="0"/>
              <w:spacing w:line="240" w:lineRule="auto"/>
              <w:jc w:val="center"/>
              <w:rPr>
                <w:rFonts w:hint="eastAsia"/>
                <w:sz w:val="21"/>
                <w:szCs w:val="21"/>
                <w:lang w:val="en-US" w:eastAsia="zh-CN"/>
              </w:rPr>
            </w:pPr>
            <w:r>
              <w:rPr>
                <w:rFonts w:hint="eastAsia"/>
                <w:sz w:val="21"/>
                <w:szCs w:val="21"/>
                <w:lang w:val="en-US" w:eastAsia="zh-CN"/>
              </w:rPr>
              <w:t>S3 ☑</w:t>
            </w:r>
          </w:p>
        </w:tc>
      </w:tr>
      <w:tr w14:paraId="74EDD8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2D5B1F3D">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5992113A">
            <w:pPr>
              <w:widowControl w:val="0"/>
              <w:bidi w:val="0"/>
              <w:spacing w:line="240" w:lineRule="auto"/>
              <w:jc w:val="center"/>
              <w:rPr>
                <w:rFonts w:hint="eastAsia"/>
                <w:sz w:val="21"/>
                <w:szCs w:val="21"/>
                <w:lang w:val="en-US" w:eastAsia="zh-CN"/>
              </w:rPr>
            </w:pPr>
          </w:p>
        </w:tc>
        <w:tc>
          <w:tcPr>
            <w:tcW w:w="1238" w:type="dxa"/>
            <w:vMerge w:val="restart"/>
            <w:tcBorders>
              <w:top w:val="single" w:color="auto" w:sz="4" w:space="0"/>
              <w:left w:val="single" w:color="auto" w:sz="4" w:space="0"/>
              <w:bottom w:val="single" w:color="auto" w:sz="4" w:space="0"/>
              <w:right w:val="single" w:color="auto" w:sz="4" w:space="0"/>
            </w:tcBorders>
            <w:vAlign w:val="center"/>
          </w:tcPr>
          <w:p w14:paraId="29E751A7">
            <w:pPr>
              <w:widowControl w:val="0"/>
              <w:bidi w:val="0"/>
              <w:spacing w:line="240" w:lineRule="auto"/>
              <w:jc w:val="center"/>
              <w:rPr>
                <w:rFonts w:hint="eastAsia"/>
                <w:sz w:val="21"/>
                <w:szCs w:val="21"/>
                <w:lang w:val="en-US" w:eastAsia="zh-CN"/>
              </w:rPr>
            </w:pPr>
            <w:r>
              <w:rPr>
                <w:rFonts w:hint="eastAsia"/>
                <w:sz w:val="21"/>
                <w:szCs w:val="21"/>
                <w:lang w:val="en-US" w:eastAsia="zh-CN"/>
              </w:rPr>
              <w:t>地下水</w:t>
            </w:r>
          </w:p>
        </w:tc>
        <w:tc>
          <w:tcPr>
            <w:tcW w:w="3247" w:type="dxa"/>
            <w:gridSpan w:val="10"/>
            <w:tcBorders>
              <w:top w:val="single" w:color="auto" w:sz="4" w:space="0"/>
              <w:left w:val="single" w:color="auto" w:sz="4" w:space="0"/>
              <w:bottom w:val="single" w:color="auto" w:sz="4" w:space="0"/>
              <w:right w:val="single" w:color="auto" w:sz="4" w:space="0"/>
            </w:tcBorders>
            <w:vAlign w:val="center"/>
          </w:tcPr>
          <w:p w14:paraId="5673B336">
            <w:pPr>
              <w:widowControl w:val="0"/>
              <w:bidi w:val="0"/>
              <w:spacing w:line="240" w:lineRule="auto"/>
              <w:jc w:val="center"/>
              <w:rPr>
                <w:rFonts w:hint="eastAsia"/>
                <w:sz w:val="21"/>
                <w:szCs w:val="21"/>
                <w:lang w:val="en-US" w:eastAsia="zh-CN"/>
              </w:rPr>
            </w:pPr>
            <w:r>
              <w:rPr>
                <w:rFonts w:hint="eastAsia"/>
                <w:sz w:val="21"/>
                <w:szCs w:val="21"/>
                <w:lang w:val="en-US" w:eastAsia="zh-CN"/>
              </w:rPr>
              <w:t>地下水功能敏感性</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4F918AB5">
            <w:pPr>
              <w:widowControl w:val="0"/>
              <w:bidi w:val="0"/>
              <w:spacing w:line="240" w:lineRule="auto"/>
              <w:jc w:val="center"/>
              <w:rPr>
                <w:rFonts w:hint="eastAsia"/>
                <w:sz w:val="21"/>
                <w:szCs w:val="21"/>
                <w:lang w:val="en-US" w:eastAsia="zh-CN"/>
              </w:rPr>
            </w:pPr>
            <w:r>
              <w:rPr>
                <w:rFonts w:hint="eastAsia"/>
                <w:sz w:val="21"/>
                <w:szCs w:val="21"/>
                <w:lang w:val="en-US" w:eastAsia="zh-CN"/>
              </w:rPr>
              <w:t>G1 □</w:t>
            </w:r>
          </w:p>
        </w:tc>
        <w:tc>
          <w:tcPr>
            <w:tcW w:w="1587" w:type="dxa"/>
            <w:gridSpan w:val="7"/>
            <w:tcBorders>
              <w:top w:val="single" w:color="auto" w:sz="4" w:space="0"/>
              <w:left w:val="single" w:color="auto" w:sz="4" w:space="0"/>
              <w:bottom w:val="single" w:color="auto" w:sz="4" w:space="0"/>
              <w:right w:val="single" w:color="auto" w:sz="4" w:space="0"/>
            </w:tcBorders>
            <w:vAlign w:val="center"/>
          </w:tcPr>
          <w:p w14:paraId="25758D37">
            <w:pPr>
              <w:widowControl w:val="0"/>
              <w:bidi w:val="0"/>
              <w:spacing w:line="240" w:lineRule="auto"/>
              <w:jc w:val="center"/>
              <w:rPr>
                <w:rFonts w:hint="eastAsia"/>
                <w:sz w:val="21"/>
                <w:szCs w:val="21"/>
                <w:lang w:val="en-US" w:eastAsia="zh-CN"/>
              </w:rPr>
            </w:pPr>
            <w:r>
              <w:rPr>
                <w:rFonts w:hint="eastAsia"/>
                <w:sz w:val="21"/>
                <w:szCs w:val="21"/>
                <w:lang w:val="en-US" w:eastAsia="zh-CN"/>
              </w:rPr>
              <w:t>G2 □</w:t>
            </w:r>
          </w:p>
        </w:tc>
        <w:tc>
          <w:tcPr>
            <w:tcW w:w="1340" w:type="dxa"/>
            <w:gridSpan w:val="2"/>
            <w:tcBorders>
              <w:top w:val="single" w:color="auto" w:sz="4" w:space="0"/>
              <w:left w:val="single" w:color="auto" w:sz="4" w:space="0"/>
              <w:bottom w:val="single" w:color="auto" w:sz="4" w:space="0"/>
              <w:right w:val="single" w:color="auto" w:sz="4" w:space="0"/>
            </w:tcBorders>
            <w:vAlign w:val="center"/>
          </w:tcPr>
          <w:p w14:paraId="1FB55D41">
            <w:pPr>
              <w:widowControl w:val="0"/>
              <w:bidi w:val="0"/>
              <w:spacing w:line="240" w:lineRule="auto"/>
              <w:jc w:val="center"/>
              <w:rPr>
                <w:rFonts w:hint="eastAsia"/>
                <w:sz w:val="21"/>
                <w:szCs w:val="21"/>
                <w:lang w:val="en-US" w:eastAsia="zh-CN"/>
              </w:rPr>
            </w:pPr>
            <w:r>
              <w:rPr>
                <w:rFonts w:hint="eastAsia"/>
                <w:sz w:val="21"/>
                <w:szCs w:val="21"/>
                <w:lang w:val="en-US" w:eastAsia="zh-CN"/>
              </w:rPr>
              <w:t>G3 ☑</w:t>
            </w:r>
          </w:p>
        </w:tc>
      </w:tr>
      <w:tr w14:paraId="7B1C7F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41D0FE27">
            <w:pPr>
              <w:widowControl w:val="0"/>
              <w:bidi w:val="0"/>
              <w:spacing w:line="240" w:lineRule="auto"/>
              <w:jc w:val="center"/>
              <w:rPr>
                <w:rFonts w:hint="eastAsia"/>
                <w:sz w:val="21"/>
                <w:szCs w:val="21"/>
                <w:lang w:val="en-US" w:eastAsia="zh-CN"/>
              </w:rPr>
            </w:pPr>
          </w:p>
        </w:tc>
        <w:tc>
          <w:tcPr>
            <w:tcW w:w="608" w:type="dxa"/>
            <w:vMerge w:val="continue"/>
            <w:tcBorders>
              <w:top w:val="single" w:color="auto" w:sz="4" w:space="0"/>
              <w:left w:val="single" w:color="auto" w:sz="4" w:space="0"/>
              <w:bottom w:val="single" w:color="auto" w:sz="4" w:space="0"/>
              <w:right w:val="single" w:color="auto" w:sz="4" w:space="0"/>
            </w:tcBorders>
            <w:vAlign w:val="center"/>
          </w:tcPr>
          <w:p w14:paraId="7A9F7EED">
            <w:pPr>
              <w:widowControl w:val="0"/>
              <w:bidi w:val="0"/>
              <w:spacing w:line="240" w:lineRule="auto"/>
              <w:jc w:val="center"/>
              <w:rPr>
                <w:rFonts w:hint="eastAsia"/>
                <w:sz w:val="21"/>
                <w:szCs w:val="21"/>
                <w:lang w:val="en-US" w:eastAsia="zh-CN"/>
              </w:rPr>
            </w:pPr>
          </w:p>
        </w:tc>
        <w:tc>
          <w:tcPr>
            <w:tcW w:w="1238" w:type="dxa"/>
            <w:vMerge w:val="continue"/>
            <w:tcBorders>
              <w:top w:val="single" w:color="auto" w:sz="4" w:space="0"/>
              <w:left w:val="single" w:color="auto" w:sz="4" w:space="0"/>
              <w:bottom w:val="single" w:color="auto" w:sz="4" w:space="0"/>
              <w:right w:val="single" w:color="auto" w:sz="4" w:space="0"/>
            </w:tcBorders>
            <w:vAlign w:val="center"/>
          </w:tcPr>
          <w:p w14:paraId="5C9C06B3">
            <w:pPr>
              <w:widowControl w:val="0"/>
              <w:bidi w:val="0"/>
              <w:spacing w:line="240" w:lineRule="auto"/>
              <w:jc w:val="center"/>
              <w:rPr>
                <w:rFonts w:hint="eastAsia"/>
                <w:sz w:val="21"/>
                <w:szCs w:val="21"/>
                <w:lang w:val="en-US" w:eastAsia="zh-CN"/>
              </w:rPr>
            </w:pPr>
          </w:p>
        </w:tc>
        <w:tc>
          <w:tcPr>
            <w:tcW w:w="3247" w:type="dxa"/>
            <w:gridSpan w:val="10"/>
            <w:tcBorders>
              <w:top w:val="single" w:color="auto" w:sz="4" w:space="0"/>
              <w:left w:val="single" w:color="auto" w:sz="4" w:space="0"/>
              <w:bottom w:val="single" w:color="auto" w:sz="4" w:space="0"/>
              <w:right w:val="single" w:color="auto" w:sz="4" w:space="0"/>
            </w:tcBorders>
            <w:vAlign w:val="center"/>
          </w:tcPr>
          <w:p w14:paraId="33742872">
            <w:pPr>
              <w:widowControl w:val="0"/>
              <w:bidi w:val="0"/>
              <w:spacing w:line="240" w:lineRule="auto"/>
              <w:jc w:val="center"/>
              <w:rPr>
                <w:rFonts w:hint="eastAsia"/>
                <w:sz w:val="21"/>
                <w:szCs w:val="21"/>
                <w:lang w:val="en-US" w:eastAsia="zh-CN"/>
              </w:rPr>
            </w:pPr>
            <w:r>
              <w:rPr>
                <w:rFonts w:hint="eastAsia"/>
                <w:sz w:val="21"/>
                <w:szCs w:val="21"/>
                <w:lang w:val="en-US" w:eastAsia="zh-CN"/>
              </w:rPr>
              <w:t>包气带防污性能</w:t>
            </w:r>
          </w:p>
        </w:tc>
        <w:tc>
          <w:tcPr>
            <w:tcW w:w="931" w:type="dxa"/>
            <w:gridSpan w:val="5"/>
            <w:tcBorders>
              <w:top w:val="single" w:color="auto" w:sz="4" w:space="0"/>
              <w:left w:val="single" w:color="auto" w:sz="4" w:space="0"/>
              <w:bottom w:val="single" w:color="auto" w:sz="4" w:space="0"/>
              <w:right w:val="single" w:color="auto" w:sz="4" w:space="0"/>
            </w:tcBorders>
            <w:vAlign w:val="center"/>
          </w:tcPr>
          <w:p w14:paraId="616A9B20">
            <w:pPr>
              <w:widowControl w:val="0"/>
              <w:bidi w:val="0"/>
              <w:spacing w:line="240" w:lineRule="auto"/>
              <w:jc w:val="center"/>
              <w:rPr>
                <w:rFonts w:hint="eastAsia"/>
                <w:sz w:val="21"/>
                <w:szCs w:val="21"/>
                <w:lang w:val="en-US" w:eastAsia="zh-CN"/>
              </w:rPr>
            </w:pPr>
            <w:r>
              <w:rPr>
                <w:rFonts w:hint="eastAsia"/>
                <w:sz w:val="21"/>
                <w:szCs w:val="21"/>
                <w:lang w:val="en-US" w:eastAsia="zh-CN"/>
              </w:rPr>
              <w:t>D1 □</w:t>
            </w:r>
          </w:p>
        </w:tc>
        <w:tc>
          <w:tcPr>
            <w:tcW w:w="1587" w:type="dxa"/>
            <w:gridSpan w:val="7"/>
            <w:tcBorders>
              <w:top w:val="single" w:color="auto" w:sz="4" w:space="0"/>
              <w:left w:val="single" w:color="auto" w:sz="4" w:space="0"/>
              <w:bottom w:val="single" w:color="auto" w:sz="4" w:space="0"/>
              <w:right w:val="single" w:color="auto" w:sz="4" w:space="0"/>
            </w:tcBorders>
            <w:vAlign w:val="center"/>
          </w:tcPr>
          <w:p w14:paraId="05F9E120">
            <w:pPr>
              <w:widowControl w:val="0"/>
              <w:bidi w:val="0"/>
              <w:spacing w:line="240" w:lineRule="auto"/>
              <w:jc w:val="center"/>
              <w:rPr>
                <w:rFonts w:hint="eastAsia"/>
                <w:sz w:val="21"/>
                <w:szCs w:val="21"/>
                <w:lang w:val="en-US" w:eastAsia="zh-CN"/>
              </w:rPr>
            </w:pPr>
            <w:r>
              <w:rPr>
                <w:rFonts w:hint="eastAsia"/>
                <w:sz w:val="21"/>
                <w:szCs w:val="21"/>
                <w:lang w:val="en-US" w:eastAsia="zh-CN"/>
              </w:rPr>
              <w:t>D2 ☑</w:t>
            </w:r>
          </w:p>
        </w:tc>
        <w:tc>
          <w:tcPr>
            <w:tcW w:w="1340" w:type="dxa"/>
            <w:gridSpan w:val="2"/>
            <w:tcBorders>
              <w:top w:val="single" w:color="auto" w:sz="4" w:space="0"/>
              <w:left w:val="single" w:color="auto" w:sz="4" w:space="0"/>
              <w:bottom w:val="single" w:color="auto" w:sz="4" w:space="0"/>
              <w:right w:val="single" w:color="auto" w:sz="4" w:space="0"/>
            </w:tcBorders>
            <w:vAlign w:val="center"/>
          </w:tcPr>
          <w:p w14:paraId="5A0A9AA3">
            <w:pPr>
              <w:widowControl w:val="0"/>
              <w:bidi w:val="0"/>
              <w:spacing w:line="240" w:lineRule="auto"/>
              <w:jc w:val="center"/>
              <w:rPr>
                <w:rFonts w:hint="eastAsia"/>
                <w:sz w:val="21"/>
                <w:szCs w:val="21"/>
                <w:lang w:val="en-US" w:eastAsia="zh-CN"/>
              </w:rPr>
            </w:pPr>
            <w:r>
              <w:rPr>
                <w:rFonts w:hint="eastAsia"/>
                <w:sz w:val="21"/>
                <w:szCs w:val="21"/>
                <w:lang w:val="en-US" w:eastAsia="zh-CN"/>
              </w:rPr>
              <w:t>D3 □</w:t>
            </w:r>
          </w:p>
        </w:tc>
      </w:tr>
      <w:tr w14:paraId="7EA470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restart"/>
            <w:tcBorders>
              <w:top w:val="single" w:color="auto" w:sz="4" w:space="0"/>
              <w:left w:val="single" w:color="auto" w:sz="4" w:space="0"/>
              <w:bottom w:val="single" w:color="auto" w:sz="4" w:space="0"/>
              <w:right w:val="single" w:color="auto" w:sz="4" w:space="0"/>
            </w:tcBorders>
            <w:vAlign w:val="center"/>
          </w:tcPr>
          <w:p w14:paraId="67C1F816">
            <w:pPr>
              <w:widowControl w:val="0"/>
              <w:bidi w:val="0"/>
              <w:spacing w:line="240" w:lineRule="auto"/>
              <w:jc w:val="center"/>
              <w:rPr>
                <w:rFonts w:hint="eastAsia"/>
                <w:sz w:val="21"/>
                <w:szCs w:val="21"/>
                <w:lang w:val="en-US" w:eastAsia="zh-CN"/>
              </w:rPr>
            </w:pPr>
            <w:r>
              <w:rPr>
                <w:rFonts w:hint="eastAsia"/>
                <w:sz w:val="21"/>
                <w:szCs w:val="21"/>
                <w:lang w:val="en-US" w:eastAsia="zh-CN"/>
              </w:rPr>
              <w:t>物质及工艺系统危险性</w:t>
            </w:r>
          </w:p>
        </w:tc>
        <w:tc>
          <w:tcPr>
            <w:tcW w:w="1238" w:type="dxa"/>
            <w:tcBorders>
              <w:top w:val="single" w:color="auto" w:sz="4" w:space="0"/>
              <w:left w:val="single" w:color="auto" w:sz="4" w:space="0"/>
              <w:bottom w:val="single" w:color="auto" w:sz="4" w:space="0"/>
              <w:right w:val="single" w:color="auto" w:sz="4" w:space="0"/>
            </w:tcBorders>
            <w:vAlign w:val="center"/>
          </w:tcPr>
          <w:p w14:paraId="138CCA6C">
            <w:pPr>
              <w:widowControl w:val="0"/>
              <w:bidi w:val="0"/>
              <w:spacing w:line="240" w:lineRule="auto"/>
              <w:jc w:val="center"/>
              <w:rPr>
                <w:rFonts w:hint="eastAsia"/>
                <w:sz w:val="21"/>
                <w:szCs w:val="21"/>
                <w:lang w:val="en-US" w:eastAsia="zh-CN"/>
              </w:rPr>
            </w:pPr>
            <w:r>
              <w:rPr>
                <w:rFonts w:hint="eastAsia"/>
                <w:sz w:val="21"/>
                <w:szCs w:val="21"/>
                <w:lang w:val="en-US" w:eastAsia="zh-CN"/>
              </w:rPr>
              <w:t>Q 值</w:t>
            </w:r>
          </w:p>
        </w:tc>
        <w:tc>
          <w:tcPr>
            <w:tcW w:w="1784" w:type="dxa"/>
            <w:gridSpan w:val="5"/>
            <w:tcBorders>
              <w:top w:val="single" w:color="auto" w:sz="4" w:space="0"/>
              <w:left w:val="single" w:color="auto" w:sz="4" w:space="0"/>
              <w:bottom w:val="single" w:color="auto" w:sz="4" w:space="0"/>
              <w:right w:val="single" w:color="auto" w:sz="4" w:space="0"/>
            </w:tcBorders>
            <w:vAlign w:val="center"/>
          </w:tcPr>
          <w:p w14:paraId="357D227C">
            <w:pPr>
              <w:widowControl w:val="0"/>
              <w:bidi w:val="0"/>
              <w:spacing w:line="240" w:lineRule="auto"/>
              <w:jc w:val="center"/>
              <w:rPr>
                <w:rFonts w:hint="eastAsia"/>
                <w:sz w:val="21"/>
                <w:szCs w:val="21"/>
                <w:lang w:val="en-US" w:eastAsia="zh-CN"/>
              </w:rPr>
            </w:pPr>
            <w:r>
              <w:rPr>
                <w:rFonts w:hint="eastAsia"/>
                <w:sz w:val="21"/>
                <w:szCs w:val="21"/>
                <w:lang w:val="en-US" w:eastAsia="zh-CN"/>
              </w:rPr>
              <w:t>Q1&lt;1□</w:t>
            </w:r>
          </w:p>
        </w:tc>
        <w:tc>
          <w:tcPr>
            <w:tcW w:w="1792" w:type="dxa"/>
            <w:gridSpan w:val="6"/>
            <w:tcBorders>
              <w:top w:val="single" w:color="auto" w:sz="4" w:space="0"/>
              <w:left w:val="single" w:color="auto" w:sz="4" w:space="0"/>
              <w:bottom w:val="single" w:color="auto" w:sz="4" w:space="0"/>
              <w:right w:val="single" w:color="auto" w:sz="4" w:space="0"/>
            </w:tcBorders>
            <w:vAlign w:val="center"/>
          </w:tcPr>
          <w:p w14:paraId="0C09A6E6">
            <w:pPr>
              <w:widowControl w:val="0"/>
              <w:bidi w:val="0"/>
              <w:spacing w:line="240" w:lineRule="auto"/>
              <w:jc w:val="center"/>
              <w:rPr>
                <w:rFonts w:hint="eastAsia"/>
                <w:sz w:val="21"/>
                <w:szCs w:val="21"/>
                <w:lang w:val="en-US" w:eastAsia="zh-CN"/>
              </w:rPr>
            </w:pPr>
            <w:r>
              <w:rPr>
                <w:rFonts w:hint="eastAsia"/>
                <w:sz w:val="21"/>
                <w:szCs w:val="21"/>
                <w:lang w:val="en-US" w:eastAsia="zh-CN"/>
              </w:rPr>
              <w:t>1≤Q&lt;10 □</w:t>
            </w:r>
          </w:p>
        </w:tc>
        <w:tc>
          <w:tcPr>
            <w:tcW w:w="1765" w:type="dxa"/>
            <w:gridSpan w:val="8"/>
            <w:tcBorders>
              <w:top w:val="single" w:color="auto" w:sz="4" w:space="0"/>
              <w:left w:val="single" w:color="auto" w:sz="4" w:space="0"/>
              <w:bottom w:val="single" w:color="auto" w:sz="4" w:space="0"/>
              <w:right w:val="single" w:color="auto" w:sz="4" w:space="0"/>
            </w:tcBorders>
            <w:vAlign w:val="center"/>
          </w:tcPr>
          <w:p w14:paraId="4AD52A60">
            <w:pPr>
              <w:widowControl w:val="0"/>
              <w:bidi w:val="0"/>
              <w:spacing w:line="240" w:lineRule="auto"/>
              <w:jc w:val="center"/>
              <w:rPr>
                <w:rFonts w:hint="eastAsia"/>
                <w:sz w:val="21"/>
                <w:szCs w:val="21"/>
                <w:lang w:val="en-US" w:eastAsia="zh-CN"/>
              </w:rPr>
            </w:pPr>
            <w:r>
              <w:rPr>
                <w:rFonts w:hint="eastAsia"/>
                <w:sz w:val="21"/>
                <w:szCs w:val="21"/>
                <w:lang w:val="en-US" w:eastAsia="zh-CN"/>
              </w:rPr>
              <w:t>10≤Q≤100 □</w:t>
            </w:r>
          </w:p>
        </w:tc>
        <w:tc>
          <w:tcPr>
            <w:tcW w:w="1764" w:type="dxa"/>
            <w:gridSpan w:val="5"/>
            <w:tcBorders>
              <w:top w:val="single" w:color="auto" w:sz="4" w:space="0"/>
              <w:left w:val="single" w:color="auto" w:sz="4" w:space="0"/>
              <w:bottom w:val="single" w:color="auto" w:sz="4" w:space="0"/>
              <w:right w:val="single" w:color="auto" w:sz="4" w:space="0"/>
            </w:tcBorders>
            <w:vAlign w:val="center"/>
          </w:tcPr>
          <w:p w14:paraId="16C12ED6">
            <w:pPr>
              <w:widowControl w:val="0"/>
              <w:bidi w:val="0"/>
              <w:spacing w:line="240" w:lineRule="auto"/>
              <w:jc w:val="center"/>
              <w:rPr>
                <w:rFonts w:hint="eastAsia"/>
                <w:sz w:val="21"/>
                <w:szCs w:val="21"/>
                <w:lang w:val="en-US" w:eastAsia="zh-CN"/>
              </w:rPr>
            </w:pPr>
            <w:r>
              <w:rPr>
                <w:rFonts w:hint="eastAsia"/>
                <w:sz w:val="21"/>
                <w:szCs w:val="21"/>
                <w:lang w:val="en-US" w:eastAsia="zh-CN"/>
              </w:rPr>
              <w:t>Q≥100 ☑</w:t>
            </w:r>
          </w:p>
        </w:tc>
      </w:tr>
      <w:tr w14:paraId="666225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377E3C98">
            <w:pPr>
              <w:widowControl w:val="0"/>
              <w:bidi w:val="0"/>
              <w:spacing w:line="240" w:lineRule="auto"/>
              <w:jc w:val="center"/>
              <w:rPr>
                <w:rFonts w:hint="eastAsia"/>
                <w:sz w:val="21"/>
                <w:szCs w:val="21"/>
                <w:lang w:val="en-US" w:eastAsia="zh-CN"/>
              </w:rPr>
            </w:pPr>
          </w:p>
        </w:tc>
        <w:tc>
          <w:tcPr>
            <w:tcW w:w="1238" w:type="dxa"/>
            <w:tcBorders>
              <w:top w:val="single" w:color="auto" w:sz="4" w:space="0"/>
              <w:left w:val="single" w:color="auto" w:sz="4" w:space="0"/>
              <w:bottom w:val="single" w:color="auto" w:sz="4" w:space="0"/>
              <w:right w:val="single" w:color="auto" w:sz="4" w:space="0"/>
            </w:tcBorders>
            <w:vAlign w:val="center"/>
          </w:tcPr>
          <w:p w14:paraId="0B8182F6">
            <w:pPr>
              <w:widowControl w:val="0"/>
              <w:bidi w:val="0"/>
              <w:spacing w:line="240" w:lineRule="auto"/>
              <w:jc w:val="center"/>
              <w:rPr>
                <w:rFonts w:hint="eastAsia"/>
                <w:sz w:val="21"/>
                <w:szCs w:val="21"/>
                <w:lang w:val="en-US" w:eastAsia="zh-CN"/>
              </w:rPr>
            </w:pPr>
            <w:r>
              <w:rPr>
                <w:rFonts w:hint="eastAsia"/>
                <w:sz w:val="21"/>
                <w:szCs w:val="21"/>
                <w:lang w:val="en-US" w:eastAsia="zh-CN"/>
              </w:rPr>
              <w:t>M 值</w:t>
            </w:r>
          </w:p>
        </w:tc>
        <w:tc>
          <w:tcPr>
            <w:tcW w:w="1784" w:type="dxa"/>
            <w:gridSpan w:val="5"/>
            <w:tcBorders>
              <w:top w:val="single" w:color="auto" w:sz="4" w:space="0"/>
              <w:left w:val="single" w:color="auto" w:sz="4" w:space="0"/>
              <w:bottom w:val="single" w:color="auto" w:sz="4" w:space="0"/>
              <w:right w:val="single" w:color="auto" w:sz="4" w:space="0"/>
            </w:tcBorders>
            <w:vAlign w:val="center"/>
          </w:tcPr>
          <w:p w14:paraId="02915840">
            <w:pPr>
              <w:widowControl w:val="0"/>
              <w:bidi w:val="0"/>
              <w:spacing w:line="240" w:lineRule="auto"/>
              <w:jc w:val="center"/>
              <w:rPr>
                <w:rFonts w:hint="eastAsia"/>
                <w:sz w:val="21"/>
                <w:szCs w:val="21"/>
                <w:lang w:val="en-US" w:eastAsia="zh-CN"/>
              </w:rPr>
            </w:pPr>
            <w:r>
              <w:rPr>
                <w:rFonts w:hint="eastAsia"/>
                <w:sz w:val="21"/>
                <w:szCs w:val="21"/>
                <w:lang w:val="en-US" w:eastAsia="zh-CN"/>
              </w:rPr>
              <w:t>M1 ☑</w:t>
            </w:r>
          </w:p>
        </w:tc>
        <w:tc>
          <w:tcPr>
            <w:tcW w:w="1792" w:type="dxa"/>
            <w:gridSpan w:val="6"/>
            <w:tcBorders>
              <w:top w:val="single" w:color="auto" w:sz="4" w:space="0"/>
              <w:left w:val="single" w:color="auto" w:sz="4" w:space="0"/>
              <w:bottom w:val="single" w:color="auto" w:sz="4" w:space="0"/>
              <w:right w:val="single" w:color="auto" w:sz="4" w:space="0"/>
            </w:tcBorders>
            <w:vAlign w:val="center"/>
          </w:tcPr>
          <w:p w14:paraId="7C894F34">
            <w:pPr>
              <w:widowControl w:val="0"/>
              <w:bidi w:val="0"/>
              <w:spacing w:line="240" w:lineRule="auto"/>
              <w:jc w:val="center"/>
              <w:rPr>
                <w:rFonts w:hint="eastAsia"/>
                <w:sz w:val="21"/>
                <w:szCs w:val="21"/>
                <w:lang w:val="en-US" w:eastAsia="zh-CN"/>
              </w:rPr>
            </w:pPr>
            <w:r>
              <w:rPr>
                <w:rFonts w:hint="eastAsia"/>
                <w:sz w:val="21"/>
                <w:szCs w:val="21"/>
                <w:lang w:val="en-US" w:eastAsia="zh-CN"/>
              </w:rPr>
              <w:t>M2 □</w:t>
            </w:r>
          </w:p>
        </w:tc>
        <w:tc>
          <w:tcPr>
            <w:tcW w:w="1765" w:type="dxa"/>
            <w:gridSpan w:val="8"/>
            <w:tcBorders>
              <w:top w:val="single" w:color="auto" w:sz="4" w:space="0"/>
              <w:left w:val="single" w:color="auto" w:sz="4" w:space="0"/>
              <w:bottom w:val="single" w:color="auto" w:sz="4" w:space="0"/>
              <w:right w:val="single" w:color="auto" w:sz="4" w:space="0"/>
            </w:tcBorders>
            <w:vAlign w:val="center"/>
          </w:tcPr>
          <w:p w14:paraId="561BF554">
            <w:pPr>
              <w:widowControl w:val="0"/>
              <w:bidi w:val="0"/>
              <w:spacing w:line="240" w:lineRule="auto"/>
              <w:jc w:val="center"/>
              <w:rPr>
                <w:rFonts w:hint="eastAsia"/>
                <w:sz w:val="21"/>
                <w:szCs w:val="21"/>
                <w:lang w:val="en-US" w:eastAsia="zh-CN"/>
              </w:rPr>
            </w:pPr>
            <w:r>
              <w:rPr>
                <w:rFonts w:hint="eastAsia"/>
                <w:sz w:val="21"/>
                <w:szCs w:val="21"/>
                <w:lang w:val="en-US" w:eastAsia="zh-CN"/>
              </w:rPr>
              <w:t>M3 □</w:t>
            </w:r>
          </w:p>
        </w:tc>
        <w:tc>
          <w:tcPr>
            <w:tcW w:w="1764" w:type="dxa"/>
            <w:gridSpan w:val="5"/>
            <w:tcBorders>
              <w:top w:val="single" w:color="auto" w:sz="4" w:space="0"/>
              <w:left w:val="single" w:color="auto" w:sz="4" w:space="0"/>
              <w:bottom w:val="single" w:color="auto" w:sz="4" w:space="0"/>
              <w:right w:val="single" w:color="auto" w:sz="4" w:space="0"/>
            </w:tcBorders>
            <w:vAlign w:val="center"/>
          </w:tcPr>
          <w:p w14:paraId="614FA4AA">
            <w:pPr>
              <w:widowControl w:val="0"/>
              <w:bidi w:val="0"/>
              <w:spacing w:line="240" w:lineRule="auto"/>
              <w:jc w:val="center"/>
              <w:rPr>
                <w:rFonts w:hint="eastAsia"/>
                <w:sz w:val="21"/>
                <w:szCs w:val="21"/>
                <w:lang w:val="en-US" w:eastAsia="zh-CN"/>
              </w:rPr>
            </w:pPr>
            <w:r>
              <w:rPr>
                <w:rFonts w:hint="eastAsia"/>
                <w:sz w:val="21"/>
                <w:szCs w:val="21"/>
                <w:lang w:val="en-US" w:eastAsia="zh-CN"/>
              </w:rPr>
              <w:t>M4 □</w:t>
            </w:r>
          </w:p>
        </w:tc>
      </w:tr>
      <w:tr w14:paraId="74420B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6A7C4F50">
            <w:pPr>
              <w:widowControl w:val="0"/>
              <w:bidi w:val="0"/>
              <w:spacing w:line="240" w:lineRule="auto"/>
              <w:jc w:val="center"/>
              <w:rPr>
                <w:rFonts w:hint="eastAsia"/>
                <w:sz w:val="21"/>
                <w:szCs w:val="21"/>
                <w:lang w:val="en-US" w:eastAsia="zh-CN"/>
              </w:rPr>
            </w:pPr>
          </w:p>
        </w:tc>
        <w:tc>
          <w:tcPr>
            <w:tcW w:w="1238" w:type="dxa"/>
            <w:tcBorders>
              <w:top w:val="single" w:color="auto" w:sz="4" w:space="0"/>
              <w:left w:val="single" w:color="auto" w:sz="4" w:space="0"/>
              <w:bottom w:val="single" w:color="auto" w:sz="4" w:space="0"/>
              <w:right w:val="single" w:color="auto" w:sz="4" w:space="0"/>
            </w:tcBorders>
            <w:vAlign w:val="center"/>
          </w:tcPr>
          <w:p w14:paraId="67F641AF">
            <w:pPr>
              <w:widowControl w:val="0"/>
              <w:bidi w:val="0"/>
              <w:spacing w:line="240" w:lineRule="auto"/>
              <w:jc w:val="center"/>
              <w:rPr>
                <w:rFonts w:hint="eastAsia"/>
                <w:sz w:val="21"/>
                <w:szCs w:val="21"/>
                <w:lang w:val="en-US" w:eastAsia="zh-CN"/>
              </w:rPr>
            </w:pPr>
            <w:r>
              <w:rPr>
                <w:rFonts w:hint="eastAsia"/>
                <w:sz w:val="21"/>
                <w:szCs w:val="21"/>
                <w:lang w:val="en-US" w:eastAsia="zh-CN"/>
              </w:rPr>
              <w:t>P 值</w:t>
            </w:r>
          </w:p>
        </w:tc>
        <w:tc>
          <w:tcPr>
            <w:tcW w:w="1784" w:type="dxa"/>
            <w:gridSpan w:val="5"/>
            <w:tcBorders>
              <w:top w:val="single" w:color="auto" w:sz="4" w:space="0"/>
              <w:left w:val="single" w:color="auto" w:sz="4" w:space="0"/>
              <w:bottom w:val="single" w:color="auto" w:sz="4" w:space="0"/>
              <w:right w:val="single" w:color="auto" w:sz="4" w:space="0"/>
            </w:tcBorders>
            <w:vAlign w:val="center"/>
          </w:tcPr>
          <w:p w14:paraId="6BAECD28">
            <w:pPr>
              <w:widowControl w:val="0"/>
              <w:bidi w:val="0"/>
              <w:spacing w:line="240" w:lineRule="auto"/>
              <w:jc w:val="center"/>
              <w:rPr>
                <w:rFonts w:hint="eastAsia"/>
                <w:sz w:val="21"/>
                <w:szCs w:val="21"/>
                <w:lang w:val="en-US" w:eastAsia="zh-CN"/>
              </w:rPr>
            </w:pPr>
            <w:r>
              <w:rPr>
                <w:rFonts w:hint="eastAsia"/>
                <w:sz w:val="21"/>
                <w:szCs w:val="21"/>
                <w:lang w:val="en-US" w:eastAsia="zh-CN"/>
              </w:rPr>
              <w:t>P1 ☑</w:t>
            </w:r>
          </w:p>
        </w:tc>
        <w:tc>
          <w:tcPr>
            <w:tcW w:w="1792" w:type="dxa"/>
            <w:gridSpan w:val="6"/>
            <w:tcBorders>
              <w:top w:val="single" w:color="auto" w:sz="4" w:space="0"/>
              <w:left w:val="single" w:color="auto" w:sz="4" w:space="0"/>
              <w:bottom w:val="single" w:color="auto" w:sz="4" w:space="0"/>
              <w:right w:val="single" w:color="auto" w:sz="4" w:space="0"/>
            </w:tcBorders>
            <w:vAlign w:val="center"/>
          </w:tcPr>
          <w:p w14:paraId="1182702A">
            <w:pPr>
              <w:widowControl w:val="0"/>
              <w:bidi w:val="0"/>
              <w:spacing w:line="240" w:lineRule="auto"/>
              <w:jc w:val="center"/>
              <w:rPr>
                <w:rFonts w:hint="eastAsia"/>
                <w:sz w:val="21"/>
                <w:szCs w:val="21"/>
                <w:lang w:val="en-US" w:eastAsia="zh-CN"/>
              </w:rPr>
            </w:pPr>
            <w:r>
              <w:rPr>
                <w:rFonts w:hint="eastAsia"/>
                <w:sz w:val="21"/>
                <w:szCs w:val="21"/>
                <w:lang w:val="en-US" w:eastAsia="zh-CN"/>
              </w:rPr>
              <w:t>P2 □</w:t>
            </w:r>
          </w:p>
        </w:tc>
        <w:tc>
          <w:tcPr>
            <w:tcW w:w="1765" w:type="dxa"/>
            <w:gridSpan w:val="8"/>
            <w:tcBorders>
              <w:top w:val="single" w:color="auto" w:sz="4" w:space="0"/>
              <w:left w:val="single" w:color="auto" w:sz="4" w:space="0"/>
              <w:bottom w:val="single" w:color="auto" w:sz="4" w:space="0"/>
              <w:right w:val="single" w:color="auto" w:sz="4" w:space="0"/>
            </w:tcBorders>
            <w:vAlign w:val="center"/>
          </w:tcPr>
          <w:p w14:paraId="54310D27">
            <w:pPr>
              <w:widowControl w:val="0"/>
              <w:bidi w:val="0"/>
              <w:spacing w:line="240" w:lineRule="auto"/>
              <w:jc w:val="center"/>
              <w:rPr>
                <w:rFonts w:hint="eastAsia"/>
                <w:sz w:val="21"/>
                <w:szCs w:val="21"/>
                <w:lang w:val="en-US" w:eastAsia="zh-CN"/>
              </w:rPr>
            </w:pPr>
            <w:r>
              <w:rPr>
                <w:rFonts w:hint="eastAsia"/>
                <w:sz w:val="21"/>
                <w:szCs w:val="21"/>
                <w:lang w:val="en-US" w:eastAsia="zh-CN"/>
              </w:rPr>
              <w:t>P3 □</w:t>
            </w:r>
          </w:p>
        </w:tc>
        <w:tc>
          <w:tcPr>
            <w:tcW w:w="1764" w:type="dxa"/>
            <w:gridSpan w:val="5"/>
            <w:tcBorders>
              <w:top w:val="single" w:color="auto" w:sz="4" w:space="0"/>
              <w:left w:val="single" w:color="auto" w:sz="4" w:space="0"/>
              <w:bottom w:val="single" w:color="auto" w:sz="4" w:space="0"/>
              <w:right w:val="single" w:color="auto" w:sz="4" w:space="0"/>
            </w:tcBorders>
            <w:vAlign w:val="center"/>
          </w:tcPr>
          <w:p w14:paraId="5F739A6F">
            <w:pPr>
              <w:widowControl w:val="0"/>
              <w:bidi w:val="0"/>
              <w:spacing w:line="240" w:lineRule="auto"/>
              <w:jc w:val="center"/>
              <w:rPr>
                <w:rFonts w:hint="eastAsia"/>
                <w:sz w:val="21"/>
                <w:szCs w:val="21"/>
                <w:lang w:val="en-US" w:eastAsia="zh-CN"/>
              </w:rPr>
            </w:pPr>
            <w:r>
              <w:rPr>
                <w:rFonts w:hint="eastAsia"/>
                <w:sz w:val="21"/>
                <w:szCs w:val="21"/>
                <w:lang w:val="en-US" w:eastAsia="zh-CN"/>
              </w:rPr>
              <w:t>P4 □</w:t>
            </w:r>
          </w:p>
        </w:tc>
      </w:tr>
      <w:tr w14:paraId="27959D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restart"/>
            <w:tcBorders>
              <w:top w:val="single" w:color="auto" w:sz="4" w:space="0"/>
              <w:left w:val="single" w:color="auto" w:sz="4" w:space="0"/>
              <w:bottom w:val="single" w:color="auto" w:sz="4" w:space="0"/>
              <w:right w:val="single" w:color="auto" w:sz="4" w:space="0"/>
            </w:tcBorders>
            <w:vAlign w:val="center"/>
          </w:tcPr>
          <w:p w14:paraId="7DE8519E">
            <w:pPr>
              <w:widowControl w:val="0"/>
              <w:bidi w:val="0"/>
              <w:spacing w:line="240" w:lineRule="auto"/>
              <w:jc w:val="center"/>
              <w:rPr>
                <w:rFonts w:hint="eastAsia"/>
                <w:sz w:val="21"/>
                <w:szCs w:val="21"/>
                <w:lang w:val="en-US" w:eastAsia="zh-CN"/>
              </w:rPr>
            </w:pPr>
          </w:p>
          <w:p w14:paraId="7A1C1F42">
            <w:pPr>
              <w:widowControl w:val="0"/>
              <w:bidi w:val="0"/>
              <w:spacing w:line="240" w:lineRule="auto"/>
              <w:jc w:val="center"/>
              <w:rPr>
                <w:rFonts w:hint="eastAsia"/>
                <w:sz w:val="21"/>
                <w:szCs w:val="21"/>
                <w:lang w:val="en-US" w:eastAsia="zh-CN"/>
              </w:rPr>
            </w:pPr>
            <w:r>
              <w:rPr>
                <w:rFonts w:hint="eastAsia"/>
                <w:sz w:val="21"/>
                <w:szCs w:val="21"/>
                <w:lang w:val="en-US" w:eastAsia="zh-CN"/>
              </w:rPr>
              <w:t>环境敏感程度</w:t>
            </w:r>
          </w:p>
        </w:tc>
        <w:tc>
          <w:tcPr>
            <w:tcW w:w="1238" w:type="dxa"/>
            <w:tcBorders>
              <w:top w:val="single" w:color="auto" w:sz="4" w:space="0"/>
              <w:left w:val="single" w:color="auto" w:sz="4" w:space="0"/>
              <w:bottom w:val="single" w:color="auto" w:sz="4" w:space="0"/>
              <w:right w:val="single" w:color="auto" w:sz="4" w:space="0"/>
            </w:tcBorders>
            <w:vAlign w:val="center"/>
          </w:tcPr>
          <w:p w14:paraId="55D2A579">
            <w:pPr>
              <w:widowControl w:val="0"/>
              <w:bidi w:val="0"/>
              <w:spacing w:line="240" w:lineRule="auto"/>
              <w:jc w:val="center"/>
              <w:rPr>
                <w:rFonts w:hint="eastAsia"/>
                <w:sz w:val="21"/>
                <w:szCs w:val="21"/>
                <w:lang w:val="en-US" w:eastAsia="zh-CN"/>
              </w:rPr>
            </w:pPr>
            <w:r>
              <w:rPr>
                <w:rFonts w:hint="eastAsia"/>
                <w:sz w:val="21"/>
                <w:szCs w:val="21"/>
                <w:lang w:val="en-US" w:eastAsia="zh-CN"/>
              </w:rPr>
              <w:t>大气</w:t>
            </w:r>
          </w:p>
        </w:tc>
        <w:tc>
          <w:tcPr>
            <w:tcW w:w="1842" w:type="dxa"/>
            <w:gridSpan w:val="6"/>
            <w:tcBorders>
              <w:top w:val="single" w:color="auto" w:sz="4" w:space="0"/>
              <w:left w:val="single" w:color="auto" w:sz="4" w:space="0"/>
              <w:bottom w:val="single" w:color="auto" w:sz="4" w:space="0"/>
              <w:right w:val="single" w:color="auto" w:sz="4" w:space="0"/>
            </w:tcBorders>
            <w:vAlign w:val="center"/>
          </w:tcPr>
          <w:p w14:paraId="4A7BBDF2">
            <w:pPr>
              <w:widowControl w:val="0"/>
              <w:bidi w:val="0"/>
              <w:spacing w:line="240" w:lineRule="auto"/>
              <w:jc w:val="center"/>
              <w:rPr>
                <w:rFonts w:hint="eastAsia"/>
                <w:sz w:val="21"/>
                <w:szCs w:val="21"/>
                <w:lang w:val="en-US" w:eastAsia="zh-CN"/>
              </w:rPr>
            </w:pPr>
            <w:r>
              <w:rPr>
                <w:rFonts w:hint="eastAsia"/>
                <w:sz w:val="21"/>
                <w:szCs w:val="21"/>
                <w:lang w:val="en-US" w:eastAsia="zh-CN"/>
              </w:rPr>
              <w:t>E1 □</w:t>
            </w:r>
          </w:p>
        </w:tc>
        <w:tc>
          <w:tcPr>
            <w:tcW w:w="2904" w:type="dxa"/>
            <w:gridSpan w:val="11"/>
            <w:tcBorders>
              <w:top w:val="single" w:color="auto" w:sz="4" w:space="0"/>
              <w:left w:val="single" w:color="auto" w:sz="4" w:space="0"/>
              <w:bottom w:val="single" w:color="auto" w:sz="4" w:space="0"/>
              <w:right w:val="single" w:color="auto" w:sz="4" w:space="0"/>
            </w:tcBorders>
            <w:vAlign w:val="center"/>
          </w:tcPr>
          <w:p w14:paraId="2D7AD452">
            <w:pPr>
              <w:widowControl w:val="0"/>
              <w:bidi w:val="0"/>
              <w:spacing w:line="240" w:lineRule="auto"/>
              <w:jc w:val="center"/>
              <w:rPr>
                <w:rFonts w:hint="eastAsia"/>
                <w:sz w:val="21"/>
                <w:szCs w:val="21"/>
                <w:lang w:val="en-US" w:eastAsia="zh-CN"/>
              </w:rPr>
            </w:pPr>
            <w:r>
              <w:rPr>
                <w:rFonts w:hint="eastAsia"/>
                <w:sz w:val="21"/>
                <w:szCs w:val="21"/>
                <w:lang w:val="en-US" w:eastAsia="zh-CN"/>
              </w:rPr>
              <w:t>E2 ☑</w:t>
            </w:r>
          </w:p>
        </w:tc>
        <w:tc>
          <w:tcPr>
            <w:tcW w:w="2359" w:type="dxa"/>
            <w:gridSpan w:val="7"/>
            <w:tcBorders>
              <w:top w:val="single" w:color="auto" w:sz="4" w:space="0"/>
              <w:left w:val="single" w:color="auto" w:sz="4" w:space="0"/>
              <w:bottom w:val="single" w:color="auto" w:sz="4" w:space="0"/>
              <w:right w:val="single" w:color="auto" w:sz="4" w:space="0"/>
            </w:tcBorders>
            <w:vAlign w:val="center"/>
          </w:tcPr>
          <w:p w14:paraId="256FDF5E">
            <w:pPr>
              <w:widowControl w:val="0"/>
              <w:bidi w:val="0"/>
              <w:spacing w:line="240" w:lineRule="auto"/>
              <w:jc w:val="center"/>
              <w:rPr>
                <w:rFonts w:hint="eastAsia"/>
                <w:sz w:val="21"/>
                <w:szCs w:val="21"/>
                <w:lang w:val="en-US" w:eastAsia="zh-CN"/>
              </w:rPr>
            </w:pPr>
            <w:r>
              <w:rPr>
                <w:rFonts w:hint="eastAsia"/>
                <w:sz w:val="21"/>
                <w:szCs w:val="21"/>
                <w:lang w:val="en-US" w:eastAsia="zh-CN"/>
              </w:rPr>
              <w:t>E3 □</w:t>
            </w:r>
          </w:p>
        </w:tc>
      </w:tr>
      <w:tr w14:paraId="7431C0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2F789A30">
            <w:pPr>
              <w:widowControl w:val="0"/>
              <w:bidi w:val="0"/>
              <w:spacing w:line="240" w:lineRule="auto"/>
              <w:jc w:val="center"/>
              <w:rPr>
                <w:rFonts w:hint="eastAsia"/>
                <w:sz w:val="21"/>
                <w:szCs w:val="21"/>
                <w:lang w:val="en-US" w:eastAsia="zh-CN"/>
              </w:rPr>
            </w:pPr>
          </w:p>
        </w:tc>
        <w:tc>
          <w:tcPr>
            <w:tcW w:w="1238" w:type="dxa"/>
            <w:tcBorders>
              <w:top w:val="single" w:color="auto" w:sz="4" w:space="0"/>
              <w:left w:val="single" w:color="auto" w:sz="4" w:space="0"/>
              <w:bottom w:val="single" w:color="auto" w:sz="4" w:space="0"/>
              <w:right w:val="single" w:color="auto" w:sz="4" w:space="0"/>
            </w:tcBorders>
            <w:vAlign w:val="center"/>
          </w:tcPr>
          <w:p w14:paraId="74E4DC80">
            <w:pPr>
              <w:widowControl w:val="0"/>
              <w:bidi w:val="0"/>
              <w:spacing w:line="240" w:lineRule="auto"/>
              <w:jc w:val="center"/>
              <w:rPr>
                <w:rFonts w:hint="eastAsia"/>
                <w:sz w:val="21"/>
                <w:szCs w:val="21"/>
                <w:lang w:val="en-US" w:eastAsia="zh-CN"/>
              </w:rPr>
            </w:pPr>
            <w:r>
              <w:rPr>
                <w:rFonts w:hint="eastAsia"/>
                <w:sz w:val="21"/>
                <w:szCs w:val="21"/>
                <w:lang w:val="en-US" w:eastAsia="zh-CN"/>
              </w:rPr>
              <w:t>地表水</w:t>
            </w:r>
          </w:p>
        </w:tc>
        <w:tc>
          <w:tcPr>
            <w:tcW w:w="1842" w:type="dxa"/>
            <w:gridSpan w:val="6"/>
            <w:tcBorders>
              <w:top w:val="single" w:color="auto" w:sz="4" w:space="0"/>
              <w:left w:val="single" w:color="auto" w:sz="4" w:space="0"/>
              <w:bottom w:val="single" w:color="auto" w:sz="4" w:space="0"/>
              <w:right w:val="single" w:color="auto" w:sz="4" w:space="0"/>
            </w:tcBorders>
            <w:vAlign w:val="center"/>
          </w:tcPr>
          <w:p w14:paraId="59690694">
            <w:pPr>
              <w:widowControl w:val="0"/>
              <w:bidi w:val="0"/>
              <w:spacing w:line="240" w:lineRule="auto"/>
              <w:jc w:val="center"/>
              <w:rPr>
                <w:rFonts w:hint="eastAsia"/>
                <w:sz w:val="21"/>
                <w:szCs w:val="21"/>
                <w:lang w:val="en-US" w:eastAsia="zh-CN"/>
              </w:rPr>
            </w:pPr>
            <w:r>
              <w:rPr>
                <w:rFonts w:hint="eastAsia"/>
                <w:sz w:val="21"/>
                <w:szCs w:val="21"/>
                <w:lang w:val="en-US" w:eastAsia="zh-CN"/>
              </w:rPr>
              <w:t>E1 □</w:t>
            </w:r>
          </w:p>
        </w:tc>
        <w:tc>
          <w:tcPr>
            <w:tcW w:w="2904" w:type="dxa"/>
            <w:gridSpan w:val="11"/>
            <w:tcBorders>
              <w:top w:val="single" w:color="auto" w:sz="4" w:space="0"/>
              <w:left w:val="single" w:color="auto" w:sz="4" w:space="0"/>
              <w:bottom w:val="single" w:color="auto" w:sz="4" w:space="0"/>
              <w:right w:val="single" w:color="auto" w:sz="4" w:space="0"/>
            </w:tcBorders>
            <w:vAlign w:val="center"/>
          </w:tcPr>
          <w:p w14:paraId="7C2D2721">
            <w:pPr>
              <w:widowControl w:val="0"/>
              <w:bidi w:val="0"/>
              <w:spacing w:line="240" w:lineRule="auto"/>
              <w:jc w:val="center"/>
              <w:rPr>
                <w:rFonts w:hint="eastAsia"/>
                <w:sz w:val="21"/>
                <w:szCs w:val="21"/>
                <w:lang w:val="en-US" w:eastAsia="zh-CN"/>
              </w:rPr>
            </w:pPr>
            <w:r>
              <w:rPr>
                <w:rFonts w:hint="eastAsia"/>
                <w:sz w:val="21"/>
                <w:szCs w:val="21"/>
                <w:lang w:val="en-US" w:eastAsia="zh-CN"/>
              </w:rPr>
              <w:t>E2 □</w:t>
            </w:r>
          </w:p>
        </w:tc>
        <w:tc>
          <w:tcPr>
            <w:tcW w:w="2359" w:type="dxa"/>
            <w:gridSpan w:val="7"/>
            <w:tcBorders>
              <w:top w:val="single" w:color="auto" w:sz="4" w:space="0"/>
              <w:left w:val="single" w:color="auto" w:sz="4" w:space="0"/>
              <w:bottom w:val="single" w:color="auto" w:sz="4" w:space="0"/>
              <w:right w:val="single" w:color="auto" w:sz="4" w:space="0"/>
            </w:tcBorders>
            <w:vAlign w:val="center"/>
          </w:tcPr>
          <w:p w14:paraId="4E2F456C">
            <w:pPr>
              <w:widowControl w:val="0"/>
              <w:bidi w:val="0"/>
              <w:spacing w:line="240" w:lineRule="auto"/>
              <w:jc w:val="center"/>
              <w:rPr>
                <w:rFonts w:hint="eastAsia"/>
                <w:sz w:val="21"/>
                <w:szCs w:val="21"/>
                <w:lang w:val="en-US" w:eastAsia="zh-CN"/>
              </w:rPr>
            </w:pPr>
            <w:r>
              <w:rPr>
                <w:rFonts w:hint="eastAsia"/>
                <w:sz w:val="21"/>
                <w:szCs w:val="21"/>
                <w:lang w:val="en-US" w:eastAsia="zh-CN"/>
              </w:rPr>
              <w:t>E3 ☑</w:t>
            </w:r>
          </w:p>
        </w:tc>
      </w:tr>
      <w:tr w14:paraId="499507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18AE7043">
            <w:pPr>
              <w:widowControl w:val="0"/>
              <w:bidi w:val="0"/>
              <w:spacing w:line="240" w:lineRule="auto"/>
              <w:jc w:val="center"/>
              <w:rPr>
                <w:rFonts w:hint="eastAsia"/>
                <w:sz w:val="21"/>
                <w:szCs w:val="21"/>
                <w:lang w:val="en-US" w:eastAsia="zh-CN"/>
              </w:rPr>
            </w:pPr>
          </w:p>
        </w:tc>
        <w:tc>
          <w:tcPr>
            <w:tcW w:w="1238" w:type="dxa"/>
            <w:tcBorders>
              <w:top w:val="single" w:color="auto" w:sz="4" w:space="0"/>
              <w:left w:val="single" w:color="auto" w:sz="4" w:space="0"/>
              <w:bottom w:val="single" w:color="auto" w:sz="4" w:space="0"/>
              <w:right w:val="single" w:color="auto" w:sz="4" w:space="0"/>
            </w:tcBorders>
            <w:vAlign w:val="center"/>
          </w:tcPr>
          <w:p w14:paraId="212EC81E">
            <w:pPr>
              <w:widowControl w:val="0"/>
              <w:bidi w:val="0"/>
              <w:spacing w:line="240" w:lineRule="auto"/>
              <w:jc w:val="center"/>
              <w:rPr>
                <w:rFonts w:hint="eastAsia"/>
                <w:sz w:val="21"/>
                <w:szCs w:val="21"/>
                <w:lang w:val="en-US" w:eastAsia="zh-CN"/>
              </w:rPr>
            </w:pPr>
            <w:r>
              <w:rPr>
                <w:rFonts w:hint="eastAsia"/>
                <w:sz w:val="21"/>
                <w:szCs w:val="21"/>
                <w:lang w:val="en-US" w:eastAsia="zh-CN"/>
              </w:rPr>
              <w:t>地下水</w:t>
            </w:r>
          </w:p>
        </w:tc>
        <w:tc>
          <w:tcPr>
            <w:tcW w:w="1842" w:type="dxa"/>
            <w:gridSpan w:val="6"/>
            <w:tcBorders>
              <w:top w:val="single" w:color="auto" w:sz="4" w:space="0"/>
              <w:left w:val="single" w:color="auto" w:sz="4" w:space="0"/>
              <w:bottom w:val="single" w:color="auto" w:sz="4" w:space="0"/>
              <w:right w:val="single" w:color="auto" w:sz="4" w:space="0"/>
            </w:tcBorders>
            <w:vAlign w:val="center"/>
          </w:tcPr>
          <w:p w14:paraId="4C999882">
            <w:pPr>
              <w:widowControl w:val="0"/>
              <w:bidi w:val="0"/>
              <w:spacing w:line="240" w:lineRule="auto"/>
              <w:jc w:val="center"/>
              <w:rPr>
                <w:rFonts w:hint="eastAsia"/>
                <w:sz w:val="21"/>
                <w:szCs w:val="21"/>
                <w:lang w:val="en-US" w:eastAsia="zh-CN"/>
              </w:rPr>
            </w:pPr>
            <w:r>
              <w:rPr>
                <w:rFonts w:hint="eastAsia"/>
                <w:sz w:val="21"/>
                <w:szCs w:val="21"/>
                <w:lang w:val="en-US" w:eastAsia="zh-CN"/>
              </w:rPr>
              <w:t>E1 □</w:t>
            </w:r>
          </w:p>
        </w:tc>
        <w:tc>
          <w:tcPr>
            <w:tcW w:w="2904" w:type="dxa"/>
            <w:gridSpan w:val="11"/>
            <w:tcBorders>
              <w:top w:val="single" w:color="auto" w:sz="4" w:space="0"/>
              <w:left w:val="single" w:color="auto" w:sz="4" w:space="0"/>
              <w:bottom w:val="single" w:color="auto" w:sz="4" w:space="0"/>
              <w:right w:val="single" w:color="auto" w:sz="4" w:space="0"/>
            </w:tcBorders>
            <w:vAlign w:val="center"/>
          </w:tcPr>
          <w:p w14:paraId="336DF594">
            <w:pPr>
              <w:widowControl w:val="0"/>
              <w:bidi w:val="0"/>
              <w:spacing w:line="240" w:lineRule="auto"/>
              <w:jc w:val="center"/>
              <w:rPr>
                <w:rFonts w:hint="eastAsia"/>
                <w:sz w:val="21"/>
                <w:szCs w:val="21"/>
                <w:lang w:val="en-US" w:eastAsia="zh-CN"/>
              </w:rPr>
            </w:pPr>
            <w:r>
              <w:rPr>
                <w:rFonts w:hint="eastAsia"/>
                <w:sz w:val="21"/>
                <w:szCs w:val="21"/>
                <w:lang w:val="en-US" w:eastAsia="zh-CN"/>
              </w:rPr>
              <w:t>E2 □</w:t>
            </w:r>
          </w:p>
        </w:tc>
        <w:tc>
          <w:tcPr>
            <w:tcW w:w="2359" w:type="dxa"/>
            <w:gridSpan w:val="7"/>
            <w:tcBorders>
              <w:top w:val="single" w:color="auto" w:sz="4" w:space="0"/>
              <w:left w:val="single" w:color="auto" w:sz="4" w:space="0"/>
              <w:bottom w:val="single" w:color="auto" w:sz="4" w:space="0"/>
              <w:right w:val="single" w:color="auto" w:sz="4" w:space="0"/>
            </w:tcBorders>
            <w:vAlign w:val="center"/>
          </w:tcPr>
          <w:p w14:paraId="6DB912B4">
            <w:pPr>
              <w:widowControl w:val="0"/>
              <w:bidi w:val="0"/>
              <w:spacing w:line="240" w:lineRule="auto"/>
              <w:jc w:val="center"/>
              <w:rPr>
                <w:rFonts w:hint="eastAsia"/>
                <w:sz w:val="21"/>
                <w:szCs w:val="21"/>
                <w:lang w:val="en-US" w:eastAsia="zh-CN"/>
              </w:rPr>
            </w:pPr>
            <w:r>
              <w:rPr>
                <w:rFonts w:hint="eastAsia"/>
                <w:sz w:val="21"/>
                <w:szCs w:val="21"/>
                <w:lang w:val="en-US" w:eastAsia="zh-CN"/>
              </w:rPr>
              <w:t>E3 ☑</w:t>
            </w:r>
          </w:p>
        </w:tc>
      </w:tr>
      <w:tr w14:paraId="645820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tcBorders>
              <w:top w:val="single" w:color="auto" w:sz="4" w:space="0"/>
              <w:left w:val="single" w:color="auto" w:sz="4" w:space="0"/>
              <w:bottom w:val="single" w:color="auto" w:sz="4" w:space="0"/>
              <w:right w:val="single" w:color="auto" w:sz="4" w:space="0"/>
            </w:tcBorders>
            <w:vAlign w:val="center"/>
          </w:tcPr>
          <w:p w14:paraId="714AFC43">
            <w:pPr>
              <w:widowControl w:val="0"/>
              <w:bidi w:val="0"/>
              <w:spacing w:line="240" w:lineRule="auto"/>
              <w:jc w:val="center"/>
              <w:rPr>
                <w:rFonts w:hint="eastAsia"/>
                <w:sz w:val="21"/>
                <w:szCs w:val="21"/>
                <w:lang w:val="en-US" w:eastAsia="zh-CN"/>
              </w:rPr>
            </w:pPr>
            <w:r>
              <w:rPr>
                <w:rFonts w:hint="eastAsia"/>
                <w:sz w:val="21"/>
                <w:szCs w:val="21"/>
                <w:lang w:val="en-US" w:eastAsia="zh-CN"/>
              </w:rPr>
              <w:t>环境风险潜势</w:t>
            </w:r>
          </w:p>
        </w:tc>
        <w:tc>
          <w:tcPr>
            <w:tcW w:w="1667" w:type="dxa"/>
            <w:gridSpan w:val="2"/>
            <w:tcBorders>
              <w:top w:val="single" w:color="auto" w:sz="4" w:space="0"/>
              <w:left w:val="single" w:color="auto" w:sz="4" w:space="0"/>
              <w:bottom w:val="single" w:color="auto" w:sz="4" w:space="0"/>
              <w:right w:val="single" w:color="auto" w:sz="4" w:space="0"/>
            </w:tcBorders>
            <w:vAlign w:val="center"/>
          </w:tcPr>
          <w:p w14:paraId="5441F993">
            <w:pPr>
              <w:widowControl w:val="0"/>
              <w:bidi w:val="0"/>
              <w:spacing w:line="240" w:lineRule="auto"/>
              <w:jc w:val="center"/>
              <w:rPr>
                <w:rFonts w:hint="eastAsia"/>
                <w:sz w:val="21"/>
                <w:szCs w:val="21"/>
                <w:lang w:val="en-US" w:eastAsia="zh-CN"/>
              </w:rPr>
            </w:pPr>
            <w:r>
              <w:rPr>
                <w:rFonts w:hint="eastAsia"/>
                <w:sz w:val="21"/>
                <w:szCs w:val="21"/>
                <w:lang w:val="en-US" w:eastAsia="zh-CN"/>
              </w:rPr>
              <w:t>Ⅳ+ □</w:t>
            </w:r>
          </w:p>
        </w:tc>
        <w:tc>
          <w:tcPr>
            <w:tcW w:w="1677" w:type="dxa"/>
            <w:gridSpan w:val="6"/>
            <w:tcBorders>
              <w:top w:val="single" w:color="auto" w:sz="4" w:space="0"/>
              <w:left w:val="single" w:color="auto" w:sz="4" w:space="0"/>
              <w:bottom w:val="single" w:color="auto" w:sz="4" w:space="0"/>
              <w:right w:val="single" w:color="auto" w:sz="4" w:space="0"/>
            </w:tcBorders>
            <w:vAlign w:val="center"/>
          </w:tcPr>
          <w:p w14:paraId="3198A2E9">
            <w:pPr>
              <w:widowControl w:val="0"/>
              <w:bidi w:val="0"/>
              <w:spacing w:line="240" w:lineRule="auto"/>
              <w:jc w:val="center"/>
              <w:rPr>
                <w:rFonts w:hint="eastAsia"/>
                <w:sz w:val="21"/>
                <w:szCs w:val="21"/>
                <w:lang w:val="en-US" w:eastAsia="zh-CN"/>
              </w:rPr>
            </w:pPr>
            <w:r>
              <w:rPr>
                <w:rFonts w:hint="eastAsia"/>
                <w:sz w:val="21"/>
                <w:szCs w:val="21"/>
                <w:lang w:val="en-US" w:eastAsia="zh-CN"/>
              </w:rPr>
              <w:t>Ⅳ ☑</w:t>
            </w:r>
          </w:p>
        </w:tc>
        <w:tc>
          <w:tcPr>
            <w:tcW w:w="1676" w:type="dxa"/>
            <w:gridSpan w:val="5"/>
            <w:tcBorders>
              <w:top w:val="single" w:color="auto" w:sz="4" w:space="0"/>
              <w:left w:val="single" w:color="auto" w:sz="4" w:space="0"/>
              <w:bottom w:val="single" w:color="auto" w:sz="4" w:space="0"/>
              <w:right w:val="single" w:color="auto" w:sz="4" w:space="0"/>
            </w:tcBorders>
            <w:vAlign w:val="center"/>
          </w:tcPr>
          <w:p w14:paraId="72605CDB">
            <w:pPr>
              <w:widowControl w:val="0"/>
              <w:bidi w:val="0"/>
              <w:spacing w:line="240" w:lineRule="auto"/>
              <w:jc w:val="center"/>
              <w:rPr>
                <w:rFonts w:hint="eastAsia"/>
                <w:sz w:val="21"/>
                <w:szCs w:val="21"/>
                <w:lang w:val="en-US" w:eastAsia="zh-CN"/>
              </w:rPr>
            </w:pPr>
            <w:r>
              <w:rPr>
                <w:rFonts w:hint="eastAsia"/>
                <w:sz w:val="21"/>
                <w:szCs w:val="21"/>
                <w:lang w:val="en-US" w:eastAsia="zh-CN"/>
              </w:rPr>
              <w:t>Ⅲ □</w:t>
            </w:r>
          </w:p>
        </w:tc>
        <w:tc>
          <w:tcPr>
            <w:tcW w:w="1658" w:type="dxa"/>
            <w:gridSpan w:val="8"/>
            <w:tcBorders>
              <w:top w:val="single" w:color="auto" w:sz="4" w:space="0"/>
              <w:left w:val="single" w:color="auto" w:sz="4" w:space="0"/>
              <w:bottom w:val="single" w:color="auto" w:sz="4" w:space="0"/>
              <w:right w:val="single" w:color="auto" w:sz="4" w:space="0"/>
            </w:tcBorders>
            <w:vAlign w:val="center"/>
          </w:tcPr>
          <w:p w14:paraId="198F681D">
            <w:pPr>
              <w:widowControl w:val="0"/>
              <w:bidi w:val="0"/>
              <w:spacing w:line="240" w:lineRule="auto"/>
              <w:jc w:val="center"/>
              <w:rPr>
                <w:rFonts w:hint="eastAsia"/>
                <w:sz w:val="21"/>
                <w:szCs w:val="21"/>
                <w:lang w:val="en-US" w:eastAsia="zh-CN"/>
              </w:rPr>
            </w:pPr>
            <w:r>
              <w:rPr>
                <w:rFonts w:hint="eastAsia"/>
                <w:sz w:val="21"/>
                <w:szCs w:val="21"/>
                <w:lang w:val="en-US" w:eastAsia="zh-CN"/>
              </w:rPr>
              <w:t>Ⅱ □</w:t>
            </w:r>
          </w:p>
        </w:tc>
        <w:tc>
          <w:tcPr>
            <w:tcW w:w="1665" w:type="dxa"/>
            <w:gridSpan w:val="4"/>
            <w:tcBorders>
              <w:top w:val="single" w:color="auto" w:sz="4" w:space="0"/>
              <w:left w:val="single" w:color="auto" w:sz="4" w:space="0"/>
              <w:bottom w:val="single" w:color="auto" w:sz="4" w:space="0"/>
              <w:right w:val="single" w:color="auto" w:sz="4" w:space="0"/>
            </w:tcBorders>
            <w:vAlign w:val="center"/>
          </w:tcPr>
          <w:p w14:paraId="0BEFB6C1">
            <w:pPr>
              <w:widowControl w:val="0"/>
              <w:bidi w:val="0"/>
              <w:spacing w:line="240" w:lineRule="auto"/>
              <w:jc w:val="center"/>
              <w:rPr>
                <w:rFonts w:hint="eastAsia"/>
                <w:sz w:val="21"/>
                <w:szCs w:val="21"/>
                <w:lang w:val="en-US" w:eastAsia="zh-CN"/>
              </w:rPr>
            </w:pPr>
            <w:r>
              <w:rPr>
                <w:rFonts w:hint="eastAsia"/>
                <w:sz w:val="21"/>
                <w:szCs w:val="21"/>
                <w:lang w:val="en-US" w:eastAsia="zh-CN"/>
              </w:rPr>
              <w:t>Ⅰ□</w:t>
            </w:r>
          </w:p>
        </w:tc>
      </w:tr>
      <w:tr w14:paraId="637187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1319" w:type="dxa"/>
            <w:gridSpan w:val="2"/>
            <w:tcBorders>
              <w:top w:val="single" w:color="auto" w:sz="4" w:space="0"/>
              <w:left w:val="single" w:color="auto" w:sz="4" w:space="0"/>
              <w:bottom w:val="single" w:color="auto" w:sz="4" w:space="0"/>
              <w:right w:val="single" w:color="auto" w:sz="4" w:space="0"/>
            </w:tcBorders>
            <w:vAlign w:val="center"/>
          </w:tcPr>
          <w:p w14:paraId="47E289D8">
            <w:pPr>
              <w:widowControl w:val="0"/>
              <w:bidi w:val="0"/>
              <w:spacing w:line="240" w:lineRule="auto"/>
              <w:jc w:val="center"/>
              <w:rPr>
                <w:rFonts w:hint="eastAsia"/>
                <w:sz w:val="21"/>
                <w:szCs w:val="21"/>
                <w:lang w:val="en-US" w:eastAsia="zh-CN"/>
              </w:rPr>
            </w:pPr>
            <w:r>
              <w:rPr>
                <w:rFonts w:hint="eastAsia"/>
                <w:sz w:val="21"/>
                <w:szCs w:val="21"/>
                <w:lang w:val="en-US" w:eastAsia="zh-CN"/>
              </w:rPr>
              <w:t>评价等级</w:t>
            </w:r>
          </w:p>
        </w:tc>
        <w:tc>
          <w:tcPr>
            <w:tcW w:w="1901" w:type="dxa"/>
            <w:gridSpan w:val="4"/>
            <w:tcBorders>
              <w:top w:val="single" w:color="auto" w:sz="4" w:space="0"/>
              <w:left w:val="single" w:color="auto" w:sz="4" w:space="0"/>
              <w:bottom w:val="single" w:color="auto" w:sz="4" w:space="0"/>
              <w:right w:val="single" w:color="auto" w:sz="4" w:space="0"/>
            </w:tcBorders>
            <w:vAlign w:val="center"/>
          </w:tcPr>
          <w:p w14:paraId="0B9AA121">
            <w:pPr>
              <w:widowControl w:val="0"/>
              <w:bidi w:val="0"/>
              <w:spacing w:line="240" w:lineRule="auto"/>
              <w:jc w:val="center"/>
              <w:rPr>
                <w:rFonts w:hint="eastAsia"/>
                <w:sz w:val="21"/>
                <w:szCs w:val="21"/>
                <w:lang w:val="en-US" w:eastAsia="zh-CN"/>
              </w:rPr>
            </w:pPr>
            <w:r>
              <w:rPr>
                <w:rFonts w:hint="eastAsia"/>
                <w:sz w:val="21"/>
                <w:szCs w:val="21"/>
                <w:lang w:val="en-US" w:eastAsia="zh-CN"/>
              </w:rPr>
              <w:t>一级 ☑</w:t>
            </w:r>
          </w:p>
        </w:tc>
        <w:tc>
          <w:tcPr>
            <w:tcW w:w="2584" w:type="dxa"/>
            <w:gridSpan w:val="7"/>
            <w:tcBorders>
              <w:top w:val="single" w:color="auto" w:sz="4" w:space="0"/>
              <w:left w:val="single" w:color="auto" w:sz="4" w:space="0"/>
              <w:bottom w:val="single" w:color="auto" w:sz="4" w:space="0"/>
              <w:right w:val="single" w:color="auto" w:sz="4" w:space="0"/>
            </w:tcBorders>
            <w:vAlign w:val="center"/>
          </w:tcPr>
          <w:p w14:paraId="569ABA8E">
            <w:pPr>
              <w:widowControl w:val="0"/>
              <w:bidi w:val="0"/>
              <w:spacing w:line="240" w:lineRule="auto"/>
              <w:jc w:val="center"/>
              <w:rPr>
                <w:rFonts w:hint="eastAsia"/>
                <w:sz w:val="21"/>
                <w:szCs w:val="21"/>
                <w:lang w:val="en-US" w:eastAsia="zh-CN"/>
              </w:rPr>
            </w:pPr>
            <w:r>
              <w:rPr>
                <w:rFonts w:hint="eastAsia"/>
                <w:sz w:val="21"/>
                <w:szCs w:val="21"/>
                <w:lang w:val="en-US" w:eastAsia="zh-CN"/>
              </w:rPr>
              <w:t>二级 □</w:t>
            </w:r>
          </w:p>
        </w:tc>
        <w:tc>
          <w:tcPr>
            <w:tcW w:w="1802" w:type="dxa"/>
            <w:gridSpan w:val="8"/>
            <w:tcBorders>
              <w:top w:val="single" w:color="auto" w:sz="4" w:space="0"/>
              <w:left w:val="single" w:color="auto" w:sz="4" w:space="0"/>
              <w:bottom w:val="single" w:color="auto" w:sz="4" w:space="0"/>
              <w:right w:val="single" w:color="auto" w:sz="4" w:space="0"/>
            </w:tcBorders>
            <w:vAlign w:val="center"/>
          </w:tcPr>
          <w:p w14:paraId="5C6B35AA">
            <w:pPr>
              <w:widowControl w:val="0"/>
              <w:bidi w:val="0"/>
              <w:spacing w:line="240" w:lineRule="auto"/>
              <w:jc w:val="center"/>
              <w:rPr>
                <w:rFonts w:hint="eastAsia"/>
                <w:sz w:val="21"/>
                <w:szCs w:val="21"/>
                <w:lang w:val="en-US" w:eastAsia="zh-CN"/>
              </w:rPr>
            </w:pPr>
            <w:r>
              <w:rPr>
                <w:rFonts w:hint="eastAsia"/>
                <w:sz w:val="21"/>
                <w:szCs w:val="21"/>
                <w:lang w:val="en-US" w:eastAsia="zh-CN"/>
              </w:rPr>
              <w:t>三级 □</w:t>
            </w:r>
          </w:p>
        </w:tc>
        <w:tc>
          <w:tcPr>
            <w:tcW w:w="2056" w:type="dxa"/>
            <w:gridSpan w:val="6"/>
            <w:tcBorders>
              <w:top w:val="single" w:color="auto" w:sz="4" w:space="0"/>
              <w:left w:val="single" w:color="auto" w:sz="4" w:space="0"/>
              <w:bottom w:val="single" w:color="auto" w:sz="4" w:space="0"/>
              <w:right w:val="single" w:color="auto" w:sz="4" w:space="0"/>
            </w:tcBorders>
            <w:vAlign w:val="center"/>
          </w:tcPr>
          <w:p w14:paraId="633DA5AD">
            <w:pPr>
              <w:widowControl w:val="0"/>
              <w:bidi w:val="0"/>
              <w:spacing w:line="240" w:lineRule="auto"/>
              <w:jc w:val="center"/>
              <w:rPr>
                <w:rFonts w:hint="eastAsia"/>
                <w:sz w:val="21"/>
                <w:szCs w:val="21"/>
                <w:lang w:val="en-US" w:eastAsia="zh-CN"/>
              </w:rPr>
            </w:pPr>
            <w:r>
              <w:rPr>
                <w:rFonts w:hint="eastAsia"/>
                <w:sz w:val="21"/>
                <w:szCs w:val="21"/>
                <w:lang w:val="en-US" w:eastAsia="zh-CN"/>
              </w:rPr>
              <w:t>简单分析□</w:t>
            </w:r>
          </w:p>
        </w:tc>
      </w:tr>
      <w:tr w14:paraId="11AF42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8" w:hRule="atLeast"/>
        </w:trPr>
        <w:tc>
          <w:tcPr>
            <w:tcW w:w="711" w:type="dxa"/>
            <w:vMerge w:val="restart"/>
            <w:tcBorders>
              <w:top w:val="single" w:color="auto" w:sz="4" w:space="0"/>
              <w:left w:val="single" w:color="auto" w:sz="4" w:space="0"/>
              <w:bottom w:val="single" w:color="auto" w:sz="4" w:space="0"/>
              <w:right w:val="single" w:color="auto" w:sz="4" w:space="0"/>
            </w:tcBorders>
            <w:vAlign w:val="center"/>
          </w:tcPr>
          <w:p w14:paraId="12F1083B">
            <w:pPr>
              <w:widowControl w:val="0"/>
              <w:bidi w:val="0"/>
              <w:spacing w:line="240" w:lineRule="auto"/>
              <w:jc w:val="center"/>
              <w:rPr>
                <w:rFonts w:hint="eastAsia"/>
                <w:sz w:val="21"/>
                <w:szCs w:val="21"/>
                <w:lang w:val="en-US" w:eastAsia="zh-CN"/>
              </w:rPr>
            </w:pPr>
            <w:r>
              <w:rPr>
                <w:rFonts w:hint="eastAsia"/>
                <w:sz w:val="21"/>
                <w:szCs w:val="21"/>
                <w:lang w:val="en-US" w:eastAsia="zh-CN"/>
              </w:rPr>
              <w:t>风险识别</w:t>
            </w:r>
          </w:p>
        </w:tc>
        <w:tc>
          <w:tcPr>
            <w:tcW w:w="608" w:type="dxa"/>
            <w:tcBorders>
              <w:top w:val="single" w:color="auto" w:sz="4" w:space="0"/>
              <w:left w:val="single" w:color="auto" w:sz="4" w:space="0"/>
              <w:bottom w:val="single" w:color="auto" w:sz="4" w:space="0"/>
              <w:right w:val="single" w:color="auto" w:sz="4" w:space="0"/>
            </w:tcBorders>
            <w:vAlign w:val="center"/>
          </w:tcPr>
          <w:p w14:paraId="221D6AE4">
            <w:pPr>
              <w:widowControl w:val="0"/>
              <w:bidi w:val="0"/>
              <w:spacing w:line="240" w:lineRule="auto"/>
              <w:jc w:val="center"/>
              <w:rPr>
                <w:rFonts w:hint="eastAsia"/>
                <w:sz w:val="21"/>
                <w:szCs w:val="21"/>
                <w:lang w:val="en-US" w:eastAsia="zh-CN"/>
              </w:rPr>
            </w:pPr>
            <w:r>
              <w:rPr>
                <w:rFonts w:hint="eastAsia"/>
                <w:sz w:val="21"/>
                <w:szCs w:val="21"/>
                <w:lang w:val="en-US" w:eastAsia="zh-CN"/>
              </w:rPr>
              <w:t>物质</w:t>
            </w:r>
          </w:p>
          <w:p w14:paraId="4BDBF2E6">
            <w:pPr>
              <w:widowControl w:val="0"/>
              <w:bidi w:val="0"/>
              <w:spacing w:line="240" w:lineRule="auto"/>
              <w:jc w:val="center"/>
              <w:rPr>
                <w:rFonts w:hint="eastAsia"/>
                <w:sz w:val="21"/>
                <w:szCs w:val="21"/>
                <w:lang w:val="en-US" w:eastAsia="zh-CN"/>
              </w:rPr>
            </w:pPr>
            <w:r>
              <w:rPr>
                <w:rFonts w:hint="eastAsia"/>
                <w:sz w:val="21"/>
                <w:szCs w:val="21"/>
                <w:lang w:val="en-US" w:eastAsia="zh-CN"/>
              </w:rPr>
              <w:t>危险性</w:t>
            </w:r>
          </w:p>
        </w:tc>
        <w:tc>
          <w:tcPr>
            <w:tcW w:w="4485" w:type="dxa"/>
            <w:gridSpan w:val="11"/>
            <w:tcBorders>
              <w:top w:val="single" w:color="auto" w:sz="4" w:space="0"/>
              <w:left w:val="single" w:color="auto" w:sz="4" w:space="0"/>
              <w:bottom w:val="single" w:color="auto" w:sz="4" w:space="0"/>
              <w:right w:val="single" w:color="auto" w:sz="4" w:space="0"/>
            </w:tcBorders>
            <w:vAlign w:val="center"/>
          </w:tcPr>
          <w:p w14:paraId="52972481">
            <w:pPr>
              <w:widowControl w:val="0"/>
              <w:bidi w:val="0"/>
              <w:spacing w:line="240" w:lineRule="auto"/>
              <w:jc w:val="center"/>
              <w:rPr>
                <w:rFonts w:hint="eastAsia"/>
                <w:sz w:val="21"/>
                <w:szCs w:val="21"/>
                <w:lang w:val="en-US" w:eastAsia="zh-CN"/>
              </w:rPr>
            </w:pPr>
          </w:p>
          <w:p w14:paraId="6035403B">
            <w:pPr>
              <w:widowControl w:val="0"/>
              <w:bidi w:val="0"/>
              <w:spacing w:line="240" w:lineRule="auto"/>
              <w:jc w:val="center"/>
              <w:rPr>
                <w:rFonts w:hint="eastAsia"/>
                <w:sz w:val="21"/>
                <w:szCs w:val="21"/>
                <w:lang w:val="en-US" w:eastAsia="zh-CN"/>
              </w:rPr>
            </w:pPr>
            <w:r>
              <w:rPr>
                <w:rFonts w:hint="eastAsia"/>
                <w:sz w:val="21"/>
                <w:szCs w:val="21"/>
                <w:lang w:val="en-US" w:eastAsia="zh-CN"/>
              </w:rPr>
              <w:t>有毒有害☑</w:t>
            </w:r>
          </w:p>
        </w:tc>
        <w:tc>
          <w:tcPr>
            <w:tcW w:w="3858" w:type="dxa"/>
            <w:gridSpan w:val="14"/>
            <w:tcBorders>
              <w:top w:val="single" w:color="auto" w:sz="4" w:space="0"/>
              <w:left w:val="single" w:color="auto" w:sz="4" w:space="0"/>
              <w:bottom w:val="single" w:color="auto" w:sz="4" w:space="0"/>
              <w:right w:val="single" w:color="auto" w:sz="4" w:space="0"/>
            </w:tcBorders>
            <w:vAlign w:val="center"/>
          </w:tcPr>
          <w:p w14:paraId="69175258">
            <w:pPr>
              <w:widowControl w:val="0"/>
              <w:bidi w:val="0"/>
              <w:spacing w:line="240" w:lineRule="auto"/>
              <w:jc w:val="center"/>
              <w:rPr>
                <w:rFonts w:hint="eastAsia"/>
                <w:sz w:val="21"/>
                <w:szCs w:val="21"/>
                <w:lang w:val="en-US" w:eastAsia="zh-CN"/>
              </w:rPr>
            </w:pPr>
          </w:p>
          <w:p w14:paraId="79304145">
            <w:pPr>
              <w:widowControl w:val="0"/>
              <w:bidi w:val="0"/>
              <w:spacing w:line="240" w:lineRule="auto"/>
              <w:jc w:val="center"/>
              <w:rPr>
                <w:rFonts w:hint="eastAsia"/>
                <w:sz w:val="21"/>
                <w:szCs w:val="21"/>
                <w:lang w:val="en-US" w:eastAsia="zh-CN"/>
              </w:rPr>
            </w:pPr>
            <w:r>
              <w:rPr>
                <w:rFonts w:hint="eastAsia"/>
                <w:sz w:val="21"/>
                <w:szCs w:val="21"/>
                <w:lang w:val="en-US" w:eastAsia="zh-CN"/>
              </w:rPr>
              <w:t>易燃易爆☑</w:t>
            </w:r>
          </w:p>
        </w:tc>
      </w:tr>
      <w:tr w14:paraId="648DEB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8"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32066416">
            <w:pPr>
              <w:widowControl w:val="0"/>
              <w:bidi w:val="0"/>
              <w:spacing w:line="240" w:lineRule="auto"/>
              <w:jc w:val="center"/>
              <w:rPr>
                <w:rFonts w:hint="eastAsia"/>
                <w:sz w:val="21"/>
                <w:szCs w:val="21"/>
                <w:lang w:val="en-US" w:eastAsia="zh-CN"/>
              </w:rPr>
            </w:pPr>
          </w:p>
        </w:tc>
        <w:tc>
          <w:tcPr>
            <w:tcW w:w="608" w:type="dxa"/>
            <w:tcBorders>
              <w:top w:val="single" w:color="auto" w:sz="4" w:space="0"/>
              <w:left w:val="single" w:color="auto" w:sz="4" w:space="0"/>
              <w:bottom w:val="single" w:color="auto" w:sz="4" w:space="0"/>
              <w:right w:val="single" w:color="auto" w:sz="4" w:space="0"/>
            </w:tcBorders>
            <w:vAlign w:val="center"/>
          </w:tcPr>
          <w:p w14:paraId="03EB82CD">
            <w:pPr>
              <w:widowControl w:val="0"/>
              <w:bidi w:val="0"/>
              <w:spacing w:line="240" w:lineRule="auto"/>
              <w:jc w:val="center"/>
              <w:rPr>
                <w:rFonts w:hint="eastAsia"/>
                <w:sz w:val="21"/>
                <w:szCs w:val="21"/>
                <w:lang w:val="en-US" w:eastAsia="zh-CN"/>
              </w:rPr>
            </w:pPr>
            <w:r>
              <w:rPr>
                <w:rFonts w:hint="eastAsia"/>
                <w:sz w:val="21"/>
                <w:szCs w:val="21"/>
                <w:lang w:val="en-US" w:eastAsia="zh-CN"/>
              </w:rPr>
              <w:t>环境</w:t>
            </w:r>
          </w:p>
          <w:p w14:paraId="1668CA1B">
            <w:pPr>
              <w:widowControl w:val="0"/>
              <w:bidi w:val="0"/>
              <w:spacing w:line="240" w:lineRule="auto"/>
              <w:jc w:val="center"/>
              <w:rPr>
                <w:rFonts w:hint="eastAsia"/>
                <w:sz w:val="21"/>
                <w:szCs w:val="21"/>
                <w:lang w:val="en-US" w:eastAsia="zh-CN"/>
              </w:rPr>
            </w:pPr>
            <w:r>
              <w:rPr>
                <w:rFonts w:hint="eastAsia"/>
                <w:sz w:val="21"/>
                <w:szCs w:val="21"/>
                <w:lang w:val="en-US" w:eastAsia="zh-CN"/>
              </w:rPr>
              <w:t>风险</w:t>
            </w:r>
          </w:p>
          <w:p w14:paraId="1B4D250C">
            <w:pPr>
              <w:widowControl w:val="0"/>
              <w:bidi w:val="0"/>
              <w:spacing w:line="240" w:lineRule="auto"/>
              <w:jc w:val="center"/>
              <w:rPr>
                <w:rFonts w:hint="eastAsia"/>
                <w:sz w:val="21"/>
                <w:szCs w:val="21"/>
                <w:lang w:val="en-US" w:eastAsia="zh-CN"/>
              </w:rPr>
            </w:pPr>
            <w:r>
              <w:rPr>
                <w:rFonts w:hint="eastAsia"/>
                <w:sz w:val="21"/>
                <w:szCs w:val="21"/>
                <w:lang w:val="en-US" w:eastAsia="zh-CN"/>
              </w:rPr>
              <w:t>类型</w:t>
            </w:r>
          </w:p>
        </w:tc>
        <w:tc>
          <w:tcPr>
            <w:tcW w:w="1901" w:type="dxa"/>
            <w:gridSpan w:val="4"/>
            <w:tcBorders>
              <w:top w:val="single" w:color="auto" w:sz="4" w:space="0"/>
              <w:left w:val="single" w:color="auto" w:sz="4" w:space="0"/>
              <w:bottom w:val="single" w:color="auto" w:sz="4" w:space="0"/>
              <w:right w:val="single" w:color="auto" w:sz="4" w:space="0"/>
            </w:tcBorders>
            <w:vAlign w:val="center"/>
          </w:tcPr>
          <w:p w14:paraId="08B1FD01">
            <w:pPr>
              <w:widowControl w:val="0"/>
              <w:bidi w:val="0"/>
              <w:spacing w:line="240" w:lineRule="auto"/>
              <w:jc w:val="center"/>
              <w:rPr>
                <w:rFonts w:hint="eastAsia"/>
                <w:sz w:val="21"/>
                <w:szCs w:val="21"/>
                <w:lang w:val="en-US" w:eastAsia="zh-CN"/>
              </w:rPr>
            </w:pPr>
          </w:p>
          <w:p w14:paraId="77B6405C">
            <w:pPr>
              <w:widowControl w:val="0"/>
              <w:bidi w:val="0"/>
              <w:spacing w:line="240" w:lineRule="auto"/>
              <w:jc w:val="center"/>
              <w:rPr>
                <w:rFonts w:hint="eastAsia"/>
                <w:sz w:val="21"/>
                <w:szCs w:val="21"/>
                <w:lang w:val="en-US" w:eastAsia="zh-CN"/>
              </w:rPr>
            </w:pPr>
            <w:r>
              <w:rPr>
                <w:rFonts w:hint="eastAsia"/>
                <w:sz w:val="21"/>
                <w:szCs w:val="21"/>
                <w:lang w:val="en-US" w:eastAsia="zh-CN"/>
              </w:rPr>
              <w:t>泄漏☑</w:t>
            </w:r>
          </w:p>
        </w:tc>
        <w:tc>
          <w:tcPr>
            <w:tcW w:w="6442" w:type="dxa"/>
            <w:gridSpan w:val="21"/>
            <w:tcBorders>
              <w:top w:val="single" w:color="auto" w:sz="4" w:space="0"/>
              <w:left w:val="single" w:color="auto" w:sz="4" w:space="0"/>
              <w:bottom w:val="single" w:color="auto" w:sz="4" w:space="0"/>
              <w:right w:val="single" w:color="auto" w:sz="4" w:space="0"/>
            </w:tcBorders>
            <w:vAlign w:val="center"/>
          </w:tcPr>
          <w:p w14:paraId="36F02EFC">
            <w:pPr>
              <w:widowControl w:val="0"/>
              <w:bidi w:val="0"/>
              <w:spacing w:line="240" w:lineRule="auto"/>
              <w:jc w:val="center"/>
              <w:rPr>
                <w:rFonts w:hint="eastAsia"/>
                <w:sz w:val="21"/>
                <w:szCs w:val="21"/>
                <w:lang w:val="en-US" w:eastAsia="zh-CN"/>
              </w:rPr>
            </w:pPr>
          </w:p>
          <w:p w14:paraId="7639DCEF">
            <w:pPr>
              <w:widowControl w:val="0"/>
              <w:bidi w:val="0"/>
              <w:spacing w:line="240" w:lineRule="auto"/>
              <w:jc w:val="center"/>
              <w:rPr>
                <w:rFonts w:hint="eastAsia"/>
                <w:sz w:val="21"/>
                <w:szCs w:val="21"/>
                <w:lang w:val="en-US" w:eastAsia="zh-CN"/>
              </w:rPr>
            </w:pPr>
            <w:r>
              <w:rPr>
                <w:rFonts w:hint="eastAsia"/>
                <w:sz w:val="21"/>
                <w:szCs w:val="21"/>
                <w:lang w:val="en-US" w:eastAsia="zh-CN"/>
              </w:rPr>
              <w:t>火灾、爆炸引发伴生/次生污染物排放☑</w:t>
            </w:r>
          </w:p>
        </w:tc>
      </w:tr>
      <w:tr w14:paraId="52B8C7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60" w:hRule="atLeast"/>
        </w:trPr>
        <w:tc>
          <w:tcPr>
            <w:tcW w:w="711" w:type="dxa"/>
            <w:vMerge w:val="continue"/>
            <w:tcBorders>
              <w:top w:val="single" w:color="auto" w:sz="4" w:space="0"/>
              <w:left w:val="single" w:color="auto" w:sz="4" w:space="0"/>
              <w:bottom w:val="single" w:color="auto" w:sz="4" w:space="0"/>
              <w:right w:val="single" w:color="auto" w:sz="4" w:space="0"/>
            </w:tcBorders>
            <w:vAlign w:val="center"/>
          </w:tcPr>
          <w:p w14:paraId="64908849">
            <w:pPr>
              <w:widowControl w:val="0"/>
              <w:bidi w:val="0"/>
              <w:spacing w:line="240" w:lineRule="auto"/>
              <w:jc w:val="center"/>
              <w:rPr>
                <w:rFonts w:hint="eastAsia"/>
                <w:sz w:val="21"/>
                <w:szCs w:val="21"/>
                <w:lang w:val="en-US" w:eastAsia="zh-CN"/>
              </w:rPr>
            </w:pPr>
          </w:p>
        </w:tc>
        <w:tc>
          <w:tcPr>
            <w:tcW w:w="608" w:type="dxa"/>
            <w:tcBorders>
              <w:top w:val="single" w:color="auto" w:sz="4" w:space="0"/>
              <w:left w:val="single" w:color="auto" w:sz="4" w:space="0"/>
              <w:bottom w:val="single" w:color="auto" w:sz="4" w:space="0"/>
              <w:right w:val="single" w:color="auto" w:sz="4" w:space="0"/>
            </w:tcBorders>
            <w:vAlign w:val="center"/>
          </w:tcPr>
          <w:p w14:paraId="61B043E1">
            <w:pPr>
              <w:widowControl w:val="0"/>
              <w:bidi w:val="0"/>
              <w:spacing w:line="240" w:lineRule="auto"/>
              <w:jc w:val="center"/>
              <w:rPr>
                <w:rFonts w:hint="eastAsia"/>
                <w:sz w:val="21"/>
                <w:szCs w:val="21"/>
                <w:lang w:val="en-US" w:eastAsia="zh-CN"/>
              </w:rPr>
            </w:pPr>
            <w:r>
              <w:rPr>
                <w:rFonts w:hint="eastAsia"/>
                <w:sz w:val="21"/>
                <w:szCs w:val="21"/>
                <w:lang w:val="en-US" w:eastAsia="zh-CN"/>
              </w:rPr>
              <w:t>影响</w:t>
            </w:r>
          </w:p>
          <w:p w14:paraId="29322085">
            <w:pPr>
              <w:widowControl w:val="0"/>
              <w:bidi w:val="0"/>
              <w:spacing w:line="240" w:lineRule="auto"/>
              <w:jc w:val="center"/>
              <w:rPr>
                <w:rFonts w:hint="eastAsia"/>
                <w:sz w:val="21"/>
                <w:szCs w:val="21"/>
                <w:lang w:val="en-US" w:eastAsia="zh-CN"/>
              </w:rPr>
            </w:pPr>
            <w:r>
              <w:rPr>
                <w:rFonts w:hint="eastAsia"/>
                <w:sz w:val="21"/>
                <w:szCs w:val="21"/>
                <w:lang w:val="en-US" w:eastAsia="zh-CN"/>
              </w:rPr>
              <w:t>途径</w:t>
            </w:r>
          </w:p>
        </w:tc>
        <w:tc>
          <w:tcPr>
            <w:tcW w:w="1901" w:type="dxa"/>
            <w:gridSpan w:val="4"/>
            <w:tcBorders>
              <w:top w:val="single" w:color="auto" w:sz="4" w:space="0"/>
              <w:left w:val="single" w:color="auto" w:sz="4" w:space="0"/>
              <w:bottom w:val="single" w:color="auto" w:sz="4" w:space="0"/>
              <w:right w:val="single" w:color="auto" w:sz="4" w:space="0"/>
            </w:tcBorders>
            <w:vAlign w:val="center"/>
          </w:tcPr>
          <w:p w14:paraId="214D613B">
            <w:pPr>
              <w:widowControl w:val="0"/>
              <w:bidi w:val="0"/>
              <w:spacing w:line="240" w:lineRule="auto"/>
              <w:jc w:val="center"/>
              <w:rPr>
                <w:rFonts w:hint="eastAsia"/>
                <w:sz w:val="21"/>
                <w:szCs w:val="21"/>
                <w:lang w:val="en-US" w:eastAsia="zh-CN"/>
              </w:rPr>
            </w:pPr>
            <w:r>
              <w:rPr>
                <w:rFonts w:hint="eastAsia"/>
                <w:sz w:val="21"/>
                <w:szCs w:val="21"/>
                <w:lang w:val="en-US" w:eastAsia="zh-CN"/>
              </w:rPr>
              <w:t>大气☑</w:t>
            </w:r>
          </w:p>
        </w:tc>
        <w:tc>
          <w:tcPr>
            <w:tcW w:w="3916" w:type="dxa"/>
            <w:gridSpan w:val="13"/>
            <w:tcBorders>
              <w:top w:val="single" w:color="auto" w:sz="4" w:space="0"/>
              <w:left w:val="single" w:color="auto" w:sz="4" w:space="0"/>
              <w:bottom w:val="single" w:color="auto" w:sz="4" w:space="0"/>
              <w:right w:val="single" w:color="auto" w:sz="4" w:space="0"/>
            </w:tcBorders>
            <w:vAlign w:val="center"/>
          </w:tcPr>
          <w:p w14:paraId="2E11E7EC">
            <w:pPr>
              <w:widowControl w:val="0"/>
              <w:bidi w:val="0"/>
              <w:spacing w:line="240" w:lineRule="auto"/>
              <w:jc w:val="center"/>
              <w:rPr>
                <w:rFonts w:hint="eastAsia"/>
                <w:sz w:val="21"/>
                <w:szCs w:val="21"/>
                <w:lang w:val="en-US" w:eastAsia="zh-CN"/>
              </w:rPr>
            </w:pPr>
            <w:r>
              <w:rPr>
                <w:rFonts w:hint="eastAsia"/>
                <w:sz w:val="21"/>
                <w:szCs w:val="21"/>
                <w:lang w:val="en-US" w:eastAsia="zh-CN"/>
              </w:rPr>
              <w:t>地表水☑</w:t>
            </w:r>
          </w:p>
        </w:tc>
        <w:tc>
          <w:tcPr>
            <w:tcW w:w="2526" w:type="dxa"/>
            <w:gridSpan w:val="8"/>
            <w:tcBorders>
              <w:top w:val="single" w:color="auto" w:sz="4" w:space="0"/>
              <w:left w:val="single" w:color="auto" w:sz="4" w:space="0"/>
              <w:bottom w:val="single" w:color="auto" w:sz="4" w:space="0"/>
              <w:right w:val="single" w:color="auto" w:sz="4" w:space="0"/>
            </w:tcBorders>
            <w:vAlign w:val="center"/>
          </w:tcPr>
          <w:p w14:paraId="1A370384">
            <w:pPr>
              <w:widowControl w:val="0"/>
              <w:bidi w:val="0"/>
              <w:spacing w:line="240" w:lineRule="auto"/>
              <w:jc w:val="center"/>
              <w:rPr>
                <w:rFonts w:hint="eastAsia"/>
                <w:sz w:val="21"/>
                <w:szCs w:val="21"/>
                <w:lang w:val="en-US" w:eastAsia="zh-CN"/>
              </w:rPr>
            </w:pPr>
            <w:r>
              <w:rPr>
                <w:rFonts w:hint="eastAsia"/>
                <w:sz w:val="21"/>
                <w:szCs w:val="21"/>
                <w:lang w:val="en-US" w:eastAsia="zh-CN"/>
              </w:rPr>
              <w:t>地下水☑</w:t>
            </w:r>
          </w:p>
        </w:tc>
      </w:tr>
      <w:tr w14:paraId="759BD7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tcBorders>
              <w:top w:val="single" w:color="auto" w:sz="4" w:space="0"/>
              <w:left w:val="single" w:color="auto" w:sz="4" w:space="0"/>
              <w:bottom w:val="single" w:color="auto" w:sz="4" w:space="0"/>
              <w:right w:val="single" w:color="auto" w:sz="4" w:space="0"/>
            </w:tcBorders>
            <w:vAlign w:val="center"/>
          </w:tcPr>
          <w:p w14:paraId="103DB4E3">
            <w:pPr>
              <w:widowControl w:val="0"/>
              <w:bidi w:val="0"/>
              <w:spacing w:line="240" w:lineRule="auto"/>
              <w:jc w:val="center"/>
              <w:rPr>
                <w:rFonts w:hint="eastAsia"/>
                <w:sz w:val="21"/>
                <w:szCs w:val="21"/>
                <w:lang w:val="en-US" w:eastAsia="zh-CN"/>
              </w:rPr>
            </w:pPr>
            <w:r>
              <w:rPr>
                <w:rFonts w:hint="eastAsia"/>
                <w:sz w:val="21"/>
                <w:szCs w:val="21"/>
                <w:lang w:val="en-US" w:eastAsia="zh-CN"/>
              </w:rPr>
              <w:t>事故情形分析</w:t>
            </w:r>
          </w:p>
        </w:tc>
        <w:tc>
          <w:tcPr>
            <w:tcW w:w="1901" w:type="dxa"/>
            <w:gridSpan w:val="4"/>
            <w:tcBorders>
              <w:top w:val="single" w:color="auto" w:sz="4" w:space="0"/>
              <w:left w:val="single" w:color="auto" w:sz="4" w:space="0"/>
              <w:bottom w:val="single" w:color="auto" w:sz="4" w:space="0"/>
              <w:right w:val="single" w:color="auto" w:sz="4" w:space="0"/>
            </w:tcBorders>
            <w:vAlign w:val="center"/>
          </w:tcPr>
          <w:p w14:paraId="25328042">
            <w:pPr>
              <w:widowControl w:val="0"/>
              <w:bidi w:val="0"/>
              <w:spacing w:line="240" w:lineRule="auto"/>
              <w:jc w:val="center"/>
              <w:rPr>
                <w:rFonts w:hint="eastAsia"/>
                <w:sz w:val="21"/>
                <w:szCs w:val="21"/>
                <w:lang w:val="en-US" w:eastAsia="zh-CN"/>
              </w:rPr>
            </w:pPr>
            <w:r>
              <w:rPr>
                <w:rFonts w:hint="eastAsia"/>
                <w:sz w:val="21"/>
                <w:szCs w:val="21"/>
                <w:lang w:val="en-US" w:eastAsia="zh-CN"/>
              </w:rPr>
              <w:t>源强设定方法</w:t>
            </w:r>
          </w:p>
        </w:tc>
        <w:tc>
          <w:tcPr>
            <w:tcW w:w="2584" w:type="dxa"/>
            <w:gridSpan w:val="7"/>
            <w:tcBorders>
              <w:top w:val="single" w:color="auto" w:sz="4" w:space="0"/>
              <w:left w:val="single" w:color="auto" w:sz="4" w:space="0"/>
              <w:bottom w:val="single" w:color="auto" w:sz="4" w:space="0"/>
              <w:right w:val="single" w:color="auto" w:sz="4" w:space="0"/>
            </w:tcBorders>
            <w:vAlign w:val="center"/>
          </w:tcPr>
          <w:p w14:paraId="62BBA359">
            <w:pPr>
              <w:widowControl w:val="0"/>
              <w:bidi w:val="0"/>
              <w:spacing w:line="240" w:lineRule="auto"/>
              <w:jc w:val="center"/>
              <w:rPr>
                <w:rFonts w:hint="eastAsia"/>
                <w:sz w:val="21"/>
                <w:szCs w:val="21"/>
                <w:lang w:val="en-US" w:eastAsia="zh-CN"/>
              </w:rPr>
            </w:pPr>
            <w:r>
              <w:rPr>
                <w:rFonts w:hint="eastAsia"/>
                <w:sz w:val="21"/>
                <w:szCs w:val="21"/>
                <w:lang w:val="en-US" w:eastAsia="zh-CN"/>
              </w:rPr>
              <w:t>计算法 □</w:t>
            </w:r>
          </w:p>
        </w:tc>
        <w:tc>
          <w:tcPr>
            <w:tcW w:w="1802" w:type="dxa"/>
            <w:gridSpan w:val="8"/>
            <w:tcBorders>
              <w:top w:val="single" w:color="auto" w:sz="4" w:space="0"/>
              <w:left w:val="single" w:color="auto" w:sz="4" w:space="0"/>
              <w:bottom w:val="single" w:color="auto" w:sz="4" w:space="0"/>
              <w:right w:val="single" w:color="auto" w:sz="4" w:space="0"/>
            </w:tcBorders>
            <w:vAlign w:val="center"/>
          </w:tcPr>
          <w:p w14:paraId="0065CDF7">
            <w:pPr>
              <w:widowControl w:val="0"/>
              <w:bidi w:val="0"/>
              <w:spacing w:line="240" w:lineRule="auto"/>
              <w:jc w:val="center"/>
              <w:rPr>
                <w:rFonts w:hint="eastAsia"/>
                <w:sz w:val="21"/>
                <w:szCs w:val="21"/>
                <w:lang w:val="en-US" w:eastAsia="zh-CN"/>
              </w:rPr>
            </w:pPr>
            <w:r>
              <w:rPr>
                <w:rFonts w:hint="eastAsia"/>
                <w:sz w:val="21"/>
                <w:szCs w:val="21"/>
                <w:lang w:val="en-US" w:eastAsia="zh-CN"/>
              </w:rPr>
              <w:t>经验估算法 □</w:t>
            </w:r>
          </w:p>
        </w:tc>
        <w:tc>
          <w:tcPr>
            <w:tcW w:w="2056" w:type="dxa"/>
            <w:gridSpan w:val="6"/>
            <w:tcBorders>
              <w:top w:val="single" w:color="auto" w:sz="4" w:space="0"/>
              <w:left w:val="single" w:color="auto" w:sz="4" w:space="0"/>
              <w:bottom w:val="single" w:color="auto" w:sz="4" w:space="0"/>
              <w:right w:val="single" w:color="auto" w:sz="4" w:space="0"/>
            </w:tcBorders>
            <w:vAlign w:val="center"/>
          </w:tcPr>
          <w:p w14:paraId="6E4B446C">
            <w:pPr>
              <w:widowControl w:val="0"/>
              <w:bidi w:val="0"/>
              <w:spacing w:line="240" w:lineRule="auto"/>
              <w:jc w:val="center"/>
              <w:rPr>
                <w:rFonts w:hint="eastAsia"/>
                <w:sz w:val="21"/>
                <w:szCs w:val="21"/>
                <w:lang w:val="en-US" w:eastAsia="zh-CN"/>
              </w:rPr>
            </w:pPr>
            <w:r>
              <w:rPr>
                <w:rFonts w:hint="eastAsia"/>
                <w:sz w:val="21"/>
                <w:szCs w:val="21"/>
                <w:lang w:val="en-US" w:eastAsia="zh-CN"/>
              </w:rPr>
              <w:t>其他估算法 □</w:t>
            </w:r>
          </w:p>
        </w:tc>
      </w:tr>
      <w:tr w14:paraId="474811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9E47646">
            <w:pPr>
              <w:widowControl w:val="0"/>
              <w:bidi w:val="0"/>
              <w:spacing w:line="240" w:lineRule="auto"/>
              <w:jc w:val="center"/>
              <w:rPr>
                <w:sz w:val="21"/>
                <w:szCs w:val="21"/>
              </w:rPr>
            </w:pPr>
            <w:r>
              <w:rPr>
                <w:sz w:val="21"/>
                <w:szCs w:val="21"/>
              </w:rPr>
              <w:t>风险预</w:t>
            </w:r>
          </w:p>
          <w:p w14:paraId="2D425D3D">
            <w:pPr>
              <w:widowControl w:val="0"/>
              <w:bidi w:val="0"/>
              <w:spacing w:line="240" w:lineRule="auto"/>
              <w:jc w:val="center"/>
              <w:rPr>
                <w:sz w:val="21"/>
                <w:szCs w:val="21"/>
              </w:rPr>
            </w:pPr>
            <w:r>
              <w:rPr>
                <w:sz w:val="21"/>
                <w:szCs w:val="21"/>
              </w:rPr>
              <w:t>测与评</w:t>
            </w:r>
          </w:p>
          <w:p w14:paraId="7657FD7D">
            <w:pPr>
              <w:widowControl w:val="0"/>
              <w:bidi w:val="0"/>
              <w:spacing w:line="240" w:lineRule="auto"/>
              <w:jc w:val="center"/>
              <w:rPr>
                <w:rFonts w:hint="eastAsia"/>
                <w:sz w:val="21"/>
                <w:szCs w:val="21"/>
                <w:lang w:val="en-US" w:eastAsia="zh-CN"/>
              </w:rPr>
            </w:pPr>
            <w:r>
              <w:rPr>
                <w:sz w:val="21"/>
                <w:szCs w:val="21"/>
              </w:rPr>
              <w:t>价</w:t>
            </w:r>
          </w:p>
        </w:tc>
        <w:tc>
          <w:tcPr>
            <w:tcW w:w="1901" w:type="dxa"/>
            <w:gridSpan w:val="4"/>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D16EA81">
            <w:pPr>
              <w:widowControl w:val="0"/>
              <w:bidi w:val="0"/>
              <w:spacing w:line="240" w:lineRule="auto"/>
              <w:jc w:val="center"/>
              <w:rPr>
                <w:rFonts w:hint="eastAsia"/>
                <w:sz w:val="21"/>
                <w:szCs w:val="21"/>
                <w:lang w:val="en-US" w:eastAsia="zh-CN"/>
              </w:rPr>
            </w:pPr>
            <w:r>
              <w:rPr>
                <w:sz w:val="21"/>
                <w:szCs w:val="21"/>
              </w:rPr>
              <w:t>大气</w:t>
            </w:r>
          </w:p>
        </w:tc>
        <w:tc>
          <w:tcPr>
            <w:tcW w:w="161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24818639">
            <w:pPr>
              <w:widowControl w:val="0"/>
              <w:bidi w:val="0"/>
              <w:spacing w:line="240" w:lineRule="auto"/>
              <w:jc w:val="center"/>
              <w:rPr>
                <w:rFonts w:hint="eastAsia"/>
                <w:sz w:val="21"/>
                <w:szCs w:val="21"/>
                <w:lang w:val="en-US" w:eastAsia="zh-CN"/>
              </w:rPr>
            </w:pPr>
            <w:r>
              <w:rPr>
                <w:sz w:val="21"/>
                <w:szCs w:val="21"/>
              </w:rPr>
              <w:t>预测模型</w:t>
            </w:r>
          </w:p>
        </w:tc>
        <w:tc>
          <w:tcPr>
            <w:tcW w:w="161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14:paraId="627CDFCE">
            <w:pPr>
              <w:widowControl w:val="0"/>
              <w:bidi w:val="0"/>
              <w:spacing w:line="240" w:lineRule="auto"/>
              <w:jc w:val="center"/>
              <w:rPr>
                <w:rFonts w:hint="eastAsia" w:eastAsia="宋体"/>
                <w:sz w:val="21"/>
                <w:szCs w:val="21"/>
                <w:lang w:val="en-US" w:eastAsia="zh-CN"/>
              </w:rPr>
            </w:pPr>
            <w:r>
              <w:rPr>
                <w:sz w:val="21"/>
                <w:szCs w:val="21"/>
              </w:rPr>
              <w:t xml:space="preserve">SLAB </w:t>
            </w:r>
            <w:r>
              <w:rPr>
                <w:rFonts w:hint="eastAsia"/>
                <w:sz w:val="21"/>
                <w:szCs w:val="21"/>
                <w:lang w:eastAsia="zh-CN"/>
              </w:rPr>
              <w:t>□</w:t>
            </w:r>
          </w:p>
        </w:tc>
        <w:tc>
          <w:tcPr>
            <w:tcW w:w="1610" w:type="dxa"/>
            <w:gridSpan w:val="8"/>
            <w:tcBorders>
              <w:top w:val="single" w:color="auto" w:sz="4" w:space="0"/>
              <w:left w:val="single" w:color="auto" w:sz="4" w:space="0"/>
              <w:bottom w:val="single" w:color="auto" w:sz="4" w:space="0"/>
              <w:right w:val="single" w:color="auto" w:sz="4" w:space="0"/>
            </w:tcBorders>
            <w:shd w:val="clear" w:color="auto" w:fill="auto"/>
            <w:vAlign w:val="center"/>
          </w:tcPr>
          <w:p w14:paraId="04EF6B84">
            <w:pPr>
              <w:widowControl w:val="0"/>
              <w:bidi w:val="0"/>
              <w:spacing w:line="240" w:lineRule="auto"/>
              <w:jc w:val="center"/>
              <w:rPr>
                <w:rFonts w:hint="eastAsia"/>
                <w:sz w:val="21"/>
                <w:szCs w:val="21"/>
                <w:lang w:val="en-US" w:eastAsia="zh-CN"/>
              </w:rPr>
            </w:pPr>
            <w:r>
              <w:rPr>
                <w:sz w:val="21"/>
                <w:szCs w:val="21"/>
              </w:rPr>
              <w:t>AFTOX ☑</w:t>
            </w:r>
          </w:p>
        </w:tc>
        <w:tc>
          <w:tcPr>
            <w:tcW w:w="1612" w:type="dxa"/>
            <w:gridSpan w:val="3"/>
            <w:tcBorders>
              <w:top w:val="single" w:color="auto" w:sz="4" w:space="0"/>
              <w:left w:val="single" w:color="auto" w:sz="4" w:space="0"/>
              <w:bottom w:val="single" w:color="auto" w:sz="4" w:space="0"/>
              <w:right w:val="single" w:color="auto" w:sz="4" w:space="0"/>
            </w:tcBorders>
            <w:shd w:val="clear" w:color="auto" w:fill="auto"/>
            <w:vAlign w:val="center"/>
          </w:tcPr>
          <w:p w14:paraId="15980B21">
            <w:pPr>
              <w:widowControl w:val="0"/>
              <w:bidi w:val="0"/>
              <w:spacing w:line="240" w:lineRule="auto"/>
              <w:jc w:val="center"/>
              <w:rPr>
                <w:rFonts w:hint="eastAsia"/>
                <w:sz w:val="21"/>
                <w:szCs w:val="21"/>
                <w:lang w:val="en-US" w:eastAsia="zh-CN"/>
              </w:rPr>
            </w:pPr>
            <w:r>
              <w:rPr>
                <w:sz w:val="21"/>
                <w:szCs w:val="21"/>
              </w:rPr>
              <w:t>其他 □</w:t>
            </w:r>
          </w:p>
        </w:tc>
      </w:tr>
      <w:tr w14:paraId="0CC20F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4E65C682">
            <w:pPr>
              <w:widowControl w:val="0"/>
              <w:bidi w:val="0"/>
              <w:spacing w:line="240" w:lineRule="auto"/>
              <w:jc w:val="center"/>
              <w:rPr>
                <w:rFonts w:hint="eastAsia"/>
                <w:sz w:val="21"/>
                <w:szCs w:val="21"/>
                <w:lang w:val="en-US" w:eastAsia="zh-CN"/>
              </w:rPr>
            </w:pPr>
          </w:p>
        </w:tc>
        <w:tc>
          <w:tcPr>
            <w:tcW w:w="1901" w:type="dxa"/>
            <w:gridSpan w:val="4"/>
            <w:vMerge w:val="continue"/>
            <w:tcBorders>
              <w:top w:val="single" w:color="auto" w:sz="4" w:space="0"/>
              <w:left w:val="single" w:color="auto" w:sz="4" w:space="0"/>
              <w:bottom w:val="single" w:color="auto" w:sz="4" w:space="0"/>
              <w:right w:val="single" w:color="auto" w:sz="4" w:space="0"/>
            </w:tcBorders>
            <w:vAlign w:val="center"/>
          </w:tcPr>
          <w:p w14:paraId="3181085F">
            <w:pPr>
              <w:widowControl w:val="0"/>
              <w:bidi w:val="0"/>
              <w:spacing w:line="240" w:lineRule="auto"/>
              <w:jc w:val="center"/>
              <w:rPr>
                <w:rFonts w:hint="eastAsia"/>
                <w:sz w:val="21"/>
                <w:szCs w:val="21"/>
                <w:lang w:val="en-US" w:eastAsia="zh-CN"/>
              </w:rPr>
            </w:pPr>
          </w:p>
        </w:tc>
        <w:tc>
          <w:tcPr>
            <w:tcW w:w="2584" w:type="dxa"/>
            <w:gridSpan w:val="7"/>
            <w:vMerge w:val="restart"/>
            <w:tcBorders>
              <w:top w:val="single" w:color="auto" w:sz="4" w:space="0"/>
              <w:left w:val="single" w:color="auto" w:sz="4" w:space="0"/>
              <w:right w:val="single" w:color="auto" w:sz="4" w:space="0"/>
            </w:tcBorders>
            <w:shd w:val="clear" w:color="auto" w:fill="auto"/>
            <w:vAlign w:val="center"/>
          </w:tcPr>
          <w:p w14:paraId="70D7F232">
            <w:pPr>
              <w:widowControl w:val="0"/>
              <w:bidi w:val="0"/>
              <w:spacing w:line="240" w:lineRule="auto"/>
              <w:jc w:val="center"/>
              <w:rPr>
                <w:rFonts w:hint="eastAsia"/>
                <w:sz w:val="21"/>
                <w:szCs w:val="21"/>
                <w:lang w:val="en-US" w:eastAsia="zh-CN"/>
              </w:rPr>
            </w:pPr>
            <w:r>
              <w:rPr>
                <w:sz w:val="21"/>
                <w:szCs w:val="21"/>
              </w:rPr>
              <w:t>预测结果</w:t>
            </w:r>
          </w:p>
        </w:tc>
        <w:tc>
          <w:tcPr>
            <w:tcW w:w="3858" w:type="dxa"/>
            <w:gridSpan w:val="14"/>
            <w:tcBorders>
              <w:top w:val="single" w:color="auto" w:sz="4" w:space="0"/>
              <w:left w:val="single" w:color="auto" w:sz="4" w:space="0"/>
              <w:bottom w:val="single" w:color="auto" w:sz="4" w:space="0"/>
              <w:right w:val="single" w:color="auto" w:sz="4" w:space="0"/>
            </w:tcBorders>
            <w:shd w:val="clear" w:color="auto" w:fill="auto"/>
            <w:vAlign w:val="center"/>
          </w:tcPr>
          <w:p w14:paraId="3A4E458D">
            <w:pPr>
              <w:widowControl w:val="0"/>
              <w:bidi w:val="0"/>
              <w:spacing w:line="240" w:lineRule="auto"/>
              <w:jc w:val="center"/>
              <w:rPr>
                <w:rFonts w:hint="eastAsia" w:eastAsia="宋体"/>
                <w:sz w:val="21"/>
                <w:szCs w:val="21"/>
                <w:lang w:val="en-US" w:eastAsia="zh-CN"/>
              </w:rPr>
            </w:pPr>
            <w:r>
              <w:rPr>
                <w:sz w:val="21"/>
                <w:szCs w:val="21"/>
              </w:rPr>
              <w:t>大气毒性终点浓度-1最大影响范围</w:t>
            </w:r>
            <w:r>
              <w:rPr>
                <w:rFonts w:hint="eastAsia"/>
                <w:sz w:val="21"/>
                <w:szCs w:val="21"/>
                <w:lang w:val="en-US" w:eastAsia="zh-CN"/>
              </w:rPr>
              <w:t>未出现</w:t>
            </w:r>
          </w:p>
        </w:tc>
      </w:tr>
      <w:tr w14:paraId="024636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1648F946">
            <w:pPr>
              <w:widowControl w:val="0"/>
              <w:bidi w:val="0"/>
              <w:spacing w:line="240" w:lineRule="auto"/>
              <w:jc w:val="center"/>
              <w:rPr>
                <w:rFonts w:hint="eastAsia"/>
                <w:sz w:val="21"/>
                <w:szCs w:val="21"/>
                <w:lang w:val="en-US" w:eastAsia="zh-CN"/>
              </w:rPr>
            </w:pPr>
          </w:p>
        </w:tc>
        <w:tc>
          <w:tcPr>
            <w:tcW w:w="1901" w:type="dxa"/>
            <w:gridSpan w:val="4"/>
            <w:vMerge w:val="continue"/>
            <w:tcBorders>
              <w:top w:val="single" w:color="auto" w:sz="4" w:space="0"/>
              <w:left w:val="single" w:color="auto" w:sz="4" w:space="0"/>
              <w:bottom w:val="single" w:color="auto" w:sz="4" w:space="0"/>
              <w:right w:val="single" w:color="auto" w:sz="4" w:space="0"/>
            </w:tcBorders>
            <w:vAlign w:val="center"/>
          </w:tcPr>
          <w:p w14:paraId="08D4E9F4">
            <w:pPr>
              <w:widowControl w:val="0"/>
              <w:bidi w:val="0"/>
              <w:spacing w:line="240" w:lineRule="auto"/>
              <w:jc w:val="center"/>
              <w:rPr>
                <w:rFonts w:hint="eastAsia"/>
                <w:sz w:val="21"/>
                <w:szCs w:val="21"/>
                <w:lang w:val="en-US" w:eastAsia="zh-CN"/>
              </w:rPr>
            </w:pPr>
          </w:p>
        </w:tc>
        <w:tc>
          <w:tcPr>
            <w:tcW w:w="2584" w:type="dxa"/>
            <w:gridSpan w:val="7"/>
            <w:vMerge w:val="continue"/>
            <w:tcBorders>
              <w:left w:val="single" w:color="auto" w:sz="4" w:space="0"/>
              <w:bottom w:val="single" w:color="auto" w:sz="4" w:space="0"/>
              <w:right w:val="single" w:color="auto" w:sz="4" w:space="0"/>
            </w:tcBorders>
            <w:shd w:val="clear" w:color="auto" w:fill="auto"/>
            <w:vAlign w:val="center"/>
          </w:tcPr>
          <w:p w14:paraId="4D02E4C7">
            <w:pPr>
              <w:widowControl w:val="0"/>
              <w:bidi w:val="0"/>
              <w:spacing w:line="240" w:lineRule="auto"/>
              <w:jc w:val="center"/>
              <w:rPr>
                <w:rFonts w:hint="eastAsia"/>
                <w:sz w:val="21"/>
                <w:szCs w:val="21"/>
                <w:lang w:val="en-US" w:eastAsia="zh-CN"/>
              </w:rPr>
            </w:pPr>
          </w:p>
        </w:tc>
        <w:tc>
          <w:tcPr>
            <w:tcW w:w="3858" w:type="dxa"/>
            <w:gridSpan w:val="14"/>
            <w:tcBorders>
              <w:top w:val="single" w:color="auto" w:sz="4" w:space="0"/>
              <w:left w:val="single" w:color="auto" w:sz="4" w:space="0"/>
              <w:bottom w:val="single" w:color="auto" w:sz="4" w:space="0"/>
              <w:right w:val="single" w:color="auto" w:sz="4" w:space="0"/>
            </w:tcBorders>
            <w:shd w:val="clear" w:color="auto" w:fill="auto"/>
            <w:vAlign w:val="center"/>
          </w:tcPr>
          <w:p w14:paraId="68134B72">
            <w:pPr>
              <w:widowControl w:val="0"/>
              <w:bidi w:val="0"/>
              <w:spacing w:line="240" w:lineRule="auto"/>
              <w:jc w:val="center"/>
              <w:rPr>
                <w:rFonts w:hint="eastAsia"/>
                <w:sz w:val="21"/>
                <w:szCs w:val="21"/>
                <w:lang w:val="en-US" w:eastAsia="zh-CN"/>
              </w:rPr>
            </w:pPr>
            <w:r>
              <w:rPr>
                <w:sz w:val="21"/>
                <w:szCs w:val="21"/>
              </w:rPr>
              <w:t>大气毒性终点浓度-2最大影响范围</w:t>
            </w:r>
            <w:r>
              <w:rPr>
                <w:rFonts w:hint="eastAsia"/>
                <w:sz w:val="21"/>
                <w:szCs w:val="21"/>
                <w:lang w:val="en-US" w:eastAsia="zh-CN"/>
              </w:rPr>
              <w:t>未出现</w:t>
            </w:r>
          </w:p>
        </w:tc>
      </w:tr>
      <w:tr w14:paraId="298CA0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0F269598">
            <w:pPr>
              <w:widowControl w:val="0"/>
              <w:bidi w:val="0"/>
              <w:spacing w:line="240" w:lineRule="auto"/>
              <w:jc w:val="center"/>
              <w:rPr>
                <w:rFonts w:hint="eastAsia"/>
                <w:sz w:val="21"/>
                <w:szCs w:val="21"/>
                <w:lang w:val="en-US" w:eastAsia="zh-CN"/>
              </w:rPr>
            </w:pPr>
          </w:p>
        </w:tc>
        <w:tc>
          <w:tcPr>
            <w:tcW w:w="1901" w:type="dxa"/>
            <w:gridSpan w:val="4"/>
            <w:tcBorders>
              <w:top w:val="single" w:color="auto" w:sz="4" w:space="0"/>
              <w:left w:val="single" w:color="auto" w:sz="4" w:space="0"/>
              <w:bottom w:val="single" w:color="auto" w:sz="4" w:space="0"/>
              <w:right w:val="single" w:color="auto" w:sz="4" w:space="0"/>
            </w:tcBorders>
            <w:shd w:val="clear" w:color="auto" w:fill="auto"/>
            <w:vAlign w:val="center"/>
          </w:tcPr>
          <w:p w14:paraId="32B58280">
            <w:pPr>
              <w:widowControl w:val="0"/>
              <w:bidi w:val="0"/>
              <w:spacing w:line="240" w:lineRule="auto"/>
              <w:jc w:val="center"/>
              <w:rPr>
                <w:rFonts w:hint="eastAsia"/>
                <w:sz w:val="21"/>
                <w:szCs w:val="21"/>
                <w:lang w:val="en-US" w:eastAsia="zh-CN"/>
              </w:rPr>
            </w:pPr>
            <w:r>
              <w:rPr>
                <w:sz w:val="21"/>
                <w:szCs w:val="21"/>
              </w:rPr>
              <w:t>地表水</w:t>
            </w:r>
          </w:p>
        </w:tc>
        <w:tc>
          <w:tcPr>
            <w:tcW w:w="6442" w:type="dxa"/>
            <w:gridSpan w:val="21"/>
            <w:tcBorders>
              <w:top w:val="single" w:color="auto" w:sz="4" w:space="0"/>
              <w:left w:val="single" w:color="auto" w:sz="4" w:space="0"/>
              <w:bottom w:val="single" w:color="auto" w:sz="4" w:space="0"/>
              <w:right w:val="single" w:color="auto" w:sz="4" w:space="0"/>
            </w:tcBorders>
            <w:shd w:val="clear" w:color="auto" w:fill="auto"/>
            <w:vAlign w:val="center"/>
          </w:tcPr>
          <w:p w14:paraId="285EEE95">
            <w:pPr>
              <w:widowControl w:val="0"/>
              <w:bidi w:val="0"/>
              <w:spacing w:line="240" w:lineRule="auto"/>
              <w:jc w:val="center"/>
              <w:rPr>
                <w:rFonts w:hint="eastAsia"/>
                <w:sz w:val="21"/>
                <w:szCs w:val="21"/>
                <w:lang w:val="en-US" w:eastAsia="zh-CN"/>
              </w:rPr>
            </w:pPr>
            <w:r>
              <w:rPr>
                <w:sz w:val="21"/>
                <w:szCs w:val="21"/>
              </w:rPr>
              <w:t>最近环境敏感目标</w:t>
            </w:r>
            <w:r>
              <w:rPr>
                <w:rFonts w:hint="eastAsia"/>
                <w:sz w:val="21"/>
                <w:szCs w:val="21"/>
                <w:lang w:val="en-US" w:eastAsia="zh-CN"/>
              </w:rPr>
              <w:t>店埠河</w:t>
            </w:r>
            <w:r>
              <w:rPr>
                <w:sz w:val="21"/>
                <w:szCs w:val="21"/>
              </w:rPr>
              <w:t>，到达时间    /    h</w:t>
            </w:r>
          </w:p>
        </w:tc>
      </w:tr>
      <w:tr w14:paraId="3F86EE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continue"/>
            <w:tcBorders>
              <w:top w:val="single" w:color="auto" w:sz="4" w:space="0"/>
              <w:left w:val="single" w:color="auto" w:sz="4" w:space="0"/>
              <w:bottom w:val="single" w:color="auto" w:sz="4" w:space="0"/>
              <w:right w:val="single" w:color="auto" w:sz="4" w:space="0"/>
            </w:tcBorders>
            <w:vAlign w:val="center"/>
          </w:tcPr>
          <w:p w14:paraId="6FACAAC0">
            <w:pPr>
              <w:widowControl w:val="0"/>
              <w:bidi w:val="0"/>
              <w:spacing w:line="240" w:lineRule="auto"/>
              <w:jc w:val="center"/>
              <w:rPr>
                <w:rFonts w:hint="eastAsia"/>
                <w:sz w:val="21"/>
                <w:szCs w:val="21"/>
                <w:lang w:val="en-US" w:eastAsia="zh-CN"/>
              </w:rPr>
            </w:pPr>
          </w:p>
        </w:tc>
        <w:tc>
          <w:tcPr>
            <w:tcW w:w="1901" w:type="dxa"/>
            <w:gridSpan w:val="4"/>
            <w:vMerge w:val="restart"/>
            <w:tcBorders>
              <w:top w:val="single" w:color="auto" w:sz="4" w:space="0"/>
              <w:left w:val="single" w:color="auto" w:sz="4" w:space="0"/>
              <w:right w:val="single" w:color="auto" w:sz="4" w:space="0"/>
            </w:tcBorders>
            <w:shd w:val="clear" w:color="auto" w:fill="auto"/>
            <w:vAlign w:val="center"/>
          </w:tcPr>
          <w:p w14:paraId="770E87A6">
            <w:pPr>
              <w:widowControl w:val="0"/>
              <w:bidi w:val="0"/>
              <w:spacing w:line="240" w:lineRule="auto"/>
              <w:jc w:val="center"/>
              <w:rPr>
                <w:rFonts w:hint="eastAsia"/>
                <w:sz w:val="21"/>
                <w:szCs w:val="21"/>
                <w:lang w:val="en-US" w:eastAsia="zh-CN"/>
              </w:rPr>
            </w:pPr>
            <w:r>
              <w:rPr>
                <w:sz w:val="21"/>
                <w:szCs w:val="21"/>
              </w:rPr>
              <w:t>地下水</w:t>
            </w:r>
          </w:p>
        </w:tc>
        <w:tc>
          <w:tcPr>
            <w:tcW w:w="6442" w:type="dxa"/>
            <w:gridSpan w:val="21"/>
            <w:tcBorders>
              <w:top w:val="single" w:color="auto" w:sz="4" w:space="0"/>
              <w:left w:val="single" w:color="auto" w:sz="4" w:space="0"/>
              <w:bottom w:val="single" w:color="auto" w:sz="4" w:space="0"/>
              <w:right w:val="single" w:color="auto" w:sz="4" w:space="0"/>
            </w:tcBorders>
            <w:shd w:val="clear" w:color="auto" w:fill="auto"/>
            <w:vAlign w:val="center"/>
          </w:tcPr>
          <w:p w14:paraId="22B01223">
            <w:pPr>
              <w:widowControl w:val="0"/>
              <w:bidi w:val="0"/>
              <w:spacing w:line="240" w:lineRule="auto"/>
              <w:jc w:val="center"/>
              <w:rPr>
                <w:rFonts w:hint="eastAsia"/>
                <w:sz w:val="21"/>
                <w:szCs w:val="21"/>
                <w:lang w:val="en-US" w:eastAsia="zh-CN"/>
              </w:rPr>
            </w:pPr>
            <w:r>
              <w:rPr>
                <w:sz w:val="21"/>
                <w:szCs w:val="21"/>
              </w:rPr>
              <w:t>下游厂区边界到达时间    /     d</w:t>
            </w:r>
          </w:p>
        </w:tc>
      </w:tr>
      <w:tr w14:paraId="692695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1319"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E6BFAFB">
            <w:pPr>
              <w:widowControl w:val="0"/>
              <w:bidi w:val="0"/>
              <w:spacing w:line="240" w:lineRule="auto"/>
              <w:jc w:val="center"/>
              <w:rPr>
                <w:rFonts w:hint="eastAsia"/>
                <w:sz w:val="21"/>
                <w:szCs w:val="21"/>
                <w:lang w:val="en-US" w:eastAsia="zh-CN"/>
              </w:rPr>
            </w:pPr>
          </w:p>
        </w:tc>
        <w:tc>
          <w:tcPr>
            <w:tcW w:w="1901" w:type="dxa"/>
            <w:gridSpan w:val="4"/>
            <w:vMerge w:val="continue"/>
            <w:tcBorders>
              <w:left w:val="single" w:color="auto" w:sz="4" w:space="0"/>
              <w:bottom w:val="single" w:color="auto" w:sz="4" w:space="0"/>
              <w:right w:val="single" w:color="auto" w:sz="4" w:space="0"/>
            </w:tcBorders>
            <w:shd w:val="clear" w:color="auto" w:fill="auto"/>
            <w:vAlign w:val="center"/>
          </w:tcPr>
          <w:p w14:paraId="100A9456">
            <w:pPr>
              <w:widowControl w:val="0"/>
              <w:bidi w:val="0"/>
              <w:spacing w:line="240" w:lineRule="auto"/>
              <w:jc w:val="center"/>
              <w:rPr>
                <w:rFonts w:hint="eastAsia"/>
                <w:sz w:val="21"/>
                <w:szCs w:val="21"/>
                <w:lang w:val="en-US" w:eastAsia="zh-CN"/>
              </w:rPr>
            </w:pPr>
          </w:p>
        </w:tc>
        <w:tc>
          <w:tcPr>
            <w:tcW w:w="6442" w:type="dxa"/>
            <w:gridSpan w:val="21"/>
            <w:tcBorders>
              <w:top w:val="single" w:color="auto" w:sz="4" w:space="0"/>
              <w:left w:val="single" w:color="auto" w:sz="4" w:space="0"/>
              <w:bottom w:val="single" w:color="auto" w:sz="4" w:space="0"/>
              <w:right w:val="single" w:color="auto" w:sz="4" w:space="0"/>
            </w:tcBorders>
            <w:shd w:val="clear" w:color="auto" w:fill="auto"/>
            <w:vAlign w:val="center"/>
          </w:tcPr>
          <w:p w14:paraId="60B01C96">
            <w:pPr>
              <w:widowControl w:val="0"/>
              <w:bidi w:val="0"/>
              <w:spacing w:line="240" w:lineRule="auto"/>
              <w:jc w:val="center"/>
              <w:rPr>
                <w:rFonts w:hint="eastAsia"/>
                <w:sz w:val="21"/>
                <w:szCs w:val="21"/>
                <w:lang w:val="en-US" w:eastAsia="zh-CN"/>
              </w:rPr>
            </w:pPr>
            <w:r>
              <w:rPr>
                <w:sz w:val="21"/>
                <w:szCs w:val="21"/>
              </w:rPr>
              <w:t>最近环境敏感目标</w:t>
            </w:r>
            <w:r>
              <w:rPr>
                <w:rFonts w:hint="eastAsia"/>
                <w:sz w:val="21"/>
                <w:szCs w:val="21"/>
                <w:lang w:val="en-US" w:eastAsia="zh-CN"/>
              </w:rPr>
              <w:t xml:space="preserve">     </w:t>
            </w:r>
            <w:r>
              <w:rPr>
                <w:sz w:val="21"/>
                <w:szCs w:val="21"/>
              </w:rPr>
              <w:t>，到达时间    /     d</w:t>
            </w:r>
          </w:p>
        </w:tc>
      </w:tr>
      <w:tr w14:paraId="257370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7002B479">
            <w:pPr>
              <w:widowControl w:val="0"/>
              <w:bidi w:val="0"/>
              <w:spacing w:line="240" w:lineRule="auto"/>
              <w:jc w:val="center"/>
              <w:rPr>
                <w:rFonts w:hint="eastAsia"/>
                <w:sz w:val="21"/>
                <w:szCs w:val="21"/>
                <w:lang w:val="en-US" w:eastAsia="zh-CN"/>
              </w:rPr>
            </w:pPr>
            <w:r>
              <w:rPr>
                <w:sz w:val="21"/>
                <w:szCs w:val="21"/>
              </w:rPr>
              <w:t>重点风险防范措施</w:t>
            </w:r>
          </w:p>
        </w:tc>
        <w:tc>
          <w:tcPr>
            <w:tcW w:w="8343" w:type="dxa"/>
            <w:gridSpan w:val="25"/>
            <w:tcBorders>
              <w:top w:val="single" w:color="auto" w:sz="4" w:space="0"/>
              <w:left w:val="single" w:color="auto" w:sz="4" w:space="0"/>
              <w:bottom w:val="single" w:color="auto" w:sz="4" w:space="0"/>
              <w:right w:val="single" w:color="auto" w:sz="4" w:space="0"/>
            </w:tcBorders>
            <w:shd w:val="clear" w:color="auto" w:fill="auto"/>
            <w:vAlign w:val="center"/>
          </w:tcPr>
          <w:p w14:paraId="37D353AC">
            <w:pPr>
              <w:widowControl w:val="0"/>
              <w:bidi w:val="0"/>
              <w:spacing w:line="240" w:lineRule="auto"/>
              <w:jc w:val="center"/>
              <w:rPr>
                <w:sz w:val="21"/>
                <w:szCs w:val="21"/>
              </w:rPr>
            </w:pPr>
            <w:r>
              <w:rPr>
                <w:sz w:val="21"/>
                <w:szCs w:val="21"/>
              </w:rPr>
              <w:t>已建的2座容积分别为3060m</w:t>
            </w:r>
            <w:r>
              <w:rPr>
                <w:sz w:val="21"/>
                <w:szCs w:val="21"/>
                <w:vertAlign w:val="superscript"/>
              </w:rPr>
              <w:t>3</w:t>
            </w:r>
            <w:r>
              <w:rPr>
                <w:sz w:val="21"/>
                <w:szCs w:val="21"/>
              </w:rPr>
              <w:t>、1306.62m</w:t>
            </w:r>
            <w:r>
              <w:rPr>
                <w:sz w:val="21"/>
                <w:szCs w:val="21"/>
                <w:vertAlign w:val="superscript"/>
              </w:rPr>
              <w:t>3</w:t>
            </w:r>
            <w:r>
              <w:rPr>
                <w:sz w:val="21"/>
                <w:szCs w:val="21"/>
              </w:rPr>
              <w:t>的事故池并设置150m的环境防护距离，加强管</w:t>
            </w:r>
          </w:p>
          <w:p w14:paraId="5DAB1278">
            <w:pPr>
              <w:widowControl w:val="0"/>
              <w:bidi w:val="0"/>
              <w:spacing w:line="240" w:lineRule="auto"/>
              <w:jc w:val="center"/>
              <w:rPr>
                <w:rFonts w:hint="eastAsia"/>
                <w:sz w:val="21"/>
                <w:szCs w:val="21"/>
                <w:lang w:val="en-US" w:eastAsia="zh-CN"/>
              </w:rPr>
            </w:pPr>
            <w:r>
              <w:rPr>
                <w:sz w:val="21"/>
                <w:szCs w:val="21"/>
              </w:rPr>
              <w:t>理，严格按照操作规程进行操作，制定突发环境风险应急预案并在生态环境局备案。</w:t>
            </w:r>
          </w:p>
        </w:tc>
      </w:tr>
      <w:tr w14:paraId="1B5AB4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14:paraId="39D4E8E2">
            <w:pPr>
              <w:widowControl w:val="0"/>
              <w:bidi w:val="0"/>
              <w:spacing w:line="240" w:lineRule="auto"/>
              <w:jc w:val="center"/>
              <w:rPr>
                <w:rFonts w:hint="eastAsia"/>
                <w:sz w:val="21"/>
                <w:szCs w:val="21"/>
                <w:lang w:val="en-US" w:eastAsia="zh-CN"/>
              </w:rPr>
            </w:pPr>
            <w:r>
              <w:rPr>
                <w:sz w:val="21"/>
                <w:szCs w:val="21"/>
              </w:rPr>
              <w:t>评价结论与建议</w:t>
            </w:r>
          </w:p>
        </w:tc>
        <w:tc>
          <w:tcPr>
            <w:tcW w:w="8343" w:type="dxa"/>
            <w:gridSpan w:val="25"/>
            <w:tcBorders>
              <w:top w:val="single" w:color="auto" w:sz="4" w:space="0"/>
              <w:left w:val="single" w:color="auto" w:sz="4" w:space="0"/>
              <w:bottom w:val="single" w:color="auto" w:sz="4" w:space="0"/>
              <w:right w:val="single" w:color="auto" w:sz="4" w:space="0"/>
            </w:tcBorders>
            <w:shd w:val="clear" w:color="auto" w:fill="auto"/>
            <w:vAlign w:val="center"/>
          </w:tcPr>
          <w:p w14:paraId="36B5672F">
            <w:pPr>
              <w:widowControl w:val="0"/>
              <w:bidi w:val="0"/>
              <w:spacing w:line="240" w:lineRule="auto"/>
              <w:jc w:val="center"/>
              <w:rPr>
                <w:sz w:val="21"/>
                <w:szCs w:val="21"/>
              </w:rPr>
            </w:pPr>
            <w:r>
              <w:rPr>
                <w:sz w:val="21"/>
                <w:szCs w:val="21"/>
              </w:rPr>
              <w:t>综上分析可知建设项目环境风险可实现有效防控，但应根据项目环境风险可能影响的范围与</w:t>
            </w:r>
          </w:p>
          <w:p w14:paraId="427899C6">
            <w:pPr>
              <w:widowControl w:val="0"/>
              <w:bidi w:val="0"/>
              <w:spacing w:line="240" w:lineRule="auto"/>
              <w:jc w:val="center"/>
              <w:rPr>
                <w:rFonts w:hint="eastAsia"/>
                <w:sz w:val="21"/>
                <w:szCs w:val="21"/>
                <w:lang w:val="en-US" w:eastAsia="zh-CN"/>
              </w:rPr>
            </w:pPr>
            <w:r>
              <w:rPr>
                <w:sz w:val="21"/>
                <w:szCs w:val="21"/>
              </w:rPr>
              <w:t>程度，采取措施进一步缓解环境风险。</w:t>
            </w:r>
          </w:p>
        </w:tc>
      </w:tr>
    </w:tbl>
    <w:p w14:paraId="451CC4A5">
      <w:pPr>
        <w:bidi w:val="0"/>
        <w:rPr>
          <w:rFonts w:hint="eastAsia"/>
          <w:lang w:val="en-US" w:eastAsia="zh-CN"/>
        </w:rPr>
        <w:sectPr>
          <w:pgSz w:w="11905" w:h="16838"/>
          <w:pgMar w:top="1417" w:right="1134" w:bottom="1134" w:left="1417" w:header="851" w:footer="992" w:gutter="0"/>
          <w:pgNumType w:fmt="decimal"/>
          <w:cols w:space="0" w:num="1"/>
          <w:rtlGutter w:val="0"/>
          <w:docGrid w:type="lines" w:linePitch="346" w:charSpace="0"/>
        </w:sectPr>
      </w:pPr>
    </w:p>
    <w:p w14:paraId="20D526D5">
      <w:pPr>
        <w:bidi w:val="0"/>
        <w:rPr>
          <w:rFonts w:hint="eastAsia"/>
          <w:b/>
          <w:bCs/>
          <w:lang w:val="en-US" w:eastAsia="zh-CN"/>
        </w:rPr>
      </w:pPr>
      <w:r>
        <w:rPr>
          <w:rFonts w:hint="eastAsia"/>
          <w:b/>
          <w:bCs/>
          <w:lang w:val="en-US" w:eastAsia="zh-CN"/>
        </w:rPr>
        <w:t>6.2.7 土壤环境影响分析</w:t>
      </w:r>
    </w:p>
    <w:p w14:paraId="29F109BE">
      <w:pPr>
        <w:bidi w:val="0"/>
        <w:rPr>
          <w:rFonts w:hint="eastAsia"/>
          <w:b/>
          <w:bCs/>
          <w:lang w:val="en-US" w:eastAsia="zh-CN"/>
        </w:rPr>
      </w:pPr>
      <w:r>
        <w:rPr>
          <w:rFonts w:hint="eastAsia"/>
          <w:b/>
          <w:bCs/>
          <w:lang w:val="en-US" w:eastAsia="zh-CN"/>
        </w:rPr>
        <w:t>6.2.7.1 土壤污染途径识别</w:t>
      </w:r>
    </w:p>
    <w:p w14:paraId="619D71C4">
      <w:pPr>
        <w:bidi w:val="0"/>
        <w:ind w:firstLine="480" w:firstLineChars="200"/>
        <w:rPr>
          <w:rFonts w:hint="eastAsia"/>
          <w:lang w:val="en-US" w:eastAsia="zh-CN"/>
        </w:rPr>
      </w:pPr>
      <w:r>
        <w:rPr>
          <w:rFonts w:hint="eastAsia"/>
          <w:lang w:val="en-US" w:eastAsia="zh-CN"/>
        </w:rPr>
        <w:t>根据《环境影响评价技术导则 土壤环境（试行）》（HJ 964-2018）附录A可知，本项目属于“制造 设备制造、金属制品、汽车制造及其他用品制造 有化学处理工艺的”类别，属于Ⅱ类项目，且占地457亩（30.47hm</w:t>
      </w:r>
      <w:r>
        <w:rPr>
          <w:rFonts w:hint="eastAsia"/>
          <w:vertAlign w:val="superscript"/>
          <w:lang w:val="en-US" w:eastAsia="zh-CN"/>
        </w:rPr>
        <w:t>2</w:t>
      </w:r>
      <w:r>
        <w:rPr>
          <w:rFonts w:hint="eastAsia"/>
          <w:lang w:val="en-US" w:eastAsia="zh-CN"/>
        </w:rPr>
        <w:t>），占地规模为中型，敏感程度为不敏感，根据导则判定本项目土壤评价等级为三级。</w:t>
      </w:r>
    </w:p>
    <w:p w14:paraId="35AB48F1">
      <w:pPr>
        <w:bidi w:val="0"/>
        <w:jc w:val="center"/>
        <w:rPr>
          <w:rFonts w:hint="eastAsia"/>
          <w:lang w:val="en-US" w:eastAsia="zh-CN"/>
        </w:rPr>
      </w:pPr>
      <w:r>
        <w:rPr>
          <w:rFonts w:hint="eastAsia"/>
          <w:b/>
          <w:bCs/>
          <w:lang w:val="en-US" w:eastAsia="zh-CN"/>
        </w:rPr>
        <w:t>表6.2.7-1 土壤污染影响型项目评价工作等级划分表</w:t>
      </w:r>
    </w:p>
    <w:tbl>
      <w:tblPr>
        <w:tblStyle w:val="25"/>
        <w:tblW w:w="973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18"/>
        <w:gridCol w:w="1146"/>
        <w:gridCol w:w="781"/>
        <w:gridCol w:w="782"/>
        <w:gridCol w:w="797"/>
        <w:gridCol w:w="764"/>
        <w:gridCol w:w="784"/>
        <w:gridCol w:w="788"/>
        <w:gridCol w:w="782"/>
        <w:gridCol w:w="784"/>
        <w:gridCol w:w="813"/>
      </w:tblGrid>
      <w:tr w14:paraId="150C3F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4" w:hRule="atLeast"/>
        </w:trPr>
        <w:tc>
          <w:tcPr>
            <w:tcW w:w="1518" w:type="dxa"/>
            <w:vMerge w:val="restart"/>
            <w:tcBorders>
              <w:bottom w:val="nil"/>
              <w:right w:val="nil"/>
            </w:tcBorders>
            <w:vAlign w:val="top"/>
          </w:tcPr>
          <w:p w14:paraId="7D261C7B">
            <w:pPr>
              <w:widowControl w:val="0"/>
              <w:bidi w:val="0"/>
              <w:spacing w:line="240" w:lineRule="auto"/>
              <w:jc w:val="both"/>
              <w:rPr>
                <w:rFonts w:hint="eastAsia"/>
                <w:b/>
                <w:bCs/>
                <w:sz w:val="21"/>
                <w:szCs w:val="21"/>
                <w:lang w:val="en-US" w:eastAsia="zh-CN"/>
              </w:rPr>
            </w:pPr>
            <w:r>
              <w:rPr>
                <w:rFonts w:hint="eastAsia"/>
                <w:b/>
                <w:bCs/>
                <w:sz w:val="21"/>
                <w:szCs w:val="21"/>
                <w:lang w:val="en-US" w:eastAsia="zh-CN"/>
              </w:rPr>
              <w:drawing>
                <wp:anchor distT="0" distB="0" distL="0" distR="0" simplePos="0" relativeHeight="251666432" behindDoc="1" locked="0" layoutInCell="1" allowOverlap="1">
                  <wp:simplePos x="0" y="0"/>
                  <wp:positionH relativeFrom="column">
                    <wp:posOffset>-1270</wp:posOffset>
                  </wp:positionH>
                  <wp:positionV relativeFrom="paragraph">
                    <wp:posOffset>-1270</wp:posOffset>
                  </wp:positionV>
                  <wp:extent cx="1688465" cy="707390"/>
                  <wp:effectExtent l="0" t="0" r="6985" b="16510"/>
                  <wp:wrapNone/>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34"/>
                          <a:stretch>
                            <a:fillRect/>
                          </a:stretch>
                        </pic:blipFill>
                        <pic:spPr>
                          <a:xfrm>
                            <a:off x="0" y="0"/>
                            <a:ext cx="1688782" cy="707707"/>
                          </a:xfrm>
                          <a:prstGeom prst="rect">
                            <a:avLst/>
                          </a:prstGeom>
                        </pic:spPr>
                      </pic:pic>
                    </a:graphicData>
                  </a:graphic>
                </wp:anchor>
              </w:drawing>
            </w:r>
            <w:r>
              <w:rPr>
                <w:rFonts w:hint="eastAsia"/>
                <w:b/>
                <w:bCs/>
                <w:sz w:val="21"/>
                <w:szCs w:val="21"/>
                <w:lang w:val="en-US" w:eastAsia="zh-CN"/>
              </w:rPr>
              <w:t>评价工作等级</w:t>
            </w:r>
          </w:p>
          <w:p w14:paraId="105F349F">
            <w:pPr>
              <w:widowControl w:val="0"/>
              <w:bidi w:val="0"/>
              <w:spacing w:line="240" w:lineRule="auto"/>
              <w:jc w:val="both"/>
              <w:rPr>
                <w:rFonts w:hint="eastAsia"/>
                <w:b/>
                <w:bCs/>
                <w:sz w:val="21"/>
                <w:szCs w:val="21"/>
                <w:lang w:val="en-US" w:eastAsia="zh-CN"/>
              </w:rPr>
            </w:pPr>
          </w:p>
          <w:p w14:paraId="7822BE1D">
            <w:pPr>
              <w:widowControl w:val="0"/>
              <w:bidi w:val="0"/>
              <w:spacing w:line="240" w:lineRule="auto"/>
              <w:jc w:val="both"/>
              <w:rPr>
                <w:rFonts w:hint="eastAsia"/>
                <w:b/>
                <w:bCs/>
                <w:sz w:val="21"/>
                <w:szCs w:val="21"/>
                <w:lang w:val="en-US" w:eastAsia="zh-CN"/>
              </w:rPr>
            </w:pPr>
            <w:r>
              <w:rPr>
                <w:rFonts w:hint="eastAsia"/>
                <w:b/>
                <w:bCs/>
                <w:sz w:val="21"/>
                <w:szCs w:val="21"/>
                <w:lang w:val="en-US" w:eastAsia="zh-CN"/>
              </w:rPr>
              <w:t>占地面积</w:t>
            </w:r>
          </w:p>
        </w:tc>
        <w:tc>
          <w:tcPr>
            <w:tcW w:w="1146" w:type="dxa"/>
            <w:vMerge w:val="restart"/>
            <w:tcBorders>
              <w:left w:val="nil"/>
              <w:bottom w:val="nil"/>
            </w:tcBorders>
            <w:vAlign w:val="top"/>
          </w:tcPr>
          <w:p w14:paraId="05539529">
            <w:pPr>
              <w:widowControl w:val="0"/>
              <w:bidi w:val="0"/>
              <w:spacing w:line="240" w:lineRule="auto"/>
              <w:jc w:val="both"/>
              <w:rPr>
                <w:rFonts w:hint="eastAsia"/>
                <w:b/>
                <w:bCs/>
                <w:sz w:val="21"/>
                <w:szCs w:val="21"/>
                <w:lang w:val="en-US" w:eastAsia="zh-CN"/>
              </w:rPr>
            </w:pPr>
            <w:r>
              <w:rPr>
                <w:rFonts w:hint="eastAsia"/>
                <w:b/>
                <w:bCs/>
                <w:sz w:val="21"/>
                <w:szCs w:val="21"/>
                <w:lang w:val="en-US" w:eastAsia="zh-CN"/>
              </w:rPr>
              <w:t>敏感程度</w:t>
            </w:r>
          </w:p>
        </w:tc>
        <w:tc>
          <w:tcPr>
            <w:tcW w:w="2360" w:type="dxa"/>
            <w:gridSpan w:val="3"/>
            <w:vAlign w:val="center"/>
          </w:tcPr>
          <w:p w14:paraId="4912D08F">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Ⅰ类</w:t>
            </w:r>
          </w:p>
        </w:tc>
        <w:tc>
          <w:tcPr>
            <w:tcW w:w="2336" w:type="dxa"/>
            <w:gridSpan w:val="3"/>
            <w:vAlign w:val="center"/>
          </w:tcPr>
          <w:p w14:paraId="15E82EA5">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Ⅱ类</w:t>
            </w:r>
          </w:p>
        </w:tc>
        <w:tc>
          <w:tcPr>
            <w:tcW w:w="2379" w:type="dxa"/>
            <w:gridSpan w:val="3"/>
            <w:vAlign w:val="center"/>
          </w:tcPr>
          <w:p w14:paraId="62913A26">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Ⅲ类</w:t>
            </w:r>
          </w:p>
        </w:tc>
      </w:tr>
      <w:tr w14:paraId="7A0134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1518" w:type="dxa"/>
            <w:vMerge w:val="continue"/>
            <w:tcBorders>
              <w:top w:val="nil"/>
              <w:right w:val="nil"/>
            </w:tcBorders>
            <w:vAlign w:val="center"/>
          </w:tcPr>
          <w:p w14:paraId="3294392A">
            <w:pPr>
              <w:widowControl w:val="0"/>
              <w:bidi w:val="0"/>
              <w:spacing w:line="240" w:lineRule="auto"/>
              <w:jc w:val="center"/>
              <w:rPr>
                <w:rFonts w:hint="eastAsia"/>
                <w:b/>
                <w:bCs/>
                <w:sz w:val="21"/>
                <w:szCs w:val="21"/>
                <w:lang w:val="en-US" w:eastAsia="zh-CN"/>
              </w:rPr>
            </w:pPr>
          </w:p>
        </w:tc>
        <w:tc>
          <w:tcPr>
            <w:tcW w:w="1146" w:type="dxa"/>
            <w:vMerge w:val="continue"/>
            <w:tcBorders>
              <w:top w:val="nil"/>
              <w:left w:val="nil"/>
            </w:tcBorders>
            <w:vAlign w:val="center"/>
          </w:tcPr>
          <w:p w14:paraId="2CAEAA2F">
            <w:pPr>
              <w:widowControl w:val="0"/>
              <w:bidi w:val="0"/>
              <w:spacing w:line="240" w:lineRule="auto"/>
              <w:jc w:val="center"/>
              <w:rPr>
                <w:rFonts w:hint="eastAsia"/>
                <w:b/>
                <w:bCs/>
                <w:sz w:val="21"/>
                <w:szCs w:val="21"/>
                <w:lang w:val="en-US" w:eastAsia="zh-CN"/>
              </w:rPr>
            </w:pPr>
          </w:p>
        </w:tc>
        <w:tc>
          <w:tcPr>
            <w:tcW w:w="781" w:type="dxa"/>
            <w:vAlign w:val="center"/>
          </w:tcPr>
          <w:p w14:paraId="653BAD7B">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大</w:t>
            </w:r>
          </w:p>
        </w:tc>
        <w:tc>
          <w:tcPr>
            <w:tcW w:w="782" w:type="dxa"/>
            <w:vAlign w:val="center"/>
          </w:tcPr>
          <w:p w14:paraId="68D7C17D">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中</w:t>
            </w:r>
          </w:p>
        </w:tc>
        <w:tc>
          <w:tcPr>
            <w:tcW w:w="797" w:type="dxa"/>
            <w:vAlign w:val="center"/>
          </w:tcPr>
          <w:p w14:paraId="27C90AAC">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小</w:t>
            </w:r>
          </w:p>
        </w:tc>
        <w:tc>
          <w:tcPr>
            <w:tcW w:w="764" w:type="dxa"/>
            <w:vAlign w:val="center"/>
          </w:tcPr>
          <w:p w14:paraId="1EC82111">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大</w:t>
            </w:r>
          </w:p>
        </w:tc>
        <w:tc>
          <w:tcPr>
            <w:tcW w:w="784" w:type="dxa"/>
            <w:vAlign w:val="center"/>
          </w:tcPr>
          <w:p w14:paraId="37A037E4">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中</w:t>
            </w:r>
          </w:p>
        </w:tc>
        <w:tc>
          <w:tcPr>
            <w:tcW w:w="788" w:type="dxa"/>
            <w:vAlign w:val="center"/>
          </w:tcPr>
          <w:p w14:paraId="13EEF7DC">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小</w:t>
            </w:r>
          </w:p>
        </w:tc>
        <w:tc>
          <w:tcPr>
            <w:tcW w:w="782" w:type="dxa"/>
            <w:vAlign w:val="center"/>
          </w:tcPr>
          <w:p w14:paraId="77AA534C">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大</w:t>
            </w:r>
          </w:p>
        </w:tc>
        <w:tc>
          <w:tcPr>
            <w:tcW w:w="784" w:type="dxa"/>
            <w:vAlign w:val="center"/>
          </w:tcPr>
          <w:p w14:paraId="05A77851">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中</w:t>
            </w:r>
          </w:p>
        </w:tc>
        <w:tc>
          <w:tcPr>
            <w:tcW w:w="813" w:type="dxa"/>
            <w:vAlign w:val="center"/>
          </w:tcPr>
          <w:p w14:paraId="1085DF17">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小</w:t>
            </w:r>
          </w:p>
        </w:tc>
      </w:tr>
      <w:tr w14:paraId="66D2BE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2664" w:type="dxa"/>
            <w:gridSpan w:val="2"/>
            <w:vAlign w:val="center"/>
          </w:tcPr>
          <w:p w14:paraId="1DF22D28">
            <w:pPr>
              <w:widowControl w:val="0"/>
              <w:bidi w:val="0"/>
              <w:spacing w:line="240" w:lineRule="auto"/>
              <w:jc w:val="center"/>
              <w:rPr>
                <w:rFonts w:hint="eastAsia"/>
                <w:sz w:val="21"/>
                <w:szCs w:val="21"/>
                <w:lang w:val="en-US" w:eastAsia="zh-CN"/>
              </w:rPr>
            </w:pPr>
            <w:r>
              <w:rPr>
                <w:rFonts w:hint="eastAsia"/>
                <w:sz w:val="21"/>
                <w:szCs w:val="21"/>
                <w:lang w:val="en-US" w:eastAsia="zh-CN"/>
              </w:rPr>
              <w:t>敏感</w:t>
            </w:r>
          </w:p>
        </w:tc>
        <w:tc>
          <w:tcPr>
            <w:tcW w:w="781" w:type="dxa"/>
            <w:vAlign w:val="center"/>
          </w:tcPr>
          <w:p w14:paraId="4A99CE9D">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82" w:type="dxa"/>
            <w:vAlign w:val="center"/>
          </w:tcPr>
          <w:p w14:paraId="513122CA">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97" w:type="dxa"/>
            <w:vAlign w:val="center"/>
          </w:tcPr>
          <w:p w14:paraId="4166861D">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64" w:type="dxa"/>
            <w:vAlign w:val="center"/>
          </w:tcPr>
          <w:p w14:paraId="463B8222">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4" w:type="dxa"/>
            <w:vAlign w:val="center"/>
          </w:tcPr>
          <w:p w14:paraId="79BFEAA0">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8" w:type="dxa"/>
            <w:vAlign w:val="center"/>
          </w:tcPr>
          <w:p w14:paraId="32740F75">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2" w:type="dxa"/>
            <w:vAlign w:val="center"/>
          </w:tcPr>
          <w:p w14:paraId="69BB11C4">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4" w:type="dxa"/>
            <w:vAlign w:val="center"/>
          </w:tcPr>
          <w:p w14:paraId="0401E49C">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813" w:type="dxa"/>
            <w:vAlign w:val="center"/>
          </w:tcPr>
          <w:p w14:paraId="2B345D50">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r>
      <w:tr w14:paraId="40C242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2" w:hRule="atLeast"/>
        </w:trPr>
        <w:tc>
          <w:tcPr>
            <w:tcW w:w="2664" w:type="dxa"/>
            <w:gridSpan w:val="2"/>
            <w:vAlign w:val="center"/>
          </w:tcPr>
          <w:p w14:paraId="2B44C620">
            <w:pPr>
              <w:widowControl w:val="0"/>
              <w:bidi w:val="0"/>
              <w:spacing w:line="240" w:lineRule="auto"/>
              <w:jc w:val="center"/>
              <w:rPr>
                <w:rFonts w:hint="eastAsia"/>
                <w:sz w:val="21"/>
                <w:szCs w:val="21"/>
                <w:lang w:val="en-US" w:eastAsia="zh-CN"/>
              </w:rPr>
            </w:pPr>
            <w:r>
              <w:rPr>
                <w:rFonts w:hint="eastAsia"/>
                <w:sz w:val="21"/>
                <w:szCs w:val="21"/>
                <w:lang w:val="en-US" w:eastAsia="zh-CN"/>
              </w:rPr>
              <w:t>较敏感</w:t>
            </w:r>
          </w:p>
        </w:tc>
        <w:tc>
          <w:tcPr>
            <w:tcW w:w="781" w:type="dxa"/>
            <w:vAlign w:val="center"/>
          </w:tcPr>
          <w:p w14:paraId="602F57B4">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82" w:type="dxa"/>
            <w:vAlign w:val="center"/>
          </w:tcPr>
          <w:p w14:paraId="06B91AA6">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97" w:type="dxa"/>
            <w:vAlign w:val="center"/>
          </w:tcPr>
          <w:p w14:paraId="7156F6E9">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64" w:type="dxa"/>
            <w:vAlign w:val="center"/>
          </w:tcPr>
          <w:p w14:paraId="7F4C0DE8">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4" w:type="dxa"/>
            <w:vAlign w:val="center"/>
          </w:tcPr>
          <w:p w14:paraId="7DF8E9FB">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8" w:type="dxa"/>
            <w:vAlign w:val="center"/>
          </w:tcPr>
          <w:p w14:paraId="4184E0A1">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2" w:type="dxa"/>
            <w:vAlign w:val="center"/>
          </w:tcPr>
          <w:p w14:paraId="03F4CEC2">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4" w:type="dxa"/>
            <w:vAlign w:val="center"/>
          </w:tcPr>
          <w:p w14:paraId="4A9EE3EA">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813" w:type="dxa"/>
            <w:vAlign w:val="center"/>
          </w:tcPr>
          <w:p w14:paraId="513A4AB5">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r>
      <w:tr w14:paraId="1FC295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1" w:hRule="atLeast"/>
        </w:trPr>
        <w:tc>
          <w:tcPr>
            <w:tcW w:w="2664" w:type="dxa"/>
            <w:gridSpan w:val="2"/>
            <w:vAlign w:val="center"/>
          </w:tcPr>
          <w:p w14:paraId="1E10346F">
            <w:pPr>
              <w:widowControl w:val="0"/>
              <w:bidi w:val="0"/>
              <w:spacing w:line="240" w:lineRule="auto"/>
              <w:jc w:val="center"/>
              <w:rPr>
                <w:rFonts w:hint="eastAsia"/>
                <w:sz w:val="21"/>
                <w:szCs w:val="21"/>
                <w:lang w:val="en-US" w:eastAsia="zh-CN"/>
              </w:rPr>
            </w:pPr>
            <w:r>
              <w:rPr>
                <w:rFonts w:hint="eastAsia"/>
                <w:sz w:val="21"/>
                <w:szCs w:val="21"/>
                <w:lang w:val="en-US" w:eastAsia="zh-CN"/>
              </w:rPr>
              <w:t>不敏感</w:t>
            </w:r>
          </w:p>
        </w:tc>
        <w:tc>
          <w:tcPr>
            <w:tcW w:w="781" w:type="dxa"/>
            <w:vAlign w:val="center"/>
          </w:tcPr>
          <w:p w14:paraId="7B407208">
            <w:pPr>
              <w:widowControl w:val="0"/>
              <w:bidi w:val="0"/>
              <w:spacing w:line="240" w:lineRule="auto"/>
              <w:jc w:val="center"/>
              <w:rPr>
                <w:rFonts w:hint="eastAsia"/>
                <w:sz w:val="21"/>
                <w:szCs w:val="21"/>
                <w:lang w:val="en-US" w:eastAsia="zh-CN"/>
              </w:rPr>
            </w:pPr>
            <w:r>
              <w:rPr>
                <w:rFonts w:hint="eastAsia"/>
                <w:sz w:val="21"/>
                <w:szCs w:val="21"/>
                <w:lang w:val="en-US" w:eastAsia="zh-CN"/>
              </w:rPr>
              <w:t>一级</w:t>
            </w:r>
          </w:p>
        </w:tc>
        <w:tc>
          <w:tcPr>
            <w:tcW w:w="782" w:type="dxa"/>
            <w:vAlign w:val="center"/>
          </w:tcPr>
          <w:p w14:paraId="5231FCD2">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97" w:type="dxa"/>
            <w:vAlign w:val="center"/>
          </w:tcPr>
          <w:p w14:paraId="0E7F984C">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64" w:type="dxa"/>
            <w:vAlign w:val="center"/>
          </w:tcPr>
          <w:p w14:paraId="73828106">
            <w:pPr>
              <w:widowControl w:val="0"/>
              <w:bidi w:val="0"/>
              <w:spacing w:line="240" w:lineRule="auto"/>
              <w:jc w:val="center"/>
              <w:rPr>
                <w:rFonts w:hint="eastAsia"/>
                <w:sz w:val="21"/>
                <w:szCs w:val="21"/>
                <w:lang w:val="en-US" w:eastAsia="zh-CN"/>
              </w:rPr>
            </w:pPr>
            <w:r>
              <w:rPr>
                <w:rFonts w:hint="eastAsia"/>
                <w:sz w:val="21"/>
                <w:szCs w:val="21"/>
                <w:lang w:val="en-US" w:eastAsia="zh-CN"/>
              </w:rPr>
              <w:t>二级</w:t>
            </w:r>
          </w:p>
        </w:tc>
        <w:tc>
          <w:tcPr>
            <w:tcW w:w="784" w:type="dxa"/>
            <w:shd w:val="clear" w:color="auto" w:fill="A4A4A4"/>
            <w:vAlign w:val="center"/>
          </w:tcPr>
          <w:p w14:paraId="0B074443">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8" w:type="dxa"/>
            <w:vAlign w:val="center"/>
          </w:tcPr>
          <w:p w14:paraId="5CD9A27F">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2" w:type="dxa"/>
            <w:vAlign w:val="center"/>
          </w:tcPr>
          <w:p w14:paraId="215EACF1">
            <w:pPr>
              <w:widowControl w:val="0"/>
              <w:bidi w:val="0"/>
              <w:spacing w:line="240" w:lineRule="auto"/>
              <w:jc w:val="center"/>
              <w:rPr>
                <w:rFonts w:hint="eastAsia"/>
                <w:sz w:val="21"/>
                <w:szCs w:val="21"/>
                <w:lang w:val="en-US" w:eastAsia="zh-CN"/>
              </w:rPr>
            </w:pPr>
            <w:r>
              <w:rPr>
                <w:rFonts w:hint="eastAsia"/>
                <w:sz w:val="21"/>
                <w:szCs w:val="21"/>
                <w:lang w:val="en-US" w:eastAsia="zh-CN"/>
              </w:rPr>
              <w:t>三级</w:t>
            </w:r>
          </w:p>
        </w:tc>
        <w:tc>
          <w:tcPr>
            <w:tcW w:w="784" w:type="dxa"/>
            <w:vAlign w:val="center"/>
          </w:tcPr>
          <w:p w14:paraId="6F1517BA">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813" w:type="dxa"/>
            <w:vAlign w:val="center"/>
          </w:tcPr>
          <w:p w14:paraId="7C896924">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r>
      <w:tr w14:paraId="0B2E55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9739" w:type="dxa"/>
            <w:gridSpan w:val="11"/>
            <w:vAlign w:val="center"/>
          </w:tcPr>
          <w:p w14:paraId="613B23A3">
            <w:pPr>
              <w:widowControl w:val="0"/>
              <w:bidi w:val="0"/>
              <w:spacing w:line="240" w:lineRule="auto"/>
              <w:jc w:val="center"/>
              <w:rPr>
                <w:rFonts w:hint="eastAsia"/>
                <w:sz w:val="21"/>
                <w:szCs w:val="21"/>
                <w:lang w:val="en-US" w:eastAsia="zh-CN"/>
              </w:rPr>
            </w:pPr>
            <w:r>
              <w:rPr>
                <w:rFonts w:hint="eastAsia"/>
                <w:sz w:val="21"/>
                <w:szCs w:val="21"/>
                <w:lang w:val="en-US" w:eastAsia="zh-CN"/>
              </w:rPr>
              <w:t>注：“-”表示可不开展土壤环境影响评价工作</w:t>
            </w:r>
          </w:p>
        </w:tc>
      </w:tr>
    </w:tbl>
    <w:p w14:paraId="65F584A6">
      <w:pPr>
        <w:bidi w:val="0"/>
        <w:rPr>
          <w:rFonts w:hint="eastAsia"/>
          <w:b/>
          <w:bCs/>
          <w:lang w:val="en-US" w:eastAsia="zh-CN"/>
        </w:rPr>
      </w:pPr>
      <w:r>
        <w:rPr>
          <w:rFonts w:hint="eastAsia"/>
          <w:b/>
          <w:bCs/>
          <w:lang w:val="en-US" w:eastAsia="zh-CN"/>
        </w:rPr>
        <w:t>6.2.7.2 评价范围内地利用情况</w:t>
      </w:r>
    </w:p>
    <w:p w14:paraId="23DED0D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本项目位于合肥循环经济示范园龙兴大道与乳泉路交口东北角，属于工业用地，项目所在地周边 50m 范围均为工业用地。</w:t>
      </w:r>
    </w:p>
    <w:p w14:paraId="0043C677">
      <w:pPr>
        <w:keepNext w:val="0"/>
        <w:keepLines w:val="0"/>
        <w:pageBreakBefore w:val="0"/>
        <w:widowControl/>
        <w:kinsoku/>
        <w:wordWrap/>
        <w:overflowPunct/>
        <w:topLinePunct w:val="0"/>
        <w:autoSpaceDE/>
        <w:autoSpaceDN/>
        <w:bidi w:val="0"/>
        <w:adjustRightInd/>
        <w:snapToGrid/>
        <w:textAlignment w:val="auto"/>
        <w:rPr>
          <w:rFonts w:hint="eastAsia"/>
          <w:b/>
          <w:bCs/>
          <w:lang w:val="en-US" w:eastAsia="zh-CN"/>
        </w:rPr>
      </w:pPr>
      <w:r>
        <w:rPr>
          <w:rFonts w:hint="eastAsia"/>
          <w:b/>
          <w:bCs/>
          <w:lang w:val="en-US" w:eastAsia="zh-CN"/>
        </w:rPr>
        <w:t>6.2.7.3 评价时段</w:t>
      </w:r>
    </w:p>
    <w:p w14:paraId="75C1890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根据建设项目土壤环境影响识别结果，项目重点预测时段为运营期。</w:t>
      </w:r>
    </w:p>
    <w:p w14:paraId="2F1DD5D9">
      <w:pPr>
        <w:bidi w:val="0"/>
        <w:rPr>
          <w:rFonts w:hint="eastAsia"/>
          <w:b/>
          <w:bCs/>
          <w:lang w:val="en-US" w:eastAsia="zh-CN"/>
        </w:rPr>
      </w:pPr>
      <w:r>
        <w:rPr>
          <w:rFonts w:hint="eastAsia"/>
          <w:b/>
          <w:bCs/>
          <w:lang w:val="en-US" w:eastAsia="zh-CN"/>
        </w:rPr>
        <w:t>6.2.7.4 土壤污染途径分析</w:t>
      </w:r>
    </w:p>
    <w:p w14:paraId="0212E2D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本项目为污染影响型建设项目，不涉及施工期土壤环境影响，重点分析为运营期对项目地及周边区域土壤环境的影响。</w:t>
      </w:r>
    </w:p>
    <w:p w14:paraId="694E79A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（1）大气沉降型：根据项目工程分析，项目运营期排放的废气是 HF、HCl 、氯气、颗粒物和非甲烷总烃等，不涉及大气污染物沉降污染因子，因此，运营期可以不考虑大气沉降对区域土壤环境产生的影响。</w:t>
      </w:r>
    </w:p>
    <w:p w14:paraId="69A3E14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（2）地表漫流型：项目周边距离最近地表水店埠河5457m，位于本项目下游，中间隔住宅区、城市道路，故运营期不考虑地表漫流对区域土壤环境产生的影响。</w:t>
      </w:r>
    </w:p>
    <w:p w14:paraId="4F7515AA">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垂直入渗性：本项目工艺废水和废气治理过程中产生的浓碱废水依托现有除氟系统预处理，废气处理装置产生的高氨废水依托现有生化系统预处理，预处理后废水与纯水制备浓水和经化粪池处理的生活污水一起排入市政污水管网接入合肥循环经济示范园第二污水处理厂集中处理，处理达标后排入店埠河。污水处理站采取分区防渗措施处理后，污水不会进入土壤，项目主要考虑污水处理站发生事故防渗层破损从而事故水垂直入渗引起的土壤污染。</w:t>
      </w:r>
    </w:p>
    <w:p w14:paraId="1CEE3AEC">
      <w:pPr>
        <w:bidi w:val="0"/>
        <w:rPr>
          <w:rFonts w:hint="eastAsia"/>
          <w:b/>
          <w:bCs/>
          <w:lang w:val="en-US" w:eastAsia="zh-CN"/>
        </w:rPr>
      </w:pPr>
      <w:r>
        <w:rPr>
          <w:rFonts w:hint="eastAsia"/>
          <w:b/>
          <w:bCs/>
          <w:lang w:val="en-US" w:eastAsia="zh-CN"/>
        </w:rPr>
        <w:t>6.2.7.5 预测与评价方法</w:t>
      </w:r>
    </w:p>
    <w:p w14:paraId="5042EBB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本项目土壤评价等级为三级，采用类比分析的方法进行预测。</w:t>
      </w:r>
    </w:p>
    <w:p w14:paraId="41BF79EF">
      <w:pPr>
        <w:bidi w:val="0"/>
        <w:rPr>
          <w:rFonts w:hint="eastAsia"/>
          <w:b/>
          <w:bCs/>
          <w:lang w:val="en-US" w:eastAsia="zh-CN"/>
        </w:rPr>
      </w:pPr>
      <w:r>
        <w:rPr>
          <w:rFonts w:hint="eastAsia"/>
          <w:b/>
          <w:bCs/>
          <w:lang w:val="en-US" w:eastAsia="zh-CN"/>
        </w:rPr>
        <w:t>6.2.7.6 预测评价结果</w:t>
      </w:r>
    </w:p>
    <w:p w14:paraId="10F77C2F">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土壤是连接有机界与无机界的重要枢纽，是人类生存的重要物质基础。污染物一旦进入土壤，就变成影响一切生物循环的一部分，影响着人类的健康和生命。特别是重金属元素和难降解的有机污染物，它们对土壤污染具有长期性、隐蔽性和积累性等特点，本项目运营期均不涉及重金属和难降解挥发性有机污染物。</w:t>
      </w:r>
    </w:p>
    <w:p w14:paraId="293B3B1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根据本项目的特点，本工程对土壤的影响表现在污水渗漏的污染物对土壤质地性状的影响，土壤的影响主要是通过长期累积，通过不断渗透入土壤层，从而影响土壤质地，改变土壤质地的功能。</w:t>
      </w:r>
    </w:p>
    <w:p w14:paraId="33E25B54">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本项目收集的废水中主要为处理达标的工业废水，不涉及其他有毒有害物质含量较低。</w:t>
      </w:r>
    </w:p>
    <w:p w14:paraId="20CBAFAA">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已采取防渗措施，满足要求。根据土壤环境现状监测数据可知，项目区域土壤环境质量良好。类比《安徽晶科能源有限公司新型太阳能高效电池片项目二期工程环境影响报告书》的生产工艺、采取措施可知，本项目在采取有效的土壤防护措施和开展土壤环境定期跟踪监测后，不会对区域土壤产生明显影响，不会影响区域土壤的现状使用功能。因此，项目运营期对评价范围内土壤环境影响较小。</w:t>
      </w:r>
    </w:p>
    <w:p w14:paraId="79A6C1A6">
      <w:pPr>
        <w:bidi w:val="0"/>
        <w:rPr>
          <w:rFonts w:hint="eastAsia"/>
          <w:b/>
          <w:bCs/>
          <w:lang w:val="en-US" w:eastAsia="zh-CN"/>
        </w:rPr>
      </w:pPr>
      <w:r>
        <w:rPr>
          <w:rFonts w:hint="eastAsia"/>
          <w:b/>
          <w:bCs/>
          <w:lang w:val="en-US" w:eastAsia="zh-CN"/>
        </w:rPr>
        <w:t>6.2.7.7 评价结论</w:t>
      </w:r>
    </w:p>
    <w:p w14:paraId="07EDEA3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（1）监测结果表明，监测点各监测因子均满足《土壤环境质量 建设用地土壤污染风险管控标准（试行）》（GB36600-2018）中第二类用地筛选值限值要求，土壤环境质量较好。</w:t>
      </w:r>
    </w:p>
    <w:p w14:paraId="34D1E5A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（2）本项目运营期在采取环评提出的各项措施下，污水处理站渗漏对土壤环境的影响较小。项目的建设对项目区域土壤环境影响较小，项目建设是可行的。</w:t>
      </w:r>
    </w:p>
    <w:p w14:paraId="4318B66C">
      <w:pPr>
        <w:bidi w:val="0"/>
        <w:jc w:val="center"/>
        <w:rPr>
          <w:rFonts w:hint="eastAsia"/>
          <w:b/>
          <w:bCs/>
          <w:lang w:val="en-US" w:eastAsia="zh-CN"/>
        </w:rPr>
      </w:pPr>
      <w:r>
        <w:rPr>
          <w:rFonts w:hint="eastAsia"/>
          <w:b/>
          <w:bCs/>
          <w:lang w:val="en-US" w:eastAsia="zh-CN"/>
        </w:rPr>
        <w:t>表6.6.7-2 土壤环境影响评价自查表</w:t>
      </w:r>
    </w:p>
    <w:tbl>
      <w:tblPr>
        <w:tblStyle w:val="25"/>
        <w:tblW w:w="9543" w:type="dxa"/>
        <w:tblInd w:w="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45"/>
        <w:gridCol w:w="1718"/>
        <w:gridCol w:w="1452"/>
        <w:gridCol w:w="1323"/>
        <w:gridCol w:w="1327"/>
        <w:gridCol w:w="589"/>
        <w:gridCol w:w="1498"/>
        <w:gridCol w:w="1191"/>
      </w:tblGrid>
      <w:tr w14:paraId="459FB9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0" w:hRule="atLeast"/>
        </w:trPr>
        <w:tc>
          <w:tcPr>
            <w:tcW w:w="2163" w:type="dxa"/>
            <w:gridSpan w:val="2"/>
            <w:tcBorders>
              <w:top w:val="single" w:color="000000" w:sz="4" w:space="0"/>
              <w:left w:val="single" w:color="000000" w:sz="4" w:space="0"/>
              <w:bottom w:val="single" w:color="000000" w:sz="4" w:space="0"/>
            </w:tcBorders>
            <w:vAlign w:val="center"/>
          </w:tcPr>
          <w:p w14:paraId="02F57E20">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工作内容</w:t>
            </w:r>
          </w:p>
        </w:tc>
        <w:tc>
          <w:tcPr>
            <w:tcW w:w="6189" w:type="dxa"/>
            <w:gridSpan w:val="5"/>
            <w:tcBorders>
              <w:top w:val="single" w:color="000000" w:sz="4" w:space="0"/>
              <w:bottom w:val="single" w:color="000000" w:sz="4" w:space="0"/>
            </w:tcBorders>
            <w:vAlign w:val="center"/>
          </w:tcPr>
          <w:p w14:paraId="78163F45">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完成情况</w:t>
            </w:r>
          </w:p>
        </w:tc>
        <w:tc>
          <w:tcPr>
            <w:tcW w:w="1191" w:type="dxa"/>
            <w:tcBorders>
              <w:top w:val="single" w:color="000000" w:sz="4" w:space="0"/>
              <w:bottom w:val="single" w:color="000000" w:sz="4" w:space="0"/>
              <w:right w:val="single" w:color="000000" w:sz="4" w:space="0"/>
            </w:tcBorders>
            <w:vAlign w:val="center"/>
          </w:tcPr>
          <w:p w14:paraId="41E6272E">
            <w:pPr>
              <w:widowControl w:val="0"/>
              <w:bidi w:val="0"/>
              <w:spacing w:line="240" w:lineRule="auto"/>
              <w:jc w:val="center"/>
              <w:rPr>
                <w:rFonts w:hint="eastAsia"/>
                <w:b/>
                <w:bCs/>
                <w:sz w:val="21"/>
                <w:szCs w:val="21"/>
                <w:lang w:val="en-US" w:eastAsia="zh-CN"/>
              </w:rPr>
            </w:pPr>
            <w:r>
              <w:rPr>
                <w:rFonts w:hint="eastAsia"/>
                <w:b/>
                <w:bCs/>
                <w:sz w:val="21"/>
                <w:szCs w:val="21"/>
                <w:lang w:val="en-US" w:eastAsia="zh-CN"/>
              </w:rPr>
              <w:t>备注</w:t>
            </w:r>
          </w:p>
        </w:tc>
      </w:tr>
      <w:tr w14:paraId="1DDB14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2" w:hRule="atLeast"/>
        </w:trPr>
        <w:tc>
          <w:tcPr>
            <w:tcW w:w="445" w:type="dxa"/>
            <w:vMerge w:val="restart"/>
            <w:tcBorders>
              <w:top w:val="single" w:color="000000" w:sz="4" w:space="0"/>
              <w:left w:val="single" w:color="000000" w:sz="4" w:space="0"/>
              <w:bottom w:val="nil"/>
            </w:tcBorders>
            <w:textDirection w:val="tbRlV"/>
            <w:vAlign w:val="center"/>
          </w:tcPr>
          <w:p w14:paraId="1D2B3FFF">
            <w:pPr>
              <w:widowControl w:val="0"/>
              <w:bidi w:val="0"/>
              <w:spacing w:line="240" w:lineRule="auto"/>
              <w:jc w:val="center"/>
              <w:rPr>
                <w:rFonts w:hint="eastAsia"/>
                <w:sz w:val="21"/>
                <w:szCs w:val="21"/>
                <w:lang w:val="en-US" w:eastAsia="zh-CN"/>
              </w:rPr>
            </w:pPr>
            <w:r>
              <w:rPr>
                <w:rFonts w:hint="eastAsia"/>
                <w:sz w:val="21"/>
                <w:szCs w:val="21"/>
                <w:lang w:val="en-US" w:eastAsia="zh-CN"/>
              </w:rPr>
              <w:t>影 响 识 别</w:t>
            </w:r>
          </w:p>
        </w:tc>
        <w:tc>
          <w:tcPr>
            <w:tcW w:w="1718" w:type="dxa"/>
            <w:tcBorders>
              <w:top w:val="single" w:color="000000" w:sz="4" w:space="0"/>
              <w:bottom w:val="single" w:color="000000" w:sz="4" w:space="0"/>
            </w:tcBorders>
            <w:vAlign w:val="center"/>
          </w:tcPr>
          <w:p w14:paraId="7C0D3EAA">
            <w:pPr>
              <w:widowControl w:val="0"/>
              <w:bidi w:val="0"/>
              <w:spacing w:line="240" w:lineRule="auto"/>
              <w:jc w:val="center"/>
              <w:rPr>
                <w:rFonts w:hint="eastAsia"/>
                <w:sz w:val="21"/>
                <w:szCs w:val="21"/>
                <w:lang w:val="en-US" w:eastAsia="zh-CN"/>
              </w:rPr>
            </w:pPr>
            <w:r>
              <w:rPr>
                <w:rFonts w:hint="eastAsia"/>
                <w:sz w:val="21"/>
                <w:szCs w:val="21"/>
                <w:lang w:val="en-US" w:eastAsia="zh-CN"/>
              </w:rPr>
              <w:t>影响类型</w:t>
            </w:r>
          </w:p>
        </w:tc>
        <w:tc>
          <w:tcPr>
            <w:tcW w:w="6189" w:type="dxa"/>
            <w:gridSpan w:val="5"/>
            <w:tcBorders>
              <w:top w:val="single" w:color="000000" w:sz="4" w:space="0"/>
              <w:bottom w:val="single" w:color="000000" w:sz="4" w:space="0"/>
            </w:tcBorders>
            <w:vAlign w:val="center"/>
          </w:tcPr>
          <w:p w14:paraId="6A30C1F0">
            <w:pPr>
              <w:widowControl w:val="0"/>
              <w:bidi w:val="0"/>
              <w:spacing w:line="240" w:lineRule="auto"/>
              <w:jc w:val="center"/>
              <w:rPr>
                <w:rFonts w:hint="eastAsia"/>
                <w:sz w:val="21"/>
                <w:szCs w:val="21"/>
                <w:lang w:val="en-US" w:eastAsia="zh-CN"/>
              </w:rPr>
            </w:pPr>
            <w:r>
              <w:rPr>
                <w:rFonts w:hint="eastAsia"/>
                <w:sz w:val="21"/>
                <w:szCs w:val="21"/>
                <w:lang w:val="en-US" w:eastAsia="zh-CN"/>
              </w:rPr>
              <w:t>污染影响型</w:t>
            </w:r>
            <w:r>
              <w:rPr>
                <w:rFonts w:hint="eastAsia"/>
                <w:sz w:val="21"/>
                <w:szCs w:val="21"/>
                <w:lang w:val="en-US" w:eastAsia="zh-CN"/>
              </w:rPr>
              <w:drawing>
                <wp:inline distT="0" distB="0" distL="0" distR="0">
                  <wp:extent cx="118110" cy="146685"/>
                  <wp:effectExtent l="0" t="0" r="15240" b="508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35"/>
                          <a:stretch>
                            <a:fillRect/>
                          </a:stretch>
                        </pic:blipFill>
                        <pic:spPr>
                          <a:xfrm>
                            <a:off x="0" y="0"/>
                            <a:ext cx="118141" cy="147048"/>
                          </a:xfrm>
                          <a:prstGeom prst="rect">
                            <a:avLst/>
                          </a:prstGeom>
                        </pic:spPr>
                      </pic:pic>
                    </a:graphicData>
                  </a:graphic>
                </wp:inline>
              </w:drawing>
            </w:r>
            <w:r>
              <w:rPr>
                <w:rFonts w:hint="eastAsia"/>
                <w:sz w:val="21"/>
                <w:szCs w:val="21"/>
                <w:lang w:val="en-US" w:eastAsia="zh-CN"/>
              </w:rPr>
              <w:t>；生态影响型□ ；两种兼有□</w:t>
            </w:r>
          </w:p>
        </w:tc>
        <w:tc>
          <w:tcPr>
            <w:tcW w:w="1191" w:type="dxa"/>
            <w:tcBorders>
              <w:top w:val="single" w:color="000000" w:sz="4" w:space="0"/>
              <w:bottom w:val="single" w:color="000000" w:sz="4" w:space="0"/>
              <w:right w:val="single" w:color="000000" w:sz="4" w:space="0"/>
            </w:tcBorders>
            <w:vAlign w:val="center"/>
          </w:tcPr>
          <w:p w14:paraId="5BF095B8">
            <w:pPr>
              <w:widowControl w:val="0"/>
              <w:bidi w:val="0"/>
              <w:spacing w:line="240" w:lineRule="auto"/>
              <w:jc w:val="center"/>
              <w:rPr>
                <w:rFonts w:hint="eastAsia"/>
                <w:sz w:val="21"/>
                <w:szCs w:val="21"/>
                <w:lang w:val="en-US" w:eastAsia="zh-CN"/>
              </w:rPr>
            </w:pPr>
          </w:p>
        </w:tc>
      </w:tr>
      <w:tr w14:paraId="74EA71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8" w:hRule="atLeast"/>
        </w:trPr>
        <w:tc>
          <w:tcPr>
            <w:tcW w:w="445" w:type="dxa"/>
            <w:vMerge w:val="continue"/>
            <w:tcBorders>
              <w:top w:val="nil"/>
              <w:left w:val="single" w:color="000000" w:sz="4" w:space="0"/>
              <w:bottom w:val="nil"/>
            </w:tcBorders>
            <w:textDirection w:val="tbRlV"/>
            <w:vAlign w:val="center"/>
          </w:tcPr>
          <w:p w14:paraId="6A38D109">
            <w:pPr>
              <w:widowControl w:val="0"/>
              <w:bidi w:val="0"/>
              <w:spacing w:line="240" w:lineRule="auto"/>
              <w:jc w:val="center"/>
              <w:rPr>
                <w:rFonts w:hint="eastAsia"/>
                <w:sz w:val="21"/>
                <w:szCs w:val="21"/>
                <w:lang w:val="en-US" w:eastAsia="zh-CN"/>
              </w:rPr>
            </w:pPr>
          </w:p>
        </w:tc>
        <w:tc>
          <w:tcPr>
            <w:tcW w:w="1718" w:type="dxa"/>
            <w:tcBorders>
              <w:top w:val="single" w:color="000000" w:sz="4" w:space="0"/>
            </w:tcBorders>
            <w:vAlign w:val="center"/>
          </w:tcPr>
          <w:p w14:paraId="18EDA15C">
            <w:pPr>
              <w:widowControl w:val="0"/>
              <w:bidi w:val="0"/>
              <w:spacing w:line="240" w:lineRule="auto"/>
              <w:jc w:val="center"/>
              <w:rPr>
                <w:rFonts w:hint="eastAsia"/>
                <w:sz w:val="21"/>
                <w:szCs w:val="21"/>
                <w:lang w:val="en-US" w:eastAsia="zh-CN"/>
              </w:rPr>
            </w:pPr>
            <w:r>
              <w:rPr>
                <w:rFonts w:hint="eastAsia"/>
                <w:sz w:val="21"/>
                <w:szCs w:val="21"/>
                <w:lang w:val="en-US" w:eastAsia="zh-CN"/>
              </w:rPr>
              <w:t>土地利用类型</w:t>
            </w:r>
          </w:p>
        </w:tc>
        <w:tc>
          <w:tcPr>
            <w:tcW w:w="6189" w:type="dxa"/>
            <w:gridSpan w:val="5"/>
            <w:tcBorders>
              <w:top w:val="single" w:color="000000" w:sz="4" w:space="0"/>
            </w:tcBorders>
            <w:vAlign w:val="center"/>
          </w:tcPr>
          <w:p w14:paraId="54145B92">
            <w:pPr>
              <w:widowControl w:val="0"/>
              <w:bidi w:val="0"/>
              <w:spacing w:line="240" w:lineRule="auto"/>
              <w:jc w:val="center"/>
              <w:rPr>
                <w:rFonts w:hint="eastAsia"/>
                <w:sz w:val="21"/>
                <w:szCs w:val="21"/>
                <w:lang w:val="en-US" w:eastAsia="zh-CN"/>
              </w:rPr>
            </w:pPr>
            <w:r>
              <w:rPr>
                <w:rFonts w:hint="eastAsia"/>
                <w:sz w:val="21"/>
                <w:szCs w:val="21"/>
                <w:lang w:val="en-US" w:eastAsia="zh-CN"/>
              </w:rPr>
              <w:t>建设用地</w:t>
            </w:r>
            <w:r>
              <w:rPr>
                <w:rFonts w:hint="eastAsia"/>
                <w:sz w:val="21"/>
                <w:szCs w:val="21"/>
                <w:lang w:val="en-US" w:eastAsia="zh-CN"/>
              </w:rPr>
              <w:drawing>
                <wp:inline distT="0" distB="0" distL="0" distR="0">
                  <wp:extent cx="119380" cy="146685"/>
                  <wp:effectExtent l="0" t="0" r="13970" b="5715"/>
                  <wp:docPr id="28" name="IM 22"/>
                  <wp:cNvGraphicFramePr/>
                  <a:graphic xmlns:a="http://schemas.openxmlformats.org/drawingml/2006/main">
                    <a:graphicData uri="http://schemas.openxmlformats.org/drawingml/2006/picture">
                      <pic:pic xmlns:pic="http://schemas.openxmlformats.org/drawingml/2006/picture">
                        <pic:nvPicPr>
                          <pic:cNvPr id="28" name="IM 22"/>
                          <pic:cNvPicPr/>
                        </pic:nvPicPr>
                        <pic:blipFill>
                          <a:blip r:embed="rId36"/>
                          <a:stretch>
                            <a:fillRect/>
                          </a:stretch>
                        </pic:blipFill>
                        <pic:spPr>
                          <a:xfrm>
                            <a:off x="0" y="0"/>
                            <a:ext cx="119657" cy="147048"/>
                          </a:xfrm>
                          <a:prstGeom prst="rect">
                            <a:avLst/>
                          </a:prstGeom>
                        </pic:spPr>
                      </pic:pic>
                    </a:graphicData>
                  </a:graphic>
                </wp:inline>
              </w:drawing>
            </w:r>
            <w:r>
              <w:rPr>
                <w:rFonts w:hint="eastAsia"/>
                <w:sz w:val="21"/>
                <w:szCs w:val="21"/>
                <w:lang w:val="en-US" w:eastAsia="zh-CN"/>
              </w:rPr>
              <w:t>；农用地□ ；未利用地□</w:t>
            </w:r>
          </w:p>
        </w:tc>
        <w:tc>
          <w:tcPr>
            <w:tcW w:w="1191" w:type="dxa"/>
            <w:tcBorders>
              <w:top w:val="single" w:color="000000" w:sz="4" w:space="0"/>
              <w:right w:val="single" w:color="000000" w:sz="4" w:space="0"/>
            </w:tcBorders>
            <w:vAlign w:val="center"/>
          </w:tcPr>
          <w:p w14:paraId="58D6E895">
            <w:pPr>
              <w:widowControl w:val="0"/>
              <w:bidi w:val="0"/>
              <w:spacing w:line="240" w:lineRule="auto"/>
              <w:jc w:val="center"/>
              <w:rPr>
                <w:rFonts w:hint="eastAsia"/>
                <w:sz w:val="21"/>
                <w:szCs w:val="21"/>
                <w:lang w:val="en-US" w:eastAsia="zh-CN"/>
              </w:rPr>
            </w:pPr>
            <w:r>
              <w:rPr>
                <w:rFonts w:hint="eastAsia"/>
                <w:sz w:val="21"/>
                <w:szCs w:val="21"/>
                <w:lang w:val="en-US" w:eastAsia="zh-CN"/>
              </w:rPr>
              <w:t>土地利用类型图</w:t>
            </w:r>
          </w:p>
        </w:tc>
      </w:tr>
      <w:tr w14:paraId="3531CA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445" w:type="dxa"/>
            <w:vMerge w:val="continue"/>
            <w:tcBorders>
              <w:top w:val="nil"/>
              <w:left w:val="single" w:color="000000" w:sz="4" w:space="0"/>
              <w:bottom w:val="nil"/>
            </w:tcBorders>
            <w:textDirection w:val="tbRlV"/>
            <w:vAlign w:val="center"/>
          </w:tcPr>
          <w:p w14:paraId="50A199EA">
            <w:pPr>
              <w:widowControl w:val="0"/>
              <w:bidi w:val="0"/>
              <w:spacing w:line="240" w:lineRule="auto"/>
              <w:jc w:val="center"/>
              <w:rPr>
                <w:rFonts w:hint="eastAsia"/>
                <w:sz w:val="21"/>
                <w:szCs w:val="21"/>
                <w:lang w:val="en-US" w:eastAsia="zh-CN"/>
              </w:rPr>
            </w:pPr>
          </w:p>
        </w:tc>
        <w:tc>
          <w:tcPr>
            <w:tcW w:w="1718" w:type="dxa"/>
            <w:vAlign w:val="center"/>
          </w:tcPr>
          <w:p w14:paraId="7812D52C">
            <w:pPr>
              <w:widowControl w:val="0"/>
              <w:bidi w:val="0"/>
              <w:spacing w:line="240" w:lineRule="auto"/>
              <w:jc w:val="center"/>
              <w:rPr>
                <w:rFonts w:hint="eastAsia"/>
                <w:sz w:val="21"/>
                <w:szCs w:val="21"/>
                <w:lang w:val="en-US" w:eastAsia="zh-CN"/>
              </w:rPr>
            </w:pPr>
            <w:r>
              <w:rPr>
                <w:rFonts w:hint="eastAsia"/>
                <w:sz w:val="21"/>
                <w:szCs w:val="21"/>
                <w:lang w:val="en-US" w:eastAsia="zh-CN"/>
              </w:rPr>
              <w:t>占地规模</w:t>
            </w:r>
          </w:p>
        </w:tc>
        <w:tc>
          <w:tcPr>
            <w:tcW w:w="6189" w:type="dxa"/>
            <w:gridSpan w:val="5"/>
            <w:vAlign w:val="center"/>
          </w:tcPr>
          <w:p w14:paraId="6720480B">
            <w:pPr>
              <w:widowControl w:val="0"/>
              <w:bidi w:val="0"/>
              <w:spacing w:line="240" w:lineRule="auto"/>
              <w:jc w:val="center"/>
              <w:rPr>
                <w:rFonts w:hint="eastAsia"/>
                <w:sz w:val="21"/>
                <w:szCs w:val="21"/>
                <w:lang w:val="en-US" w:eastAsia="zh-CN"/>
              </w:rPr>
            </w:pPr>
            <w:r>
              <w:rPr>
                <w:rFonts w:hint="eastAsia"/>
                <w:sz w:val="21"/>
                <w:szCs w:val="21"/>
                <w:lang w:val="en-US" w:eastAsia="zh-CN"/>
              </w:rPr>
              <w:t>（30.47）hm2</w:t>
            </w:r>
          </w:p>
        </w:tc>
        <w:tc>
          <w:tcPr>
            <w:tcW w:w="1191" w:type="dxa"/>
            <w:tcBorders>
              <w:right w:val="single" w:color="000000" w:sz="4" w:space="0"/>
            </w:tcBorders>
            <w:vAlign w:val="center"/>
          </w:tcPr>
          <w:p w14:paraId="21EB5FD1">
            <w:pPr>
              <w:widowControl w:val="0"/>
              <w:bidi w:val="0"/>
              <w:spacing w:line="240" w:lineRule="auto"/>
              <w:jc w:val="center"/>
              <w:rPr>
                <w:rFonts w:hint="eastAsia"/>
                <w:sz w:val="21"/>
                <w:szCs w:val="21"/>
                <w:lang w:val="en-US" w:eastAsia="zh-CN"/>
              </w:rPr>
            </w:pPr>
          </w:p>
        </w:tc>
      </w:tr>
      <w:tr w14:paraId="578DCD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445" w:type="dxa"/>
            <w:vMerge w:val="continue"/>
            <w:tcBorders>
              <w:top w:val="nil"/>
              <w:left w:val="single" w:color="000000" w:sz="4" w:space="0"/>
              <w:bottom w:val="nil"/>
            </w:tcBorders>
            <w:textDirection w:val="tbRlV"/>
            <w:vAlign w:val="center"/>
          </w:tcPr>
          <w:p w14:paraId="77E269F3">
            <w:pPr>
              <w:widowControl w:val="0"/>
              <w:bidi w:val="0"/>
              <w:spacing w:line="240" w:lineRule="auto"/>
              <w:jc w:val="center"/>
              <w:rPr>
                <w:rFonts w:hint="eastAsia"/>
                <w:sz w:val="21"/>
                <w:szCs w:val="21"/>
                <w:lang w:val="en-US" w:eastAsia="zh-CN"/>
              </w:rPr>
            </w:pPr>
          </w:p>
        </w:tc>
        <w:tc>
          <w:tcPr>
            <w:tcW w:w="1718" w:type="dxa"/>
            <w:vAlign w:val="center"/>
          </w:tcPr>
          <w:p w14:paraId="5598CEA1">
            <w:pPr>
              <w:widowControl w:val="0"/>
              <w:bidi w:val="0"/>
              <w:spacing w:line="240" w:lineRule="auto"/>
              <w:jc w:val="center"/>
              <w:rPr>
                <w:rFonts w:hint="eastAsia"/>
                <w:sz w:val="21"/>
                <w:szCs w:val="21"/>
                <w:lang w:val="en-US" w:eastAsia="zh-CN"/>
              </w:rPr>
            </w:pPr>
            <w:r>
              <w:rPr>
                <w:rFonts w:hint="eastAsia"/>
                <w:sz w:val="21"/>
                <w:szCs w:val="21"/>
                <w:lang w:val="en-US" w:eastAsia="zh-CN"/>
              </w:rPr>
              <w:t>敏感目标信息</w:t>
            </w:r>
          </w:p>
        </w:tc>
        <w:tc>
          <w:tcPr>
            <w:tcW w:w="6189" w:type="dxa"/>
            <w:gridSpan w:val="5"/>
            <w:vAlign w:val="center"/>
          </w:tcPr>
          <w:p w14:paraId="526B631A">
            <w:pPr>
              <w:widowControl w:val="0"/>
              <w:bidi w:val="0"/>
              <w:spacing w:line="240" w:lineRule="auto"/>
              <w:jc w:val="center"/>
              <w:rPr>
                <w:rFonts w:hint="eastAsia"/>
                <w:sz w:val="21"/>
                <w:szCs w:val="21"/>
                <w:lang w:val="en-US" w:eastAsia="zh-CN"/>
              </w:rPr>
            </w:pPr>
            <w:r>
              <w:rPr>
                <w:rFonts w:hint="eastAsia"/>
                <w:sz w:val="21"/>
                <w:szCs w:val="21"/>
                <w:lang w:val="en-US" w:eastAsia="zh-CN"/>
              </w:rPr>
              <w:t>无</w:t>
            </w:r>
          </w:p>
        </w:tc>
        <w:tc>
          <w:tcPr>
            <w:tcW w:w="1191" w:type="dxa"/>
            <w:tcBorders>
              <w:right w:val="single" w:color="000000" w:sz="4" w:space="0"/>
            </w:tcBorders>
            <w:vAlign w:val="center"/>
          </w:tcPr>
          <w:p w14:paraId="552FC4A8">
            <w:pPr>
              <w:widowControl w:val="0"/>
              <w:bidi w:val="0"/>
              <w:spacing w:line="240" w:lineRule="auto"/>
              <w:jc w:val="center"/>
              <w:rPr>
                <w:rFonts w:hint="eastAsia"/>
                <w:sz w:val="21"/>
                <w:szCs w:val="21"/>
                <w:lang w:val="en-US" w:eastAsia="zh-CN"/>
              </w:rPr>
            </w:pPr>
          </w:p>
        </w:tc>
      </w:tr>
      <w:tr w14:paraId="131978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445" w:type="dxa"/>
            <w:vMerge w:val="continue"/>
            <w:tcBorders>
              <w:top w:val="nil"/>
              <w:left w:val="single" w:color="000000" w:sz="4" w:space="0"/>
              <w:bottom w:val="nil"/>
            </w:tcBorders>
            <w:textDirection w:val="tbRlV"/>
            <w:vAlign w:val="center"/>
          </w:tcPr>
          <w:p w14:paraId="5174C235">
            <w:pPr>
              <w:widowControl w:val="0"/>
              <w:bidi w:val="0"/>
              <w:spacing w:line="240" w:lineRule="auto"/>
              <w:jc w:val="center"/>
              <w:rPr>
                <w:rFonts w:hint="eastAsia"/>
                <w:sz w:val="21"/>
                <w:szCs w:val="21"/>
                <w:lang w:val="en-US" w:eastAsia="zh-CN"/>
              </w:rPr>
            </w:pPr>
          </w:p>
        </w:tc>
        <w:tc>
          <w:tcPr>
            <w:tcW w:w="1718" w:type="dxa"/>
            <w:vAlign w:val="center"/>
          </w:tcPr>
          <w:p w14:paraId="498EDE8D">
            <w:pPr>
              <w:widowControl w:val="0"/>
              <w:bidi w:val="0"/>
              <w:spacing w:line="240" w:lineRule="auto"/>
              <w:jc w:val="center"/>
              <w:rPr>
                <w:rFonts w:hint="eastAsia"/>
                <w:sz w:val="21"/>
                <w:szCs w:val="21"/>
                <w:lang w:val="en-US" w:eastAsia="zh-CN"/>
              </w:rPr>
            </w:pPr>
            <w:r>
              <w:rPr>
                <w:rFonts w:hint="eastAsia"/>
                <w:sz w:val="21"/>
                <w:szCs w:val="21"/>
                <w:lang w:val="en-US" w:eastAsia="zh-CN"/>
              </w:rPr>
              <w:t>影响途径</w:t>
            </w:r>
          </w:p>
        </w:tc>
        <w:tc>
          <w:tcPr>
            <w:tcW w:w="6189" w:type="dxa"/>
            <w:gridSpan w:val="5"/>
            <w:vAlign w:val="center"/>
          </w:tcPr>
          <w:p w14:paraId="70225193">
            <w:pPr>
              <w:widowControl w:val="0"/>
              <w:bidi w:val="0"/>
              <w:spacing w:line="240" w:lineRule="auto"/>
              <w:jc w:val="center"/>
              <w:rPr>
                <w:rFonts w:hint="eastAsia"/>
                <w:sz w:val="21"/>
                <w:szCs w:val="21"/>
                <w:lang w:val="en-US" w:eastAsia="zh-CN"/>
              </w:rPr>
            </w:pPr>
            <w:r>
              <w:rPr>
                <w:rFonts w:hint="eastAsia"/>
                <w:sz w:val="21"/>
                <w:szCs w:val="21"/>
                <w:lang w:val="en-US" w:eastAsia="zh-CN"/>
              </w:rPr>
              <w:t>大气沉降□ ；地面漫流□ ；垂直入渗</w:t>
            </w:r>
            <w:r>
              <w:rPr>
                <w:rFonts w:hint="eastAsia"/>
                <w:sz w:val="21"/>
                <w:szCs w:val="21"/>
                <w:lang w:val="en-US" w:eastAsia="zh-CN"/>
              </w:rPr>
              <w:drawing>
                <wp:inline distT="0" distB="0" distL="0" distR="0">
                  <wp:extent cx="118110" cy="146685"/>
                  <wp:effectExtent l="0" t="0" r="15240" b="5080"/>
                  <wp:docPr id="39" name="IM 24"/>
                  <wp:cNvGraphicFramePr/>
                  <a:graphic xmlns:a="http://schemas.openxmlformats.org/drawingml/2006/main">
                    <a:graphicData uri="http://schemas.openxmlformats.org/drawingml/2006/picture">
                      <pic:pic xmlns:pic="http://schemas.openxmlformats.org/drawingml/2006/picture">
                        <pic:nvPicPr>
                          <pic:cNvPr id="39" name="IM 24"/>
                          <pic:cNvPicPr/>
                        </pic:nvPicPr>
                        <pic:blipFill>
                          <a:blip r:embed="rId37"/>
                          <a:stretch>
                            <a:fillRect/>
                          </a:stretch>
                        </pic:blipFill>
                        <pic:spPr>
                          <a:xfrm>
                            <a:off x="0" y="0"/>
                            <a:ext cx="118140" cy="147048"/>
                          </a:xfrm>
                          <a:prstGeom prst="rect">
                            <a:avLst/>
                          </a:prstGeom>
                        </pic:spPr>
                      </pic:pic>
                    </a:graphicData>
                  </a:graphic>
                </wp:inline>
              </w:drawing>
            </w:r>
            <w:r>
              <w:rPr>
                <w:rFonts w:hint="eastAsia"/>
                <w:sz w:val="21"/>
                <w:szCs w:val="21"/>
                <w:lang w:val="en-US" w:eastAsia="zh-CN"/>
              </w:rPr>
              <w:t>；地下水位□ ；其他</w:t>
            </w:r>
          </w:p>
        </w:tc>
        <w:tc>
          <w:tcPr>
            <w:tcW w:w="1191" w:type="dxa"/>
            <w:tcBorders>
              <w:right w:val="single" w:color="000000" w:sz="4" w:space="0"/>
            </w:tcBorders>
            <w:vAlign w:val="center"/>
          </w:tcPr>
          <w:p w14:paraId="290AF80A">
            <w:pPr>
              <w:widowControl w:val="0"/>
              <w:bidi w:val="0"/>
              <w:spacing w:line="240" w:lineRule="auto"/>
              <w:jc w:val="center"/>
              <w:rPr>
                <w:rFonts w:hint="eastAsia"/>
                <w:sz w:val="21"/>
                <w:szCs w:val="21"/>
                <w:lang w:val="en-US" w:eastAsia="zh-CN"/>
              </w:rPr>
            </w:pPr>
          </w:p>
        </w:tc>
      </w:tr>
      <w:tr w14:paraId="5F1BF1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445" w:type="dxa"/>
            <w:vMerge w:val="continue"/>
            <w:tcBorders>
              <w:top w:val="nil"/>
              <w:left w:val="single" w:color="000000" w:sz="4" w:space="0"/>
              <w:bottom w:val="nil"/>
            </w:tcBorders>
            <w:textDirection w:val="tbRlV"/>
            <w:vAlign w:val="center"/>
          </w:tcPr>
          <w:p w14:paraId="5373E052">
            <w:pPr>
              <w:widowControl w:val="0"/>
              <w:bidi w:val="0"/>
              <w:spacing w:line="240" w:lineRule="auto"/>
              <w:jc w:val="center"/>
              <w:rPr>
                <w:rFonts w:hint="eastAsia"/>
                <w:sz w:val="21"/>
                <w:szCs w:val="21"/>
                <w:lang w:val="en-US" w:eastAsia="zh-CN"/>
              </w:rPr>
            </w:pPr>
          </w:p>
        </w:tc>
        <w:tc>
          <w:tcPr>
            <w:tcW w:w="1718" w:type="dxa"/>
            <w:vAlign w:val="center"/>
          </w:tcPr>
          <w:p w14:paraId="4CE43A47">
            <w:pPr>
              <w:widowControl w:val="0"/>
              <w:bidi w:val="0"/>
              <w:spacing w:line="240" w:lineRule="auto"/>
              <w:jc w:val="center"/>
              <w:rPr>
                <w:rFonts w:hint="eastAsia"/>
                <w:sz w:val="21"/>
                <w:szCs w:val="21"/>
                <w:lang w:val="en-US" w:eastAsia="zh-CN"/>
              </w:rPr>
            </w:pPr>
            <w:r>
              <w:rPr>
                <w:rFonts w:hint="eastAsia"/>
                <w:sz w:val="21"/>
                <w:szCs w:val="21"/>
                <w:lang w:val="en-US" w:eastAsia="zh-CN"/>
              </w:rPr>
              <w:t>全部污染物</w:t>
            </w:r>
          </w:p>
        </w:tc>
        <w:tc>
          <w:tcPr>
            <w:tcW w:w="6189" w:type="dxa"/>
            <w:gridSpan w:val="5"/>
            <w:vAlign w:val="center"/>
          </w:tcPr>
          <w:p w14:paraId="7917900D">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1191" w:type="dxa"/>
            <w:tcBorders>
              <w:right w:val="single" w:color="000000" w:sz="4" w:space="0"/>
            </w:tcBorders>
            <w:vAlign w:val="center"/>
          </w:tcPr>
          <w:p w14:paraId="2D33625C">
            <w:pPr>
              <w:widowControl w:val="0"/>
              <w:bidi w:val="0"/>
              <w:spacing w:line="240" w:lineRule="auto"/>
              <w:jc w:val="center"/>
              <w:rPr>
                <w:rFonts w:hint="eastAsia"/>
                <w:sz w:val="21"/>
                <w:szCs w:val="21"/>
                <w:lang w:val="en-US" w:eastAsia="zh-CN"/>
              </w:rPr>
            </w:pPr>
          </w:p>
        </w:tc>
      </w:tr>
      <w:tr w14:paraId="17873C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445" w:type="dxa"/>
            <w:vMerge w:val="continue"/>
            <w:tcBorders>
              <w:top w:val="nil"/>
              <w:left w:val="single" w:color="000000" w:sz="4" w:space="0"/>
              <w:bottom w:val="nil"/>
            </w:tcBorders>
            <w:textDirection w:val="tbRlV"/>
            <w:vAlign w:val="center"/>
          </w:tcPr>
          <w:p w14:paraId="77D3123A">
            <w:pPr>
              <w:widowControl w:val="0"/>
              <w:bidi w:val="0"/>
              <w:spacing w:line="240" w:lineRule="auto"/>
              <w:jc w:val="center"/>
              <w:rPr>
                <w:rFonts w:hint="eastAsia"/>
                <w:sz w:val="21"/>
                <w:szCs w:val="21"/>
                <w:lang w:val="en-US" w:eastAsia="zh-CN"/>
              </w:rPr>
            </w:pPr>
          </w:p>
        </w:tc>
        <w:tc>
          <w:tcPr>
            <w:tcW w:w="1718" w:type="dxa"/>
            <w:vAlign w:val="center"/>
          </w:tcPr>
          <w:p w14:paraId="4812ABB9">
            <w:pPr>
              <w:widowControl w:val="0"/>
              <w:bidi w:val="0"/>
              <w:spacing w:line="240" w:lineRule="auto"/>
              <w:jc w:val="center"/>
              <w:rPr>
                <w:rFonts w:hint="eastAsia"/>
                <w:sz w:val="21"/>
                <w:szCs w:val="21"/>
                <w:lang w:val="en-US" w:eastAsia="zh-CN"/>
              </w:rPr>
            </w:pPr>
            <w:r>
              <w:rPr>
                <w:rFonts w:hint="eastAsia"/>
                <w:sz w:val="21"/>
                <w:szCs w:val="21"/>
                <w:lang w:val="en-US" w:eastAsia="zh-CN"/>
              </w:rPr>
              <w:t>特征因子</w:t>
            </w:r>
          </w:p>
        </w:tc>
        <w:tc>
          <w:tcPr>
            <w:tcW w:w="6189" w:type="dxa"/>
            <w:gridSpan w:val="5"/>
            <w:vAlign w:val="center"/>
          </w:tcPr>
          <w:p w14:paraId="0F9338E4">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1191" w:type="dxa"/>
            <w:tcBorders>
              <w:right w:val="single" w:color="000000" w:sz="4" w:space="0"/>
            </w:tcBorders>
            <w:vAlign w:val="center"/>
          </w:tcPr>
          <w:p w14:paraId="3C327AF8">
            <w:pPr>
              <w:widowControl w:val="0"/>
              <w:bidi w:val="0"/>
              <w:spacing w:line="240" w:lineRule="auto"/>
              <w:jc w:val="center"/>
              <w:rPr>
                <w:rFonts w:hint="eastAsia"/>
                <w:sz w:val="21"/>
                <w:szCs w:val="21"/>
                <w:lang w:val="en-US" w:eastAsia="zh-CN"/>
              </w:rPr>
            </w:pPr>
          </w:p>
        </w:tc>
      </w:tr>
      <w:tr w14:paraId="7B1A01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5" w:hRule="atLeast"/>
        </w:trPr>
        <w:tc>
          <w:tcPr>
            <w:tcW w:w="445" w:type="dxa"/>
            <w:vMerge w:val="continue"/>
            <w:tcBorders>
              <w:top w:val="nil"/>
              <w:left w:val="single" w:color="000000" w:sz="4" w:space="0"/>
              <w:bottom w:val="nil"/>
            </w:tcBorders>
            <w:textDirection w:val="tbRlV"/>
            <w:vAlign w:val="center"/>
          </w:tcPr>
          <w:p w14:paraId="5BC66158">
            <w:pPr>
              <w:widowControl w:val="0"/>
              <w:bidi w:val="0"/>
              <w:spacing w:line="240" w:lineRule="auto"/>
              <w:jc w:val="center"/>
              <w:rPr>
                <w:rFonts w:hint="eastAsia"/>
                <w:sz w:val="21"/>
                <w:szCs w:val="21"/>
                <w:lang w:val="en-US" w:eastAsia="zh-CN"/>
              </w:rPr>
            </w:pPr>
          </w:p>
        </w:tc>
        <w:tc>
          <w:tcPr>
            <w:tcW w:w="1718" w:type="dxa"/>
            <w:vAlign w:val="center"/>
          </w:tcPr>
          <w:p w14:paraId="4B51AF0E">
            <w:pPr>
              <w:widowControl w:val="0"/>
              <w:bidi w:val="0"/>
              <w:spacing w:line="240" w:lineRule="auto"/>
              <w:jc w:val="center"/>
              <w:rPr>
                <w:rFonts w:hint="eastAsia"/>
                <w:sz w:val="21"/>
                <w:szCs w:val="21"/>
                <w:lang w:val="en-US" w:eastAsia="zh-CN"/>
              </w:rPr>
            </w:pPr>
            <w:r>
              <w:rPr>
                <w:rFonts w:hint="eastAsia"/>
                <w:sz w:val="21"/>
                <w:szCs w:val="21"/>
                <w:lang w:val="en-US" w:eastAsia="zh-CN"/>
              </w:rPr>
              <w:t>所属土壤环境影响评价项目类别</w:t>
            </w:r>
          </w:p>
        </w:tc>
        <w:tc>
          <w:tcPr>
            <w:tcW w:w="6189" w:type="dxa"/>
            <w:gridSpan w:val="5"/>
            <w:vAlign w:val="center"/>
          </w:tcPr>
          <w:p w14:paraId="729AB03A">
            <w:pPr>
              <w:widowControl w:val="0"/>
              <w:bidi w:val="0"/>
              <w:spacing w:line="240" w:lineRule="auto"/>
              <w:jc w:val="center"/>
              <w:rPr>
                <w:rFonts w:hint="eastAsia"/>
                <w:sz w:val="21"/>
                <w:szCs w:val="21"/>
                <w:lang w:val="en-US" w:eastAsia="zh-CN"/>
              </w:rPr>
            </w:pPr>
            <w:r>
              <w:rPr>
                <w:rFonts w:hint="eastAsia"/>
                <w:sz w:val="21"/>
                <w:szCs w:val="21"/>
                <w:lang w:val="en-US" w:eastAsia="zh-CN"/>
              </w:rPr>
              <w:t>Ⅰ类o; Ⅱ类☑; Ⅲ类□ ; Ⅳ类□</w:t>
            </w:r>
          </w:p>
        </w:tc>
        <w:tc>
          <w:tcPr>
            <w:tcW w:w="1191" w:type="dxa"/>
            <w:tcBorders>
              <w:right w:val="single" w:color="000000" w:sz="4" w:space="0"/>
            </w:tcBorders>
            <w:vAlign w:val="center"/>
          </w:tcPr>
          <w:p w14:paraId="4872AA40">
            <w:pPr>
              <w:widowControl w:val="0"/>
              <w:bidi w:val="0"/>
              <w:spacing w:line="240" w:lineRule="auto"/>
              <w:jc w:val="center"/>
              <w:rPr>
                <w:rFonts w:hint="eastAsia"/>
                <w:sz w:val="21"/>
                <w:szCs w:val="21"/>
                <w:lang w:val="en-US" w:eastAsia="zh-CN"/>
              </w:rPr>
            </w:pPr>
          </w:p>
        </w:tc>
      </w:tr>
      <w:tr w14:paraId="28E4EC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7" w:hRule="atLeast"/>
        </w:trPr>
        <w:tc>
          <w:tcPr>
            <w:tcW w:w="445" w:type="dxa"/>
            <w:vMerge w:val="continue"/>
            <w:tcBorders>
              <w:top w:val="nil"/>
              <w:left w:val="single" w:color="000000" w:sz="4" w:space="0"/>
            </w:tcBorders>
            <w:textDirection w:val="tbRlV"/>
            <w:vAlign w:val="center"/>
          </w:tcPr>
          <w:p w14:paraId="409A04D7">
            <w:pPr>
              <w:widowControl w:val="0"/>
              <w:bidi w:val="0"/>
              <w:spacing w:line="240" w:lineRule="auto"/>
              <w:jc w:val="center"/>
              <w:rPr>
                <w:rFonts w:hint="eastAsia"/>
                <w:sz w:val="21"/>
                <w:szCs w:val="21"/>
                <w:lang w:val="en-US" w:eastAsia="zh-CN"/>
              </w:rPr>
            </w:pPr>
          </w:p>
        </w:tc>
        <w:tc>
          <w:tcPr>
            <w:tcW w:w="1718" w:type="dxa"/>
            <w:vAlign w:val="center"/>
          </w:tcPr>
          <w:p w14:paraId="27FA3AA3">
            <w:pPr>
              <w:widowControl w:val="0"/>
              <w:bidi w:val="0"/>
              <w:spacing w:line="240" w:lineRule="auto"/>
              <w:jc w:val="center"/>
              <w:rPr>
                <w:rFonts w:hint="eastAsia"/>
                <w:sz w:val="21"/>
                <w:szCs w:val="21"/>
                <w:lang w:val="en-US" w:eastAsia="zh-CN"/>
              </w:rPr>
            </w:pPr>
            <w:r>
              <w:rPr>
                <w:rFonts w:hint="eastAsia"/>
                <w:sz w:val="21"/>
                <w:szCs w:val="21"/>
                <w:lang w:val="en-US" w:eastAsia="zh-CN"/>
              </w:rPr>
              <w:t>敏感程度</w:t>
            </w:r>
          </w:p>
        </w:tc>
        <w:tc>
          <w:tcPr>
            <w:tcW w:w="6189" w:type="dxa"/>
            <w:gridSpan w:val="5"/>
            <w:vAlign w:val="center"/>
          </w:tcPr>
          <w:p w14:paraId="455B5CFE">
            <w:pPr>
              <w:widowControl w:val="0"/>
              <w:bidi w:val="0"/>
              <w:spacing w:line="240" w:lineRule="auto"/>
              <w:jc w:val="center"/>
              <w:rPr>
                <w:rFonts w:hint="eastAsia"/>
                <w:sz w:val="21"/>
                <w:szCs w:val="21"/>
                <w:lang w:val="en-US" w:eastAsia="zh-CN"/>
              </w:rPr>
            </w:pPr>
            <w:r>
              <w:rPr>
                <w:rFonts w:hint="eastAsia"/>
                <w:sz w:val="21"/>
                <w:szCs w:val="21"/>
                <w:lang w:val="en-US" w:eastAsia="zh-CN"/>
              </w:rPr>
              <w:t>敏感o；较敏感□ ；不敏感☑</w:t>
            </w:r>
          </w:p>
        </w:tc>
        <w:tc>
          <w:tcPr>
            <w:tcW w:w="1191" w:type="dxa"/>
            <w:tcBorders>
              <w:right w:val="single" w:color="000000" w:sz="4" w:space="0"/>
            </w:tcBorders>
            <w:vAlign w:val="center"/>
          </w:tcPr>
          <w:p w14:paraId="2D3144B5">
            <w:pPr>
              <w:widowControl w:val="0"/>
              <w:bidi w:val="0"/>
              <w:spacing w:line="240" w:lineRule="auto"/>
              <w:jc w:val="center"/>
              <w:rPr>
                <w:rFonts w:hint="eastAsia"/>
                <w:sz w:val="21"/>
                <w:szCs w:val="21"/>
                <w:lang w:val="en-US" w:eastAsia="zh-CN"/>
              </w:rPr>
            </w:pPr>
          </w:p>
        </w:tc>
      </w:tr>
      <w:tr w14:paraId="3E057E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2163" w:type="dxa"/>
            <w:gridSpan w:val="2"/>
            <w:tcBorders>
              <w:left w:val="single" w:color="000000" w:sz="4" w:space="0"/>
            </w:tcBorders>
            <w:vAlign w:val="center"/>
          </w:tcPr>
          <w:p w14:paraId="3B7A5327">
            <w:pPr>
              <w:widowControl w:val="0"/>
              <w:bidi w:val="0"/>
              <w:spacing w:line="240" w:lineRule="auto"/>
              <w:jc w:val="center"/>
              <w:rPr>
                <w:rFonts w:hint="eastAsia"/>
                <w:sz w:val="21"/>
                <w:szCs w:val="21"/>
                <w:lang w:val="en-US" w:eastAsia="zh-CN"/>
              </w:rPr>
            </w:pPr>
            <w:r>
              <w:rPr>
                <w:rFonts w:hint="eastAsia"/>
                <w:sz w:val="21"/>
                <w:szCs w:val="21"/>
                <w:lang w:val="en-US" w:eastAsia="zh-CN"/>
              </w:rPr>
              <w:t>评价工作等级</w:t>
            </w:r>
          </w:p>
        </w:tc>
        <w:tc>
          <w:tcPr>
            <w:tcW w:w="6189" w:type="dxa"/>
            <w:gridSpan w:val="5"/>
            <w:vAlign w:val="center"/>
          </w:tcPr>
          <w:p w14:paraId="49CEDE2F">
            <w:pPr>
              <w:widowControl w:val="0"/>
              <w:bidi w:val="0"/>
              <w:spacing w:line="240" w:lineRule="auto"/>
              <w:jc w:val="center"/>
              <w:rPr>
                <w:rFonts w:hint="eastAsia"/>
                <w:sz w:val="21"/>
                <w:szCs w:val="21"/>
                <w:lang w:val="en-US" w:eastAsia="zh-CN"/>
              </w:rPr>
            </w:pPr>
            <w:r>
              <w:rPr>
                <w:rFonts w:hint="eastAsia"/>
                <w:sz w:val="21"/>
                <w:szCs w:val="21"/>
                <w:lang w:val="en-US" w:eastAsia="zh-CN"/>
              </w:rPr>
              <w:t>一级o；二级□ ；三级☑</w:t>
            </w:r>
          </w:p>
        </w:tc>
        <w:tc>
          <w:tcPr>
            <w:tcW w:w="1191" w:type="dxa"/>
            <w:tcBorders>
              <w:right w:val="single" w:color="000000" w:sz="4" w:space="0"/>
            </w:tcBorders>
            <w:vAlign w:val="center"/>
          </w:tcPr>
          <w:p w14:paraId="3D67577F">
            <w:pPr>
              <w:widowControl w:val="0"/>
              <w:bidi w:val="0"/>
              <w:spacing w:line="240" w:lineRule="auto"/>
              <w:jc w:val="center"/>
              <w:rPr>
                <w:rFonts w:hint="eastAsia"/>
                <w:sz w:val="21"/>
                <w:szCs w:val="21"/>
                <w:lang w:val="en-US" w:eastAsia="zh-CN"/>
              </w:rPr>
            </w:pPr>
          </w:p>
        </w:tc>
      </w:tr>
      <w:tr w14:paraId="538EC7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restart"/>
            <w:tcBorders>
              <w:left w:val="single" w:color="000000" w:sz="4" w:space="0"/>
              <w:bottom w:val="nil"/>
            </w:tcBorders>
            <w:textDirection w:val="tbRlV"/>
            <w:vAlign w:val="center"/>
          </w:tcPr>
          <w:p w14:paraId="16DC374F">
            <w:pPr>
              <w:widowControl w:val="0"/>
              <w:bidi w:val="0"/>
              <w:spacing w:line="240" w:lineRule="auto"/>
              <w:jc w:val="center"/>
              <w:rPr>
                <w:rFonts w:hint="eastAsia"/>
                <w:sz w:val="21"/>
                <w:szCs w:val="21"/>
                <w:lang w:val="en-US" w:eastAsia="zh-CN"/>
              </w:rPr>
            </w:pPr>
            <w:r>
              <w:rPr>
                <w:rFonts w:hint="eastAsia"/>
                <w:sz w:val="21"/>
                <w:szCs w:val="21"/>
                <w:lang w:val="en-US" w:eastAsia="zh-CN"/>
              </w:rPr>
              <w:t>现 状 调 查 内 容</w:t>
            </w:r>
          </w:p>
        </w:tc>
        <w:tc>
          <w:tcPr>
            <w:tcW w:w="1718" w:type="dxa"/>
            <w:vAlign w:val="center"/>
          </w:tcPr>
          <w:p w14:paraId="326A583D">
            <w:pPr>
              <w:widowControl w:val="0"/>
              <w:bidi w:val="0"/>
              <w:spacing w:line="240" w:lineRule="auto"/>
              <w:jc w:val="center"/>
              <w:rPr>
                <w:rFonts w:hint="eastAsia"/>
                <w:sz w:val="21"/>
                <w:szCs w:val="21"/>
                <w:lang w:val="en-US" w:eastAsia="zh-CN"/>
              </w:rPr>
            </w:pPr>
            <w:r>
              <w:rPr>
                <w:rFonts w:hint="eastAsia"/>
                <w:sz w:val="21"/>
                <w:szCs w:val="21"/>
                <w:lang w:val="en-US" w:eastAsia="zh-CN"/>
              </w:rPr>
              <w:t>资料收集</w:t>
            </w:r>
          </w:p>
        </w:tc>
        <w:tc>
          <w:tcPr>
            <w:tcW w:w="6189" w:type="dxa"/>
            <w:gridSpan w:val="5"/>
            <w:vAlign w:val="center"/>
          </w:tcPr>
          <w:p w14:paraId="70B62558">
            <w:pPr>
              <w:widowControl w:val="0"/>
              <w:bidi w:val="0"/>
              <w:spacing w:line="240" w:lineRule="auto"/>
              <w:jc w:val="center"/>
              <w:rPr>
                <w:rFonts w:hint="eastAsia"/>
                <w:sz w:val="21"/>
                <w:szCs w:val="21"/>
                <w:lang w:val="en-US" w:eastAsia="zh-CN"/>
              </w:rPr>
            </w:pPr>
            <w:r>
              <w:rPr>
                <w:rFonts w:hint="eastAsia"/>
                <w:sz w:val="21"/>
                <w:szCs w:val="21"/>
                <w:lang w:val="en-US" w:eastAsia="zh-CN"/>
              </w:rPr>
              <w:t xml:space="preserve">a） □ ；b） □ ；c） </w:t>
            </w:r>
            <w:r>
              <w:rPr>
                <w:rFonts w:hint="eastAsia"/>
                <w:sz w:val="21"/>
                <w:szCs w:val="21"/>
                <w:lang w:val="en-US" w:eastAsia="zh-CN"/>
              </w:rPr>
              <w:drawing>
                <wp:inline distT="0" distB="0" distL="0" distR="0">
                  <wp:extent cx="106680" cy="146685"/>
                  <wp:effectExtent l="0" t="0" r="7620" b="5715"/>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36"/>
                          <a:stretch>
                            <a:fillRect/>
                          </a:stretch>
                        </pic:blipFill>
                        <pic:spPr>
                          <a:xfrm>
                            <a:off x="0" y="0"/>
                            <a:ext cx="107100" cy="147048"/>
                          </a:xfrm>
                          <a:prstGeom prst="rect">
                            <a:avLst/>
                          </a:prstGeom>
                        </pic:spPr>
                      </pic:pic>
                    </a:graphicData>
                  </a:graphic>
                </wp:inline>
              </w:drawing>
            </w:r>
            <w:r>
              <w:rPr>
                <w:rFonts w:hint="eastAsia"/>
                <w:sz w:val="21"/>
                <w:szCs w:val="21"/>
                <w:lang w:val="en-US" w:eastAsia="zh-CN"/>
              </w:rPr>
              <w:t>；d） □</w:t>
            </w:r>
          </w:p>
        </w:tc>
        <w:tc>
          <w:tcPr>
            <w:tcW w:w="1191" w:type="dxa"/>
            <w:tcBorders>
              <w:right w:val="single" w:color="000000" w:sz="4" w:space="0"/>
            </w:tcBorders>
            <w:vAlign w:val="center"/>
          </w:tcPr>
          <w:p w14:paraId="525ED961">
            <w:pPr>
              <w:widowControl w:val="0"/>
              <w:bidi w:val="0"/>
              <w:spacing w:line="240" w:lineRule="auto"/>
              <w:jc w:val="center"/>
              <w:rPr>
                <w:rFonts w:hint="eastAsia"/>
                <w:sz w:val="21"/>
                <w:szCs w:val="21"/>
                <w:lang w:val="en-US" w:eastAsia="zh-CN"/>
              </w:rPr>
            </w:pPr>
          </w:p>
        </w:tc>
      </w:tr>
      <w:tr w14:paraId="600D37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421EB7B6">
            <w:pPr>
              <w:widowControl w:val="0"/>
              <w:bidi w:val="0"/>
              <w:spacing w:line="240" w:lineRule="auto"/>
              <w:jc w:val="center"/>
              <w:rPr>
                <w:rFonts w:hint="eastAsia"/>
                <w:sz w:val="21"/>
                <w:szCs w:val="21"/>
                <w:lang w:val="en-US" w:eastAsia="zh-CN"/>
              </w:rPr>
            </w:pPr>
          </w:p>
        </w:tc>
        <w:tc>
          <w:tcPr>
            <w:tcW w:w="1718" w:type="dxa"/>
            <w:vAlign w:val="center"/>
          </w:tcPr>
          <w:p w14:paraId="4ABE95F3">
            <w:pPr>
              <w:widowControl w:val="0"/>
              <w:bidi w:val="0"/>
              <w:spacing w:line="240" w:lineRule="auto"/>
              <w:jc w:val="center"/>
              <w:rPr>
                <w:rFonts w:hint="eastAsia"/>
                <w:sz w:val="21"/>
                <w:szCs w:val="21"/>
                <w:lang w:val="en-US" w:eastAsia="zh-CN"/>
              </w:rPr>
            </w:pPr>
            <w:r>
              <w:rPr>
                <w:rFonts w:hint="eastAsia"/>
                <w:sz w:val="21"/>
                <w:szCs w:val="21"/>
                <w:lang w:val="en-US" w:eastAsia="zh-CN"/>
              </w:rPr>
              <w:t>理化特性</w:t>
            </w:r>
          </w:p>
        </w:tc>
        <w:tc>
          <w:tcPr>
            <w:tcW w:w="6189" w:type="dxa"/>
            <w:gridSpan w:val="5"/>
            <w:vAlign w:val="center"/>
          </w:tcPr>
          <w:p w14:paraId="6C7403B9">
            <w:pPr>
              <w:widowControl w:val="0"/>
              <w:bidi w:val="0"/>
              <w:spacing w:line="240" w:lineRule="auto"/>
              <w:jc w:val="center"/>
              <w:rPr>
                <w:rFonts w:hint="eastAsia"/>
                <w:sz w:val="21"/>
                <w:szCs w:val="21"/>
                <w:lang w:val="en-US" w:eastAsia="zh-CN"/>
              </w:rPr>
            </w:pPr>
          </w:p>
        </w:tc>
        <w:tc>
          <w:tcPr>
            <w:tcW w:w="1191" w:type="dxa"/>
            <w:tcBorders>
              <w:right w:val="single" w:color="000000" w:sz="4" w:space="0"/>
            </w:tcBorders>
            <w:vAlign w:val="center"/>
          </w:tcPr>
          <w:p w14:paraId="237119CE">
            <w:pPr>
              <w:widowControl w:val="0"/>
              <w:bidi w:val="0"/>
              <w:spacing w:line="240" w:lineRule="auto"/>
              <w:jc w:val="center"/>
              <w:rPr>
                <w:rFonts w:hint="eastAsia"/>
                <w:sz w:val="21"/>
                <w:szCs w:val="21"/>
                <w:lang w:val="en-US" w:eastAsia="zh-CN"/>
              </w:rPr>
            </w:pPr>
            <w:r>
              <w:rPr>
                <w:rFonts w:hint="eastAsia"/>
                <w:sz w:val="21"/>
                <w:szCs w:val="21"/>
                <w:lang w:val="en-US" w:eastAsia="zh-CN"/>
              </w:rPr>
              <w:t>同附录C</w:t>
            </w:r>
          </w:p>
        </w:tc>
      </w:tr>
      <w:tr w14:paraId="3C14BE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5656189A">
            <w:pPr>
              <w:widowControl w:val="0"/>
              <w:bidi w:val="0"/>
              <w:spacing w:line="240" w:lineRule="auto"/>
              <w:jc w:val="center"/>
              <w:rPr>
                <w:rFonts w:hint="eastAsia"/>
                <w:sz w:val="21"/>
                <w:szCs w:val="21"/>
                <w:lang w:val="en-US" w:eastAsia="zh-CN"/>
              </w:rPr>
            </w:pPr>
          </w:p>
        </w:tc>
        <w:tc>
          <w:tcPr>
            <w:tcW w:w="1718" w:type="dxa"/>
            <w:vMerge w:val="restart"/>
            <w:tcBorders>
              <w:bottom w:val="nil"/>
            </w:tcBorders>
            <w:vAlign w:val="center"/>
          </w:tcPr>
          <w:p w14:paraId="44433618">
            <w:pPr>
              <w:widowControl w:val="0"/>
              <w:bidi w:val="0"/>
              <w:spacing w:line="240" w:lineRule="auto"/>
              <w:jc w:val="center"/>
              <w:rPr>
                <w:rFonts w:hint="eastAsia"/>
                <w:sz w:val="21"/>
                <w:szCs w:val="21"/>
                <w:lang w:val="en-US" w:eastAsia="zh-CN"/>
              </w:rPr>
            </w:pPr>
          </w:p>
          <w:p w14:paraId="13C5AFAE">
            <w:pPr>
              <w:widowControl w:val="0"/>
              <w:bidi w:val="0"/>
              <w:spacing w:line="240" w:lineRule="auto"/>
              <w:jc w:val="center"/>
              <w:rPr>
                <w:rFonts w:hint="eastAsia"/>
                <w:sz w:val="21"/>
                <w:szCs w:val="21"/>
                <w:lang w:val="en-US" w:eastAsia="zh-CN"/>
              </w:rPr>
            </w:pPr>
          </w:p>
          <w:p w14:paraId="306BA772">
            <w:pPr>
              <w:widowControl w:val="0"/>
              <w:bidi w:val="0"/>
              <w:spacing w:line="240" w:lineRule="auto"/>
              <w:jc w:val="center"/>
              <w:rPr>
                <w:rFonts w:hint="eastAsia"/>
                <w:sz w:val="21"/>
                <w:szCs w:val="21"/>
                <w:lang w:val="en-US" w:eastAsia="zh-CN"/>
              </w:rPr>
            </w:pPr>
            <w:r>
              <w:rPr>
                <w:rFonts w:hint="eastAsia"/>
                <w:sz w:val="21"/>
                <w:szCs w:val="21"/>
                <w:lang w:val="en-US" w:eastAsia="zh-CN"/>
              </w:rPr>
              <w:t>现状监测点位</w:t>
            </w:r>
          </w:p>
        </w:tc>
        <w:tc>
          <w:tcPr>
            <w:tcW w:w="1452" w:type="dxa"/>
            <w:vAlign w:val="center"/>
          </w:tcPr>
          <w:p w14:paraId="21818B0E">
            <w:pPr>
              <w:widowControl w:val="0"/>
              <w:bidi w:val="0"/>
              <w:spacing w:line="240" w:lineRule="auto"/>
              <w:jc w:val="center"/>
              <w:rPr>
                <w:rFonts w:hint="eastAsia"/>
                <w:sz w:val="21"/>
                <w:szCs w:val="21"/>
                <w:lang w:val="en-US" w:eastAsia="zh-CN"/>
              </w:rPr>
            </w:pPr>
          </w:p>
        </w:tc>
        <w:tc>
          <w:tcPr>
            <w:tcW w:w="1323" w:type="dxa"/>
            <w:vAlign w:val="center"/>
          </w:tcPr>
          <w:p w14:paraId="3127AB52">
            <w:pPr>
              <w:widowControl w:val="0"/>
              <w:bidi w:val="0"/>
              <w:spacing w:line="240" w:lineRule="auto"/>
              <w:jc w:val="center"/>
              <w:rPr>
                <w:rFonts w:hint="eastAsia"/>
                <w:sz w:val="21"/>
                <w:szCs w:val="21"/>
                <w:lang w:val="en-US" w:eastAsia="zh-CN"/>
              </w:rPr>
            </w:pPr>
            <w:r>
              <w:rPr>
                <w:rFonts w:hint="eastAsia"/>
                <w:sz w:val="21"/>
                <w:szCs w:val="21"/>
                <w:lang w:val="en-US" w:eastAsia="zh-CN"/>
              </w:rPr>
              <w:t>占地范围内</w:t>
            </w:r>
          </w:p>
        </w:tc>
        <w:tc>
          <w:tcPr>
            <w:tcW w:w="1327" w:type="dxa"/>
            <w:vAlign w:val="center"/>
          </w:tcPr>
          <w:p w14:paraId="0E582E74">
            <w:pPr>
              <w:widowControl w:val="0"/>
              <w:bidi w:val="0"/>
              <w:spacing w:line="240" w:lineRule="auto"/>
              <w:jc w:val="center"/>
              <w:rPr>
                <w:rFonts w:hint="eastAsia"/>
                <w:sz w:val="21"/>
                <w:szCs w:val="21"/>
                <w:lang w:val="en-US" w:eastAsia="zh-CN"/>
              </w:rPr>
            </w:pPr>
            <w:r>
              <w:rPr>
                <w:rFonts w:hint="eastAsia"/>
                <w:sz w:val="21"/>
                <w:szCs w:val="21"/>
                <w:lang w:val="en-US" w:eastAsia="zh-CN"/>
              </w:rPr>
              <w:t>占地范围外</w:t>
            </w:r>
          </w:p>
        </w:tc>
        <w:tc>
          <w:tcPr>
            <w:tcW w:w="2087" w:type="dxa"/>
            <w:gridSpan w:val="2"/>
            <w:vAlign w:val="center"/>
          </w:tcPr>
          <w:p w14:paraId="11636603">
            <w:pPr>
              <w:widowControl w:val="0"/>
              <w:bidi w:val="0"/>
              <w:spacing w:line="240" w:lineRule="auto"/>
              <w:jc w:val="center"/>
              <w:rPr>
                <w:rFonts w:hint="eastAsia"/>
                <w:sz w:val="21"/>
                <w:szCs w:val="21"/>
                <w:lang w:val="en-US" w:eastAsia="zh-CN"/>
              </w:rPr>
            </w:pPr>
            <w:r>
              <w:rPr>
                <w:rFonts w:hint="eastAsia"/>
                <w:sz w:val="21"/>
                <w:szCs w:val="21"/>
                <w:lang w:val="en-US" w:eastAsia="zh-CN"/>
              </w:rPr>
              <w:t>深度</w:t>
            </w:r>
          </w:p>
        </w:tc>
        <w:tc>
          <w:tcPr>
            <w:tcW w:w="1191" w:type="dxa"/>
            <w:vMerge w:val="restart"/>
            <w:tcBorders>
              <w:bottom w:val="nil"/>
              <w:right w:val="single" w:color="000000" w:sz="4" w:space="0"/>
            </w:tcBorders>
            <w:vAlign w:val="center"/>
          </w:tcPr>
          <w:p w14:paraId="1DE6CEF3">
            <w:pPr>
              <w:widowControl w:val="0"/>
              <w:bidi w:val="0"/>
              <w:spacing w:line="240" w:lineRule="auto"/>
              <w:jc w:val="center"/>
              <w:rPr>
                <w:rFonts w:hint="eastAsia"/>
                <w:sz w:val="21"/>
                <w:szCs w:val="21"/>
                <w:lang w:val="en-US" w:eastAsia="zh-CN"/>
              </w:rPr>
            </w:pPr>
            <w:r>
              <w:rPr>
                <w:rFonts w:hint="eastAsia"/>
                <w:sz w:val="21"/>
                <w:szCs w:val="21"/>
                <w:lang w:val="en-US" w:eastAsia="zh-CN"/>
              </w:rPr>
              <w:t>点位布置图</w:t>
            </w:r>
          </w:p>
        </w:tc>
      </w:tr>
      <w:tr w14:paraId="4220BF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034097A6">
            <w:pPr>
              <w:widowControl w:val="0"/>
              <w:bidi w:val="0"/>
              <w:spacing w:line="240" w:lineRule="auto"/>
              <w:jc w:val="center"/>
              <w:rPr>
                <w:rFonts w:hint="eastAsia"/>
                <w:sz w:val="21"/>
                <w:szCs w:val="21"/>
                <w:lang w:val="en-US" w:eastAsia="zh-CN"/>
              </w:rPr>
            </w:pPr>
          </w:p>
        </w:tc>
        <w:tc>
          <w:tcPr>
            <w:tcW w:w="1718" w:type="dxa"/>
            <w:vMerge w:val="continue"/>
            <w:tcBorders>
              <w:top w:val="nil"/>
              <w:bottom w:val="nil"/>
            </w:tcBorders>
            <w:vAlign w:val="center"/>
          </w:tcPr>
          <w:p w14:paraId="6B890FBB">
            <w:pPr>
              <w:widowControl w:val="0"/>
              <w:bidi w:val="0"/>
              <w:spacing w:line="240" w:lineRule="auto"/>
              <w:jc w:val="center"/>
              <w:rPr>
                <w:rFonts w:hint="eastAsia"/>
                <w:sz w:val="21"/>
                <w:szCs w:val="21"/>
                <w:lang w:val="en-US" w:eastAsia="zh-CN"/>
              </w:rPr>
            </w:pPr>
          </w:p>
        </w:tc>
        <w:tc>
          <w:tcPr>
            <w:tcW w:w="1452" w:type="dxa"/>
            <w:vAlign w:val="center"/>
          </w:tcPr>
          <w:p w14:paraId="1D707B19">
            <w:pPr>
              <w:widowControl w:val="0"/>
              <w:bidi w:val="0"/>
              <w:spacing w:line="240" w:lineRule="auto"/>
              <w:jc w:val="center"/>
              <w:rPr>
                <w:rFonts w:hint="eastAsia"/>
                <w:sz w:val="21"/>
                <w:szCs w:val="21"/>
                <w:lang w:val="en-US" w:eastAsia="zh-CN"/>
              </w:rPr>
            </w:pPr>
            <w:r>
              <w:rPr>
                <w:rFonts w:hint="eastAsia"/>
                <w:sz w:val="21"/>
                <w:szCs w:val="21"/>
                <w:lang w:val="en-US" w:eastAsia="zh-CN"/>
              </w:rPr>
              <w:t>表层样点数</w:t>
            </w:r>
          </w:p>
        </w:tc>
        <w:tc>
          <w:tcPr>
            <w:tcW w:w="1323" w:type="dxa"/>
            <w:vAlign w:val="center"/>
          </w:tcPr>
          <w:p w14:paraId="7C6B842C">
            <w:pPr>
              <w:widowControl w:val="0"/>
              <w:bidi w:val="0"/>
              <w:spacing w:line="240" w:lineRule="auto"/>
              <w:jc w:val="center"/>
              <w:rPr>
                <w:rFonts w:hint="eastAsia"/>
                <w:sz w:val="21"/>
                <w:szCs w:val="21"/>
                <w:lang w:val="en-US" w:eastAsia="zh-CN"/>
              </w:rPr>
            </w:pPr>
            <w:r>
              <w:rPr>
                <w:rFonts w:hint="eastAsia"/>
                <w:sz w:val="21"/>
                <w:szCs w:val="21"/>
                <w:lang w:val="en-US" w:eastAsia="zh-CN"/>
              </w:rPr>
              <w:t>3</w:t>
            </w:r>
          </w:p>
        </w:tc>
        <w:tc>
          <w:tcPr>
            <w:tcW w:w="1327" w:type="dxa"/>
            <w:vAlign w:val="center"/>
          </w:tcPr>
          <w:p w14:paraId="72611450">
            <w:pPr>
              <w:widowControl w:val="0"/>
              <w:bidi w:val="0"/>
              <w:spacing w:line="240" w:lineRule="auto"/>
              <w:jc w:val="center"/>
              <w:rPr>
                <w:rFonts w:hint="eastAsia"/>
                <w:sz w:val="21"/>
                <w:szCs w:val="21"/>
                <w:lang w:val="en-US" w:eastAsia="zh-CN"/>
              </w:rPr>
            </w:pPr>
            <w:r>
              <w:rPr>
                <w:rFonts w:hint="eastAsia"/>
                <w:sz w:val="21"/>
                <w:szCs w:val="21"/>
                <w:lang w:val="en-US" w:eastAsia="zh-CN"/>
              </w:rPr>
              <w:t>2</w:t>
            </w:r>
          </w:p>
        </w:tc>
        <w:tc>
          <w:tcPr>
            <w:tcW w:w="2087" w:type="dxa"/>
            <w:gridSpan w:val="2"/>
            <w:vAlign w:val="center"/>
          </w:tcPr>
          <w:p w14:paraId="3F54889D">
            <w:pPr>
              <w:widowControl w:val="0"/>
              <w:bidi w:val="0"/>
              <w:spacing w:line="240" w:lineRule="auto"/>
              <w:jc w:val="center"/>
              <w:rPr>
                <w:rFonts w:hint="eastAsia"/>
                <w:sz w:val="21"/>
                <w:szCs w:val="21"/>
                <w:lang w:val="en-US" w:eastAsia="zh-CN"/>
              </w:rPr>
            </w:pPr>
            <w:r>
              <w:rPr>
                <w:rFonts w:hint="eastAsia"/>
                <w:sz w:val="21"/>
                <w:szCs w:val="21"/>
                <w:lang w:val="en-US" w:eastAsia="zh-CN"/>
              </w:rPr>
              <w:t>0~0.2m</w:t>
            </w:r>
          </w:p>
        </w:tc>
        <w:tc>
          <w:tcPr>
            <w:tcW w:w="1191" w:type="dxa"/>
            <w:vMerge w:val="continue"/>
            <w:tcBorders>
              <w:top w:val="nil"/>
              <w:bottom w:val="nil"/>
              <w:right w:val="single" w:color="000000" w:sz="4" w:space="0"/>
            </w:tcBorders>
            <w:vAlign w:val="center"/>
          </w:tcPr>
          <w:p w14:paraId="56A977D0">
            <w:pPr>
              <w:widowControl w:val="0"/>
              <w:bidi w:val="0"/>
              <w:spacing w:line="240" w:lineRule="auto"/>
              <w:jc w:val="center"/>
              <w:rPr>
                <w:rFonts w:hint="eastAsia"/>
                <w:sz w:val="21"/>
                <w:szCs w:val="21"/>
                <w:lang w:val="en-US" w:eastAsia="zh-CN"/>
              </w:rPr>
            </w:pPr>
          </w:p>
        </w:tc>
      </w:tr>
      <w:tr w14:paraId="555447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445" w:type="dxa"/>
            <w:vMerge w:val="continue"/>
            <w:tcBorders>
              <w:top w:val="nil"/>
              <w:left w:val="single" w:color="000000" w:sz="4" w:space="0"/>
              <w:bottom w:val="nil"/>
            </w:tcBorders>
            <w:textDirection w:val="tbRlV"/>
            <w:vAlign w:val="center"/>
          </w:tcPr>
          <w:p w14:paraId="4FD6791D">
            <w:pPr>
              <w:widowControl w:val="0"/>
              <w:bidi w:val="0"/>
              <w:spacing w:line="240" w:lineRule="auto"/>
              <w:jc w:val="center"/>
              <w:rPr>
                <w:rFonts w:hint="eastAsia"/>
                <w:sz w:val="21"/>
                <w:szCs w:val="21"/>
                <w:lang w:val="en-US" w:eastAsia="zh-CN"/>
              </w:rPr>
            </w:pPr>
          </w:p>
        </w:tc>
        <w:tc>
          <w:tcPr>
            <w:tcW w:w="1718" w:type="dxa"/>
            <w:vMerge w:val="continue"/>
            <w:tcBorders>
              <w:top w:val="nil"/>
            </w:tcBorders>
            <w:vAlign w:val="center"/>
          </w:tcPr>
          <w:p w14:paraId="38187B42">
            <w:pPr>
              <w:widowControl w:val="0"/>
              <w:bidi w:val="0"/>
              <w:spacing w:line="240" w:lineRule="auto"/>
              <w:jc w:val="center"/>
              <w:rPr>
                <w:rFonts w:hint="eastAsia"/>
                <w:sz w:val="21"/>
                <w:szCs w:val="21"/>
                <w:lang w:val="en-US" w:eastAsia="zh-CN"/>
              </w:rPr>
            </w:pPr>
          </w:p>
        </w:tc>
        <w:tc>
          <w:tcPr>
            <w:tcW w:w="1452" w:type="dxa"/>
            <w:vAlign w:val="center"/>
          </w:tcPr>
          <w:p w14:paraId="128440E3">
            <w:pPr>
              <w:widowControl w:val="0"/>
              <w:bidi w:val="0"/>
              <w:spacing w:line="240" w:lineRule="auto"/>
              <w:jc w:val="center"/>
              <w:rPr>
                <w:rFonts w:hint="eastAsia"/>
                <w:sz w:val="21"/>
                <w:szCs w:val="21"/>
                <w:lang w:val="en-US" w:eastAsia="zh-CN"/>
              </w:rPr>
            </w:pPr>
            <w:r>
              <w:rPr>
                <w:rFonts w:hint="eastAsia"/>
                <w:sz w:val="21"/>
                <w:szCs w:val="21"/>
                <w:lang w:val="en-US" w:eastAsia="zh-CN"/>
              </w:rPr>
              <w:t>柱状样点数</w:t>
            </w:r>
          </w:p>
        </w:tc>
        <w:tc>
          <w:tcPr>
            <w:tcW w:w="1323" w:type="dxa"/>
            <w:vAlign w:val="center"/>
          </w:tcPr>
          <w:p w14:paraId="2CEF17B2">
            <w:pPr>
              <w:widowControl w:val="0"/>
              <w:bidi w:val="0"/>
              <w:spacing w:line="240" w:lineRule="auto"/>
              <w:jc w:val="center"/>
              <w:rPr>
                <w:rFonts w:hint="eastAsia"/>
                <w:sz w:val="21"/>
                <w:szCs w:val="21"/>
                <w:lang w:val="en-US" w:eastAsia="zh-CN"/>
              </w:rPr>
            </w:pPr>
            <w:r>
              <w:rPr>
                <w:rFonts w:hint="eastAsia"/>
                <w:sz w:val="21"/>
                <w:szCs w:val="21"/>
                <w:lang w:val="en-US" w:eastAsia="zh-CN"/>
              </w:rPr>
              <w:t>3</w:t>
            </w:r>
          </w:p>
        </w:tc>
        <w:tc>
          <w:tcPr>
            <w:tcW w:w="1327" w:type="dxa"/>
            <w:vAlign w:val="center"/>
          </w:tcPr>
          <w:p w14:paraId="5ECAE989">
            <w:pPr>
              <w:widowControl w:val="0"/>
              <w:bidi w:val="0"/>
              <w:spacing w:line="240" w:lineRule="auto"/>
              <w:jc w:val="center"/>
              <w:rPr>
                <w:rFonts w:hint="eastAsia"/>
                <w:sz w:val="21"/>
                <w:szCs w:val="21"/>
                <w:lang w:val="en-US" w:eastAsia="zh-CN"/>
              </w:rPr>
            </w:pPr>
          </w:p>
        </w:tc>
        <w:tc>
          <w:tcPr>
            <w:tcW w:w="2087" w:type="dxa"/>
            <w:gridSpan w:val="2"/>
            <w:vAlign w:val="center"/>
          </w:tcPr>
          <w:p w14:paraId="196C8DBA">
            <w:pPr>
              <w:widowControl w:val="0"/>
              <w:bidi w:val="0"/>
              <w:spacing w:line="240" w:lineRule="auto"/>
              <w:jc w:val="center"/>
              <w:rPr>
                <w:rFonts w:hint="eastAsia"/>
                <w:sz w:val="21"/>
                <w:szCs w:val="21"/>
                <w:lang w:val="en-US" w:eastAsia="zh-CN"/>
              </w:rPr>
            </w:pPr>
            <w:r>
              <w:rPr>
                <w:rFonts w:hint="eastAsia"/>
                <w:sz w:val="21"/>
                <w:szCs w:val="21"/>
                <w:lang w:val="en-US" w:eastAsia="zh-CN"/>
              </w:rPr>
              <w:t>0~0.5m 、0.5~ 1.5m、</w:t>
            </w:r>
          </w:p>
          <w:p w14:paraId="7D6DBB48">
            <w:pPr>
              <w:widowControl w:val="0"/>
              <w:bidi w:val="0"/>
              <w:spacing w:line="240" w:lineRule="auto"/>
              <w:jc w:val="center"/>
              <w:rPr>
                <w:rFonts w:hint="eastAsia"/>
                <w:sz w:val="21"/>
                <w:szCs w:val="21"/>
                <w:lang w:val="en-US" w:eastAsia="zh-CN"/>
              </w:rPr>
            </w:pPr>
            <w:r>
              <w:rPr>
                <w:rFonts w:hint="eastAsia"/>
                <w:sz w:val="21"/>
                <w:szCs w:val="21"/>
                <w:lang w:val="en-US" w:eastAsia="zh-CN"/>
              </w:rPr>
              <w:t>1.5~3m</w:t>
            </w:r>
          </w:p>
        </w:tc>
        <w:tc>
          <w:tcPr>
            <w:tcW w:w="1191" w:type="dxa"/>
            <w:vMerge w:val="continue"/>
            <w:tcBorders>
              <w:top w:val="nil"/>
              <w:right w:val="single" w:color="000000" w:sz="4" w:space="0"/>
            </w:tcBorders>
            <w:vAlign w:val="center"/>
          </w:tcPr>
          <w:p w14:paraId="45B26EFD">
            <w:pPr>
              <w:widowControl w:val="0"/>
              <w:bidi w:val="0"/>
              <w:spacing w:line="240" w:lineRule="auto"/>
              <w:jc w:val="center"/>
              <w:rPr>
                <w:rFonts w:hint="eastAsia"/>
                <w:sz w:val="21"/>
                <w:szCs w:val="21"/>
                <w:lang w:val="en-US" w:eastAsia="zh-CN"/>
              </w:rPr>
            </w:pPr>
          </w:p>
        </w:tc>
      </w:tr>
      <w:tr w14:paraId="107611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tcBorders>
            <w:textDirection w:val="tbRlV"/>
            <w:vAlign w:val="center"/>
          </w:tcPr>
          <w:p w14:paraId="50F63573">
            <w:pPr>
              <w:widowControl w:val="0"/>
              <w:bidi w:val="0"/>
              <w:spacing w:line="240" w:lineRule="auto"/>
              <w:jc w:val="center"/>
              <w:rPr>
                <w:rFonts w:hint="eastAsia"/>
                <w:sz w:val="21"/>
                <w:szCs w:val="21"/>
                <w:lang w:val="en-US" w:eastAsia="zh-CN"/>
              </w:rPr>
            </w:pPr>
          </w:p>
        </w:tc>
        <w:tc>
          <w:tcPr>
            <w:tcW w:w="1718" w:type="dxa"/>
            <w:vAlign w:val="center"/>
          </w:tcPr>
          <w:p w14:paraId="7108340C">
            <w:pPr>
              <w:widowControl w:val="0"/>
              <w:bidi w:val="0"/>
              <w:spacing w:line="240" w:lineRule="auto"/>
              <w:jc w:val="center"/>
              <w:rPr>
                <w:rFonts w:hint="eastAsia"/>
                <w:sz w:val="21"/>
                <w:szCs w:val="21"/>
                <w:lang w:val="en-US" w:eastAsia="zh-CN"/>
              </w:rPr>
            </w:pPr>
            <w:r>
              <w:rPr>
                <w:rFonts w:hint="eastAsia"/>
                <w:sz w:val="21"/>
                <w:szCs w:val="21"/>
                <w:lang w:val="en-US" w:eastAsia="zh-CN"/>
              </w:rPr>
              <w:t>现状监测因子</w:t>
            </w:r>
          </w:p>
        </w:tc>
        <w:tc>
          <w:tcPr>
            <w:tcW w:w="6189" w:type="dxa"/>
            <w:gridSpan w:val="5"/>
            <w:vAlign w:val="center"/>
          </w:tcPr>
          <w:p w14:paraId="663C7216">
            <w:pPr>
              <w:widowControl w:val="0"/>
              <w:bidi w:val="0"/>
              <w:spacing w:line="240" w:lineRule="auto"/>
              <w:jc w:val="center"/>
              <w:rPr>
                <w:rFonts w:hint="eastAsia"/>
                <w:sz w:val="21"/>
                <w:szCs w:val="21"/>
                <w:lang w:val="en-US" w:eastAsia="zh-CN"/>
              </w:rPr>
            </w:pPr>
            <w:r>
              <w:rPr>
                <w:rFonts w:hint="eastAsia"/>
                <w:sz w:val="21"/>
                <w:szCs w:val="21"/>
                <w:lang w:val="en-US" w:eastAsia="zh-CN"/>
              </w:rPr>
              <w:t>GB36600-2018中的基本项目</w:t>
            </w:r>
          </w:p>
        </w:tc>
        <w:tc>
          <w:tcPr>
            <w:tcW w:w="1191" w:type="dxa"/>
            <w:tcBorders>
              <w:right w:val="single" w:color="000000" w:sz="4" w:space="0"/>
            </w:tcBorders>
            <w:vAlign w:val="center"/>
          </w:tcPr>
          <w:p w14:paraId="267D1B87">
            <w:pPr>
              <w:widowControl w:val="0"/>
              <w:bidi w:val="0"/>
              <w:spacing w:line="240" w:lineRule="auto"/>
              <w:jc w:val="center"/>
              <w:rPr>
                <w:rFonts w:hint="eastAsia"/>
                <w:sz w:val="21"/>
                <w:szCs w:val="21"/>
                <w:lang w:val="en-US" w:eastAsia="zh-CN"/>
              </w:rPr>
            </w:pPr>
          </w:p>
        </w:tc>
      </w:tr>
      <w:tr w14:paraId="4A0A9C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restart"/>
            <w:tcBorders>
              <w:left w:val="single" w:color="000000" w:sz="4" w:space="0"/>
              <w:bottom w:val="nil"/>
            </w:tcBorders>
            <w:textDirection w:val="tbRlV"/>
            <w:vAlign w:val="center"/>
          </w:tcPr>
          <w:p w14:paraId="7D730196">
            <w:pPr>
              <w:widowControl w:val="0"/>
              <w:bidi w:val="0"/>
              <w:spacing w:line="240" w:lineRule="auto"/>
              <w:jc w:val="center"/>
              <w:rPr>
                <w:rFonts w:hint="eastAsia"/>
                <w:sz w:val="21"/>
                <w:szCs w:val="21"/>
                <w:lang w:val="en-US" w:eastAsia="zh-CN"/>
              </w:rPr>
            </w:pPr>
            <w:r>
              <w:rPr>
                <w:rFonts w:hint="eastAsia"/>
                <w:sz w:val="21"/>
                <w:szCs w:val="21"/>
                <w:lang w:val="en-US" w:eastAsia="zh-CN"/>
              </w:rPr>
              <w:t>现 状 评 价</w:t>
            </w:r>
          </w:p>
        </w:tc>
        <w:tc>
          <w:tcPr>
            <w:tcW w:w="1718" w:type="dxa"/>
            <w:vAlign w:val="center"/>
          </w:tcPr>
          <w:p w14:paraId="0EE58F2E">
            <w:pPr>
              <w:widowControl w:val="0"/>
              <w:bidi w:val="0"/>
              <w:spacing w:line="240" w:lineRule="auto"/>
              <w:jc w:val="center"/>
              <w:rPr>
                <w:rFonts w:hint="eastAsia"/>
                <w:sz w:val="21"/>
                <w:szCs w:val="21"/>
                <w:lang w:val="en-US" w:eastAsia="zh-CN"/>
              </w:rPr>
            </w:pPr>
            <w:r>
              <w:rPr>
                <w:rFonts w:hint="eastAsia"/>
                <w:sz w:val="21"/>
                <w:szCs w:val="21"/>
                <w:lang w:val="en-US" w:eastAsia="zh-CN"/>
              </w:rPr>
              <w:t>评价因子</w:t>
            </w:r>
          </w:p>
        </w:tc>
        <w:tc>
          <w:tcPr>
            <w:tcW w:w="6189" w:type="dxa"/>
            <w:gridSpan w:val="5"/>
            <w:vAlign w:val="center"/>
          </w:tcPr>
          <w:p w14:paraId="7045BB1D">
            <w:pPr>
              <w:widowControl w:val="0"/>
              <w:bidi w:val="0"/>
              <w:spacing w:line="240" w:lineRule="auto"/>
              <w:jc w:val="center"/>
              <w:rPr>
                <w:rFonts w:hint="eastAsia"/>
                <w:sz w:val="21"/>
                <w:szCs w:val="21"/>
                <w:lang w:val="en-US" w:eastAsia="zh-CN"/>
              </w:rPr>
            </w:pPr>
            <w:r>
              <w:rPr>
                <w:rFonts w:hint="eastAsia"/>
                <w:sz w:val="21"/>
                <w:szCs w:val="21"/>
                <w:lang w:val="en-US" w:eastAsia="zh-CN"/>
              </w:rPr>
              <w:t>GB36600-2018中的基本项目</w:t>
            </w:r>
          </w:p>
        </w:tc>
        <w:tc>
          <w:tcPr>
            <w:tcW w:w="1191" w:type="dxa"/>
            <w:tcBorders>
              <w:right w:val="single" w:color="000000" w:sz="4" w:space="0"/>
            </w:tcBorders>
            <w:vAlign w:val="center"/>
          </w:tcPr>
          <w:p w14:paraId="68CA837B">
            <w:pPr>
              <w:widowControl w:val="0"/>
              <w:bidi w:val="0"/>
              <w:spacing w:line="240" w:lineRule="auto"/>
              <w:jc w:val="center"/>
              <w:rPr>
                <w:rFonts w:hint="eastAsia"/>
                <w:sz w:val="21"/>
                <w:szCs w:val="21"/>
                <w:lang w:val="en-US" w:eastAsia="zh-CN"/>
              </w:rPr>
            </w:pPr>
          </w:p>
        </w:tc>
      </w:tr>
      <w:tr w14:paraId="4E29DF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328B371B">
            <w:pPr>
              <w:widowControl w:val="0"/>
              <w:bidi w:val="0"/>
              <w:spacing w:line="240" w:lineRule="auto"/>
              <w:jc w:val="center"/>
              <w:rPr>
                <w:rFonts w:hint="eastAsia"/>
                <w:sz w:val="21"/>
                <w:szCs w:val="21"/>
                <w:lang w:val="en-US" w:eastAsia="zh-CN"/>
              </w:rPr>
            </w:pPr>
          </w:p>
        </w:tc>
        <w:tc>
          <w:tcPr>
            <w:tcW w:w="1718" w:type="dxa"/>
            <w:vAlign w:val="center"/>
          </w:tcPr>
          <w:p w14:paraId="2571FF38">
            <w:pPr>
              <w:widowControl w:val="0"/>
              <w:bidi w:val="0"/>
              <w:spacing w:line="240" w:lineRule="auto"/>
              <w:jc w:val="center"/>
              <w:rPr>
                <w:rFonts w:hint="eastAsia"/>
                <w:sz w:val="21"/>
                <w:szCs w:val="21"/>
                <w:lang w:val="en-US" w:eastAsia="zh-CN"/>
              </w:rPr>
            </w:pPr>
            <w:r>
              <w:rPr>
                <w:rFonts w:hint="eastAsia"/>
                <w:sz w:val="21"/>
                <w:szCs w:val="21"/>
                <w:lang w:val="en-US" w:eastAsia="zh-CN"/>
              </w:rPr>
              <w:t>评价标准</w:t>
            </w:r>
          </w:p>
        </w:tc>
        <w:tc>
          <w:tcPr>
            <w:tcW w:w="6189" w:type="dxa"/>
            <w:gridSpan w:val="5"/>
            <w:vAlign w:val="center"/>
          </w:tcPr>
          <w:p w14:paraId="6685891C">
            <w:pPr>
              <w:widowControl w:val="0"/>
              <w:bidi w:val="0"/>
              <w:spacing w:line="240" w:lineRule="auto"/>
              <w:jc w:val="center"/>
              <w:rPr>
                <w:rFonts w:hint="eastAsia"/>
                <w:sz w:val="21"/>
                <w:szCs w:val="21"/>
                <w:lang w:val="en-US" w:eastAsia="zh-CN"/>
              </w:rPr>
            </w:pPr>
            <w:r>
              <w:rPr>
                <w:rFonts w:hint="eastAsia"/>
                <w:sz w:val="21"/>
                <w:szCs w:val="21"/>
                <w:lang w:val="en-US" w:eastAsia="zh-CN"/>
              </w:rPr>
              <w:t>GB 15618□；GB 36600</w:t>
            </w:r>
            <w:r>
              <w:rPr>
                <w:rFonts w:hint="eastAsia"/>
                <w:sz w:val="21"/>
                <w:szCs w:val="21"/>
                <w:lang w:val="en-US" w:eastAsia="zh-CN"/>
              </w:rPr>
              <w:drawing>
                <wp:inline distT="0" distB="0" distL="0" distR="0">
                  <wp:extent cx="118745" cy="146685"/>
                  <wp:effectExtent l="0" t="0" r="14605" b="5080"/>
                  <wp:docPr id="40" name="IM 28"/>
                  <wp:cNvGraphicFramePr/>
                  <a:graphic xmlns:a="http://schemas.openxmlformats.org/drawingml/2006/main">
                    <a:graphicData uri="http://schemas.openxmlformats.org/drawingml/2006/picture">
                      <pic:pic xmlns:pic="http://schemas.openxmlformats.org/drawingml/2006/picture">
                        <pic:nvPicPr>
                          <pic:cNvPr id="40" name="IM 28"/>
                          <pic:cNvPicPr/>
                        </pic:nvPicPr>
                        <pic:blipFill>
                          <a:blip r:embed="rId35"/>
                          <a:stretch>
                            <a:fillRect/>
                          </a:stretch>
                        </pic:blipFill>
                        <pic:spPr>
                          <a:xfrm>
                            <a:off x="0" y="0"/>
                            <a:ext cx="118966" cy="147048"/>
                          </a:xfrm>
                          <a:prstGeom prst="rect">
                            <a:avLst/>
                          </a:prstGeom>
                        </pic:spPr>
                      </pic:pic>
                    </a:graphicData>
                  </a:graphic>
                </wp:inline>
              </w:drawing>
            </w:r>
            <w:r>
              <w:rPr>
                <w:rFonts w:hint="eastAsia"/>
                <w:sz w:val="21"/>
                <w:szCs w:val="21"/>
                <w:lang w:val="en-US" w:eastAsia="zh-CN"/>
              </w:rPr>
              <w:t>；表 D. 1 □ ；表 D.2□；其他 ( )</w:t>
            </w:r>
          </w:p>
        </w:tc>
        <w:tc>
          <w:tcPr>
            <w:tcW w:w="1191" w:type="dxa"/>
            <w:tcBorders>
              <w:right w:val="single" w:color="000000" w:sz="4" w:space="0"/>
            </w:tcBorders>
            <w:vAlign w:val="center"/>
          </w:tcPr>
          <w:p w14:paraId="394D2DAE">
            <w:pPr>
              <w:widowControl w:val="0"/>
              <w:bidi w:val="0"/>
              <w:spacing w:line="240" w:lineRule="auto"/>
              <w:jc w:val="center"/>
              <w:rPr>
                <w:rFonts w:hint="eastAsia"/>
                <w:sz w:val="21"/>
                <w:szCs w:val="21"/>
                <w:lang w:val="en-US" w:eastAsia="zh-CN"/>
              </w:rPr>
            </w:pPr>
          </w:p>
        </w:tc>
      </w:tr>
      <w:tr w14:paraId="437C73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445" w:type="dxa"/>
            <w:vMerge w:val="continue"/>
            <w:tcBorders>
              <w:top w:val="nil"/>
              <w:left w:val="single" w:color="000000" w:sz="4" w:space="0"/>
            </w:tcBorders>
            <w:textDirection w:val="tbRlV"/>
            <w:vAlign w:val="center"/>
          </w:tcPr>
          <w:p w14:paraId="1F08127B">
            <w:pPr>
              <w:widowControl w:val="0"/>
              <w:bidi w:val="0"/>
              <w:spacing w:line="240" w:lineRule="auto"/>
              <w:jc w:val="center"/>
              <w:rPr>
                <w:rFonts w:hint="eastAsia"/>
                <w:sz w:val="21"/>
                <w:szCs w:val="21"/>
                <w:lang w:val="en-US" w:eastAsia="zh-CN"/>
              </w:rPr>
            </w:pPr>
          </w:p>
        </w:tc>
        <w:tc>
          <w:tcPr>
            <w:tcW w:w="1718" w:type="dxa"/>
            <w:vAlign w:val="center"/>
          </w:tcPr>
          <w:p w14:paraId="50151E7E">
            <w:pPr>
              <w:widowControl w:val="0"/>
              <w:bidi w:val="0"/>
              <w:spacing w:line="240" w:lineRule="auto"/>
              <w:jc w:val="center"/>
              <w:rPr>
                <w:rFonts w:hint="eastAsia"/>
                <w:sz w:val="21"/>
                <w:szCs w:val="21"/>
                <w:lang w:val="en-US" w:eastAsia="zh-CN"/>
              </w:rPr>
            </w:pPr>
            <w:r>
              <w:rPr>
                <w:rFonts w:hint="eastAsia"/>
                <w:sz w:val="21"/>
                <w:szCs w:val="21"/>
                <w:lang w:val="en-US" w:eastAsia="zh-CN"/>
              </w:rPr>
              <w:t>现状评价结论</w:t>
            </w:r>
          </w:p>
        </w:tc>
        <w:tc>
          <w:tcPr>
            <w:tcW w:w="6189" w:type="dxa"/>
            <w:gridSpan w:val="5"/>
            <w:vAlign w:val="center"/>
          </w:tcPr>
          <w:p w14:paraId="08006F54">
            <w:pPr>
              <w:widowControl w:val="0"/>
              <w:bidi w:val="0"/>
              <w:spacing w:line="240" w:lineRule="auto"/>
              <w:jc w:val="center"/>
              <w:rPr>
                <w:rFonts w:hint="eastAsia"/>
                <w:sz w:val="21"/>
                <w:szCs w:val="21"/>
                <w:lang w:val="en-US" w:eastAsia="zh-CN"/>
              </w:rPr>
            </w:pPr>
            <w:r>
              <w:rPr>
                <w:rFonts w:hint="eastAsia"/>
                <w:sz w:val="21"/>
                <w:szCs w:val="21"/>
                <w:lang w:val="en-US" w:eastAsia="zh-CN"/>
              </w:rPr>
              <w:t>监测点各监测因子均满足《土壤环境质量 建设用地土壤污染风险管控标准（试行）》（GB36600-2018）中第二类用地筛选值限值要求</w:t>
            </w:r>
          </w:p>
        </w:tc>
        <w:tc>
          <w:tcPr>
            <w:tcW w:w="1191" w:type="dxa"/>
            <w:tcBorders>
              <w:right w:val="single" w:color="000000" w:sz="4" w:space="0"/>
            </w:tcBorders>
            <w:vAlign w:val="center"/>
          </w:tcPr>
          <w:p w14:paraId="66FAEB46">
            <w:pPr>
              <w:widowControl w:val="0"/>
              <w:bidi w:val="0"/>
              <w:spacing w:line="240" w:lineRule="auto"/>
              <w:jc w:val="center"/>
              <w:rPr>
                <w:rFonts w:hint="eastAsia"/>
                <w:sz w:val="21"/>
                <w:szCs w:val="21"/>
                <w:lang w:val="en-US" w:eastAsia="zh-CN"/>
              </w:rPr>
            </w:pPr>
          </w:p>
        </w:tc>
      </w:tr>
      <w:tr w14:paraId="6C494C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restart"/>
            <w:tcBorders>
              <w:left w:val="single" w:color="000000" w:sz="4" w:space="0"/>
              <w:bottom w:val="nil"/>
            </w:tcBorders>
            <w:textDirection w:val="tbRlV"/>
            <w:vAlign w:val="center"/>
          </w:tcPr>
          <w:p w14:paraId="2C49E3AD">
            <w:pPr>
              <w:widowControl w:val="0"/>
              <w:bidi w:val="0"/>
              <w:spacing w:line="240" w:lineRule="auto"/>
              <w:jc w:val="center"/>
              <w:rPr>
                <w:rFonts w:hint="eastAsia"/>
                <w:sz w:val="21"/>
                <w:szCs w:val="21"/>
                <w:lang w:val="en-US" w:eastAsia="zh-CN"/>
              </w:rPr>
            </w:pPr>
            <w:r>
              <w:rPr>
                <w:rFonts w:hint="eastAsia"/>
                <w:sz w:val="21"/>
                <w:szCs w:val="21"/>
                <w:lang w:val="en-US" w:eastAsia="zh-CN"/>
              </w:rPr>
              <w:t>影 响 预 测</w:t>
            </w:r>
          </w:p>
        </w:tc>
        <w:tc>
          <w:tcPr>
            <w:tcW w:w="1718" w:type="dxa"/>
            <w:vAlign w:val="center"/>
          </w:tcPr>
          <w:p w14:paraId="28213C27">
            <w:pPr>
              <w:widowControl w:val="0"/>
              <w:bidi w:val="0"/>
              <w:spacing w:line="240" w:lineRule="auto"/>
              <w:jc w:val="center"/>
              <w:rPr>
                <w:rFonts w:hint="eastAsia"/>
                <w:sz w:val="21"/>
                <w:szCs w:val="21"/>
                <w:lang w:val="en-US" w:eastAsia="zh-CN"/>
              </w:rPr>
            </w:pPr>
            <w:r>
              <w:rPr>
                <w:rFonts w:hint="eastAsia"/>
                <w:sz w:val="21"/>
                <w:szCs w:val="21"/>
                <w:lang w:val="en-US" w:eastAsia="zh-CN"/>
              </w:rPr>
              <w:t>预测因子</w:t>
            </w:r>
          </w:p>
        </w:tc>
        <w:tc>
          <w:tcPr>
            <w:tcW w:w="6189" w:type="dxa"/>
            <w:gridSpan w:val="5"/>
            <w:vAlign w:val="center"/>
          </w:tcPr>
          <w:p w14:paraId="6030CBFE">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1191" w:type="dxa"/>
            <w:tcBorders>
              <w:right w:val="single" w:color="000000" w:sz="4" w:space="0"/>
            </w:tcBorders>
            <w:vAlign w:val="center"/>
          </w:tcPr>
          <w:p w14:paraId="5A03939E">
            <w:pPr>
              <w:widowControl w:val="0"/>
              <w:bidi w:val="0"/>
              <w:spacing w:line="240" w:lineRule="auto"/>
              <w:jc w:val="center"/>
              <w:rPr>
                <w:rFonts w:hint="eastAsia"/>
                <w:sz w:val="21"/>
                <w:szCs w:val="21"/>
                <w:lang w:val="en-US" w:eastAsia="zh-CN"/>
              </w:rPr>
            </w:pPr>
          </w:p>
        </w:tc>
      </w:tr>
      <w:tr w14:paraId="4A700A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707A45BF">
            <w:pPr>
              <w:widowControl w:val="0"/>
              <w:bidi w:val="0"/>
              <w:spacing w:line="240" w:lineRule="auto"/>
              <w:jc w:val="center"/>
              <w:rPr>
                <w:rFonts w:hint="eastAsia"/>
                <w:sz w:val="21"/>
                <w:szCs w:val="21"/>
                <w:lang w:val="en-US" w:eastAsia="zh-CN"/>
              </w:rPr>
            </w:pPr>
          </w:p>
        </w:tc>
        <w:tc>
          <w:tcPr>
            <w:tcW w:w="1718" w:type="dxa"/>
            <w:vAlign w:val="center"/>
          </w:tcPr>
          <w:p w14:paraId="45FFB3E4">
            <w:pPr>
              <w:widowControl w:val="0"/>
              <w:bidi w:val="0"/>
              <w:spacing w:line="240" w:lineRule="auto"/>
              <w:jc w:val="center"/>
              <w:rPr>
                <w:rFonts w:hint="eastAsia"/>
                <w:sz w:val="21"/>
                <w:szCs w:val="21"/>
                <w:lang w:val="en-US" w:eastAsia="zh-CN"/>
              </w:rPr>
            </w:pPr>
            <w:r>
              <w:rPr>
                <w:rFonts w:hint="eastAsia"/>
                <w:sz w:val="21"/>
                <w:szCs w:val="21"/>
                <w:lang w:val="en-US" w:eastAsia="zh-CN"/>
              </w:rPr>
              <w:t>预测方法</w:t>
            </w:r>
          </w:p>
        </w:tc>
        <w:tc>
          <w:tcPr>
            <w:tcW w:w="6189" w:type="dxa"/>
            <w:gridSpan w:val="5"/>
            <w:vAlign w:val="center"/>
          </w:tcPr>
          <w:p w14:paraId="32187683">
            <w:pPr>
              <w:widowControl w:val="0"/>
              <w:bidi w:val="0"/>
              <w:spacing w:line="240" w:lineRule="auto"/>
              <w:jc w:val="center"/>
              <w:rPr>
                <w:rFonts w:hint="eastAsia"/>
                <w:sz w:val="21"/>
                <w:szCs w:val="21"/>
                <w:lang w:val="en-US" w:eastAsia="zh-CN"/>
              </w:rPr>
            </w:pPr>
            <w:r>
              <w:rPr>
                <w:rFonts w:hint="eastAsia"/>
                <w:sz w:val="21"/>
                <w:szCs w:val="21"/>
                <w:lang w:val="en-US" w:eastAsia="zh-CN"/>
              </w:rPr>
              <w:t>附录 E□；附录 F□；其他 ()</w:t>
            </w:r>
          </w:p>
        </w:tc>
        <w:tc>
          <w:tcPr>
            <w:tcW w:w="1191" w:type="dxa"/>
            <w:tcBorders>
              <w:right w:val="single" w:color="000000" w:sz="4" w:space="0"/>
            </w:tcBorders>
            <w:vAlign w:val="center"/>
          </w:tcPr>
          <w:p w14:paraId="5D269F29">
            <w:pPr>
              <w:widowControl w:val="0"/>
              <w:bidi w:val="0"/>
              <w:spacing w:line="240" w:lineRule="auto"/>
              <w:jc w:val="center"/>
              <w:rPr>
                <w:rFonts w:hint="eastAsia"/>
                <w:sz w:val="21"/>
                <w:szCs w:val="21"/>
                <w:lang w:val="en-US" w:eastAsia="zh-CN"/>
              </w:rPr>
            </w:pPr>
          </w:p>
        </w:tc>
      </w:tr>
      <w:tr w14:paraId="6424A0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39E85C5C">
            <w:pPr>
              <w:widowControl w:val="0"/>
              <w:bidi w:val="0"/>
              <w:spacing w:line="240" w:lineRule="auto"/>
              <w:jc w:val="center"/>
              <w:rPr>
                <w:rFonts w:hint="eastAsia"/>
                <w:sz w:val="21"/>
                <w:szCs w:val="21"/>
                <w:lang w:val="en-US" w:eastAsia="zh-CN"/>
              </w:rPr>
            </w:pPr>
          </w:p>
        </w:tc>
        <w:tc>
          <w:tcPr>
            <w:tcW w:w="1718" w:type="dxa"/>
            <w:vAlign w:val="center"/>
          </w:tcPr>
          <w:p w14:paraId="0B8A4116">
            <w:pPr>
              <w:widowControl w:val="0"/>
              <w:bidi w:val="0"/>
              <w:spacing w:line="240" w:lineRule="auto"/>
              <w:jc w:val="center"/>
              <w:rPr>
                <w:rFonts w:hint="eastAsia"/>
                <w:sz w:val="21"/>
                <w:szCs w:val="21"/>
                <w:lang w:val="en-US" w:eastAsia="zh-CN"/>
              </w:rPr>
            </w:pPr>
            <w:r>
              <w:rPr>
                <w:rFonts w:hint="eastAsia"/>
                <w:sz w:val="21"/>
                <w:szCs w:val="21"/>
                <w:lang w:val="en-US" w:eastAsia="zh-CN"/>
              </w:rPr>
              <w:t>预测分析内容</w:t>
            </w:r>
          </w:p>
        </w:tc>
        <w:tc>
          <w:tcPr>
            <w:tcW w:w="6189" w:type="dxa"/>
            <w:gridSpan w:val="5"/>
            <w:vAlign w:val="center"/>
          </w:tcPr>
          <w:p w14:paraId="629834D3">
            <w:pPr>
              <w:widowControl w:val="0"/>
              <w:bidi w:val="0"/>
              <w:spacing w:line="240" w:lineRule="auto"/>
              <w:jc w:val="center"/>
              <w:rPr>
                <w:rFonts w:hint="eastAsia"/>
                <w:sz w:val="21"/>
                <w:szCs w:val="21"/>
                <w:lang w:val="en-US" w:eastAsia="zh-CN"/>
              </w:rPr>
            </w:pPr>
            <w:r>
              <w:rPr>
                <w:rFonts w:hint="eastAsia"/>
                <w:sz w:val="21"/>
                <w:szCs w:val="21"/>
                <w:lang w:val="en-US" w:eastAsia="zh-CN"/>
              </w:rPr>
              <w:t>影响范围（） 影响程度 ()</w:t>
            </w:r>
          </w:p>
        </w:tc>
        <w:tc>
          <w:tcPr>
            <w:tcW w:w="1191" w:type="dxa"/>
            <w:tcBorders>
              <w:right w:val="single" w:color="000000" w:sz="4" w:space="0"/>
            </w:tcBorders>
            <w:vAlign w:val="center"/>
          </w:tcPr>
          <w:p w14:paraId="344E05E1">
            <w:pPr>
              <w:widowControl w:val="0"/>
              <w:bidi w:val="0"/>
              <w:spacing w:line="240" w:lineRule="auto"/>
              <w:jc w:val="center"/>
              <w:rPr>
                <w:rFonts w:hint="eastAsia"/>
                <w:sz w:val="21"/>
                <w:szCs w:val="21"/>
                <w:lang w:val="en-US" w:eastAsia="zh-CN"/>
              </w:rPr>
            </w:pPr>
          </w:p>
        </w:tc>
      </w:tr>
      <w:tr w14:paraId="5CAF94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tcBorders>
            <w:textDirection w:val="tbRlV"/>
            <w:vAlign w:val="center"/>
          </w:tcPr>
          <w:p w14:paraId="3F19C217">
            <w:pPr>
              <w:widowControl w:val="0"/>
              <w:bidi w:val="0"/>
              <w:spacing w:line="240" w:lineRule="auto"/>
              <w:jc w:val="center"/>
              <w:rPr>
                <w:rFonts w:hint="eastAsia"/>
                <w:sz w:val="21"/>
                <w:szCs w:val="21"/>
                <w:lang w:val="en-US" w:eastAsia="zh-CN"/>
              </w:rPr>
            </w:pPr>
          </w:p>
        </w:tc>
        <w:tc>
          <w:tcPr>
            <w:tcW w:w="1718" w:type="dxa"/>
            <w:vAlign w:val="center"/>
          </w:tcPr>
          <w:p w14:paraId="71BC6E72">
            <w:pPr>
              <w:widowControl w:val="0"/>
              <w:bidi w:val="0"/>
              <w:spacing w:line="240" w:lineRule="auto"/>
              <w:jc w:val="center"/>
              <w:rPr>
                <w:rFonts w:hint="eastAsia"/>
                <w:sz w:val="21"/>
                <w:szCs w:val="21"/>
                <w:lang w:val="en-US" w:eastAsia="zh-CN"/>
              </w:rPr>
            </w:pPr>
            <w:r>
              <w:rPr>
                <w:rFonts w:hint="eastAsia"/>
                <w:sz w:val="21"/>
                <w:szCs w:val="21"/>
                <w:lang w:val="en-US" w:eastAsia="zh-CN"/>
              </w:rPr>
              <w:t>预测结论</w:t>
            </w:r>
          </w:p>
        </w:tc>
        <w:tc>
          <w:tcPr>
            <w:tcW w:w="6189" w:type="dxa"/>
            <w:gridSpan w:val="5"/>
            <w:vAlign w:val="center"/>
          </w:tcPr>
          <w:p w14:paraId="771441DD">
            <w:pPr>
              <w:widowControl w:val="0"/>
              <w:bidi w:val="0"/>
              <w:spacing w:line="240" w:lineRule="auto"/>
              <w:jc w:val="center"/>
              <w:rPr>
                <w:rFonts w:hint="eastAsia"/>
                <w:sz w:val="21"/>
                <w:szCs w:val="21"/>
                <w:lang w:val="en-US" w:eastAsia="zh-CN"/>
              </w:rPr>
            </w:pPr>
            <w:r>
              <w:rPr>
                <w:rFonts w:hint="eastAsia"/>
                <w:sz w:val="21"/>
                <w:szCs w:val="21"/>
                <w:lang w:val="en-US" w:eastAsia="zh-CN"/>
              </w:rPr>
              <w:t xml:space="preserve">达标结论：a） </w:t>
            </w:r>
            <w:r>
              <w:rPr>
                <w:rFonts w:hint="eastAsia"/>
                <w:sz w:val="21"/>
                <w:szCs w:val="21"/>
                <w:lang w:val="en-US" w:eastAsia="zh-CN"/>
              </w:rPr>
              <w:drawing>
                <wp:inline distT="0" distB="0" distL="0" distR="0">
                  <wp:extent cx="106680" cy="146685"/>
                  <wp:effectExtent l="0" t="0" r="7620" b="5715"/>
                  <wp:docPr id="41" name="IM 30"/>
                  <wp:cNvGraphicFramePr/>
                  <a:graphic xmlns:a="http://schemas.openxmlformats.org/drawingml/2006/main">
                    <a:graphicData uri="http://schemas.openxmlformats.org/drawingml/2006/picture">
                      <pic:pic xmlns:pic="http://schemas.openxmlformats.org/drawingml/2006/picture">
                        <pic:nvPicPr>
                          <pic:cNvPr id="41" name="IM 30"/>
                          <pic:cNvPicPr/>
                        </pic:nvPicPr>
                        <pic:blipFill>
                          <a:blip r:embed="rId36"/>
                          <a:stretch>
                            <a:fillRect/>
                          </a:stretch>
                        </pic:blipFill>
                        <pic:spPr>
                          <a:xfrm>
                            <a:off x="0" y="0"/>
                            <a:ext cx="107100" cy="147048"/>
                          </a:xfrm>
                          <a:prstGeom prst="rect">
                            <a:avLst/>
                          </a:prstGeom>
                        </pic:spPr>
                      </pic:pic>
                    </a:graphicData>
                  </a:graphic>
                </wp:inline>
              </w:drawing>
            </w:r>
            <w:r>
              <w:rPr>
                <w:rFonts w:hint="eastAsia"/>
                <w:sz w:val="21"/>
                <w:szCs w:val="21"/>
                <w:lang w:val="en-US" w:eastAsia="zh-CN"/>
              </w:rPr>
              <w:t>；b） □ ；c） □  不达标结论：a） □ ；b） □</w:t>
            </w:r>
          </w:p>
        </w:tc>
        <w:tc>
          <w:tcPr>
            <w:tcW w:w="1191" w:type="dxa"/>
            <w:tcBorders>
              <w:right w:val="single" w:color="000000" w:sz="4" w:space="0"/>
            </w:tcBorders>
            <w:vAlign w:val="center"/>
          </w:tcPr>
          <w:p w14:paraId="3BE289C5">
            <w:pPr>
              <w:widowControl w:val="0"/>
              <w:bidi w:val="0"/>
              <w:spacing w:line="240" w:lineRule="auto"/>
              <w:jc w:val="center"/>
              <w:rPr>
                <w:rFonts w:hint="eastAsia"/>
                <w:sz w:val="21"/>
                <w:szCs w:val="21"/>
                <w:lang w:val="en-US" w:eastAsia="zh-CN"/>
              </w:rPr>
            </w:pPr>
          </w:p>
        </w:tc>
      </w:tr>
      <w:tr w14:paraId="48CA5A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restart"/>
            <w:tcBorders>
              <w:left w:val="single" w:color="000000" w:sz="4" w:space="0"/>
              <w:bottom w:val="nil"/>
            </w:tcBorders>
            <w:textDirection w:val="tbRlV"/>
            <w:vAlign w:val="center"/>
          </w:tcPr>
          <w:p w14:paraId="18BFD809">
            <w:pPr>
              <w:widowControl w:val="0"/>
              <w:bidi w:val="0"/>
              <w:spacing w:line="240" w:lineRule="auto"/>
              <w:jc w:val="center"/>
              <w:rPr>
                <w:rFonts w:hint="eastAsia"/>
                <w:sz w:val="21"/>
                <w:szCs w:val="21"/>
                <w:lang w:val="en-US" w:eastAsia="zh-CN"/>
              </w:rPr>
            </w:pPr>
            <w:r>
              <w:rPr>
                <w:rFonts w:hint="eastAsia"/>
                <w:sz w:val="21"/>
                <w:szCs w:val="21"/>
                <w:lang w:val="en-US" w:eastAsia="zh-CN"/>
              </w:rPr>
              <w:t>防 治 措 施</w:t>
            </w:r>
          </w:p>
        </w:tc>
        <w:tc>
          <w:tcPr>
            <w:tcW w:w="1718" w:type="dxa"/>
            <w:vAlign w:val="center"/>
          </w:tcPr>
          <w:p w14:paraId="218D4333">
            <w:pPr>
              <w:widowControl w:val="0"/>
              <w:bidi w:val="0"/>
              <w:spacing w:line="240" w:lineRule="auto"/>
              <w:jc w:val="center"/>
              <w:rPr>
                <w:rFonts w:hint="eastAsia"/>
                <w:sz w:val="21"/>
                <w:szCs w:val="21"/>
                <w:lang w:val="en-US" w:eastAsia="zh-CN"/>
              </w:rPr>
            </w:pPr>
            <w:r>
              <w:rPr>
                <w:rFonts w:hint="eastAsia"/>
                <w:sz w:val="21"/>
                <w:szCs w:val="21"/>
                <w:lang w:val="en-US" w:eastAsia="zh-CN"/>
              </w:rPr>
              <w:t>防控措施</w:t>
            </w:r>
          </w:p>
        </w:tc>
        <w:tc>
          <w:tcPr>
            <w:tcW w:w="6189" w:type="dxa"/>
            <w:gridSpan w:val="5"/>
            <w:vAlign w:val="center"/>
          </w:tcPr>
          <w:p w14:paraId="60BDAA9F">
            <w:pPr>
              <w:widowControl w:val="0"/>
              <w:bidi w:val="0"/>
              <w:spacing w:line="240" w:lineRule="auto"/>
              <w:jc w:val="center"/>
              <w:rPr>
                <w:rFonts w:hint="eastAsia"/>
                <w:sz w:val="21"/>
                <w:szCs w:val="21"/>
                <w:lang w:val="en-US" w:eastAsia="zh-CN"/>
              </w:rPr>
            </w:pPr>
            <w:r>
              <w:rPr>
                <w:rFonts w:hint="eastAsia"/>
                <w:sz w:val="21"/>
                <w:szCs w:val="21"/>
                <w:lang w:val="en-US" w:eastAsia="zh-CN"/>
              </w:rPr>
              <w:t>土壤环境质量现状保障□ ；源头控制</w:t>
            </w:r>
            <w:r>
              <w:rPr>
                <w:rFonts w:hint="eastAsia"/>
                <w:sz w:val="21"/>
                <w:szCs w:val="21"/>
                <w:lang w:val="en-US" w:eastAsia="zh-CN"/>
              </w:rPr>
              <w:drawing>
                <wp:inline distT="0" distB="0" distL="0" distR="0">
                  <wp:extent cx="118745" cy="146685"/>
                  <wp:effectExtent l="0" t="0" r="14605" b="5080"/>
                  <wp:docPr id="42" name="IM 32"/>
                  <wp:cNvGraphicFramePr/>
                  <a:graphic xmlns:a="http://schemas.openxmlformats.org/drawingml/2006/main">
                    <a:graphicData uri="http://schemas.openxmlformats.org/drawingml/2006/picture">
                      <pic:pic xmlns:pic="http://schemas.openxmlformats.org/drawingml/2006/picture">
                        <pic:nvPicPr>
                          <pic:cNvPr id="42" name="IM 32"/>
                          <pic:cNvPicPr/>
                        </pic:nvPicPr>
                        <pic:blipFill>
                          <a:blip r:embed="rId38"/>
                          <a:stretch>
                            <a:fillRect/>
                          </a:stretch>
                        </pic:blipFill>
                        <pic:spPr>
                          <a:xfrm>
                            <a:off x="0" y="0"/>
                            <a:ext cx="118896" cy="147048"/>
                          </a:xfrm>
                          <a:prstGeom prst="rect">
                            <a:avLst/>
                          </a:prstGeom>
                        </pic:spPr>
                      </pic:pic>
                    </a:graphicData>
                  </a:graphic>
                </wp:inline>
              </w:drawing>
            </w:r>
            <w:r>
              <w:rPr>
                <w:rFonts w:hint="eastAsia"/>
                <w:sz w:val="21"/>
                <w:szCs w:val="21"/>
                <w:lang w:val="en-US" w:eastAsia="zh-CN"/>
              </w:rPr>
              <w:t>；过程防控</w:t>
            </w:r>
            <w:r>
              <w:rPr>
                <w:rFonts w:hint="eastAsia"/>
                <w:sz w:val="21"/>
                <w:szCs w:val="21"/>
                <w:lang w:val="en-US" w:eastAsia="zh-CN"/>
              </w:rPr>
              <w:drawing>
                <wp:inline distT="0" distB="0" distL="0" distR="0">
                  <wp:extent cx="118745" cy="146685"/>
                  <wp:effectExtent l="0" t="0" r="14605" b="5080"/>
                  <wp:docPr id="44" name="IM 34"/>
                  <wp:cNvGraphicFramePr/>
                  <a:graphic xmlns:a="http://schemas.openxmlformats.org/drawingml/2006/main">
                    <a:graphicData uri="http://schemas.openxmlformats.org/drawingml/2006/picture">
                      <pic:pic xmlns:pic="http://schemas.openxmlformats.org/drawingml/2006/picture">
                        <pic:nvPicPr>
                          <pic:cNvPr id="44" name="IM 34"/>
                          <pic:cNvPicPr/>
                        </pic:nvPicPr>
                        <pic:blipFill>
                          <a:blip r:embed="rId35"/>
                          <a:stretch>
                            <a:fillRect/>
                          </a:stretch>
                        </pic:blipFill>
                        <pic:spPr>
                          <a:xfrm>
                            <a:off x="0" y="0"/>
                            <a:ext cx="118896" cy="147048"/>
                          </a:xfrm>
                          <a:prstGeom prst="rect">
                            <a:avLst/>
                          </a:prstGeom>
                        </pic:spPr>
                      </pic:pic>
                    </a:graphicData>
                  </a:graphic>
                </wp:inline>
              </w:drawing>
            </w:r>
            <w:r>
              <w:rPr>
                <w:rFonts w:hint="eastAsia"/>
                <w:sz w:val="21"/>
                <w:szCs w:val="21"/>
                <w:lang w:val="en-US" w:eastAsia="zh-CN"/>
              </w:rPr>
              <w:t>；其他 ()</w:t>
            </w:r>
          </w:p>
        </w:tc>
        <w:tc>
          <w:tcPr>
            <w:tcW w:w="1191" w:type="dxa"/>
            <w:tcBorders>
              <w:right w:val="single" w:color="000000" w:sz="4" w:space="0"/>
            </w:tcBorders>
            <w:vAlign w:val="center"/>
          </w:tcPr>
          <w:p w14:paraId="7EA9CEDB">
            <w:pPr>
              <w:widowControl w:val="0"/>
              <w:bidi w:val="0"/>
              <w:spacing w:line="240" w:lineRule="auto"/>
              <w:jc w:val="center"/>
              <w:rPr>
                <w:rFonts w:hint="eastAsia"/>
                <w:sz w:val="21"/>
                <w:szCs w:val="21"/>
                <w:lang w:val="en-US" w:eastAsia="zh-CN"/>
              </w:rPr>
            </w:pPr>
          </w:p>
        </w:tc>
      </w:tr>
      <w:tr w14:paraId="53F6F6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bottom w:val="nil"/>
            </w:tcBorders>
            <w:textDirection w:val="tbRlV"/>
            <w:vAlign w:val="center"/>
          </w:tcPr>
          <w:p w14:paraId="1844955A">
            <w:pPr>
              <w:widowControl w:val="0"/>
              <w:bidi w:val="0"/>
              <w:spacing w:line="240" w:lineRule="auto"/>
              <w:jc w:val="center"/>
              <w:rPr>
                <w:rFonts w:hint="eastAsia"/>
                <w:sz w:val="21"/>
                <w:szCs w:val="21"/>
                <w:lang w:val="en-US" w:eastAsia="zh-CN"/>
              </w:rPr>
            </w:pPr>
          </w:p>
        </w:tc>
        <w:tc>
          <w:tcPr>
            <w:tcW w:w="1718" w:type="dxa"/>
            <w:vMerge w:val="restart"/>
            <w:tcBorders>
              <w:bottom w:val="nil"/>
            </w:tcBorders>
            <w:vAlign w:val="center"/>
          </w:tcPr>
          <w:p w14:paraId="69F4CFFD">
            <w:pPr>
              <w:widowControl w:val="0"/>
              <w:bidi w:val="0"/>
              <w:spacing w:line="240" w:lineRule="auto"/>
              <w:jc w:val="center"/>
              <w:rPr>
                <w:rFonts w:hint="eastAsia"/>
                <w:sz w:val="21"/>
                <w:szCs w:val="21"/>
                <w:lang w:val="en-US" w:eastAsia="zh-CN"/>
              </w:rPr>
            </w:pPr>
          </w:p>
          <w:p w14:paraId="3C6698B0">
            <w:pPr>
              <w:widowControl w:val="0"/>
              <w:bidi w:val="0"/>
              <w:spacing w:line="240" w:lineRule="auto"/>
              <w:jc w:val="center"/>
              <w:rPr>
                <w:rFonts w:hint="eastAsia"/>
                <w:sz w:val="21"/>
                <w:szCs w:val="21"/>
                <w:lang w:val="en-US" w:eastAsia="zh-CN"/>
              </w:rPr>
            </w:pPr>
          </w:p>
          <w:p w14:paraId="07610CB5">
            <w:pPr>
              <w:widowControl w:val="0"/>
              <w:bidi w:val="0"/>
              <w:spacing w:line="240" w:lineRule="auto"/>
              <w:jc w:val="center"/>
              <w:rPr>
                <w:rFonts w:hint="eastAsia"/>
                <w:sz w:val="21"/>
                <w:szCs w:val="21"/>
                <w:lang w:val="en-US" w:eastAsia="zh-CN"/>
              </w:rPr>
            </w:pPr>
            <w:r>
              <w:rPr>
                <w:rFonts w:hint="eastAsia"/>
                <w:sz w:val="21"/>
                <w:szCs w:val="21"/>
                <w:lang w:val="en-US" w:eastAsia="zh-CN"/>
              </w:rPr>
              <w:t>跟踪监测</w:t>
            </w:r>
          </w:p>
        </w:tc>
        <w:tc>
          <w:tcPr>
            <w:tcW w:w="2775" w:type="dxa"/>
            <w:gridSpan w:val="2"/>
            <w:vAlign w:val="center"/>
          </w:tcPr>
          <w:p w14:paraId="542AC5F5">
            <w:pPr>
              <w:widowControl w:val="0"/>
              <w:bidi w:val="0"/>
              <w:spacing w:line="240" w:lineRule="auto"/>
              <w:jc w:val="center"/>
              <w:rPr>
                <w:rFonts w:hint="eastAsia"/>
                <w:sz w:val="21"/>
                <w:szCs w:val="21"/>
                <w:lang w:val="en-US" w:eastAsia="zh-CN"/>
              </w:rPr>
            </w:pPr>
            <w:r>
              <w:rPr>
                <w:rFonts w:hint="eastAsia"/>
                <w:sz w:val="21"/>
                <w:szCs w:val="21"/>
                <w:lang w:val="en-US" w:eastAsia="zh-CN"/>
              </w:rPr>
              <w:t>监测点数</w:t>
            </w:r>
          </w:p>
        </w:tc>
        <w:tc>
          <w:tcPr>
            <w:tcW w:w="1916" w:type="dxa"/>
            <w:gridSpan w:val="2"/>
            <w:vAlign w:val="center"/>
          </w:tcPr>
          <w:p w14:paraId="66B15898">
            <w:pPr>
              <w:widowControl w:val="0"/>
              <w:bidi w:val="0"/>
              <w:spacing w:line="240" w:lineRule="auto"/>
              <w:jc w:val="center"/>
              <w:rPr>
                <w:rFonts w:hint="eastAsia"/>
                <w:sz w:val="21"/>
                <w:szCs w:val="21"/>
                <w:lang w:val="en-US" w:eastAsia="zh-CN"/>
              </w:rPr>
            </w:pPr>
            <w:r>
              <w:rPr>
                <w:rFonts w:hint="eastAsia"/>
                <w:sz w:val="21"/>
                <w:szCs w:val="21"/>
                <w:lang w:val="en-US" w:eastAsia="zh-CN"/>
              </w:rPr>
              <w:t>监测指标</w:t>
            </w:r>
          </w:p>
        </w:tc>
        <w:tc>
          <w:tcPr>
            <w:tcW w:w="1498" w:type="dxa"/>
            <w:vAlign w:val="center"/>
          </w:tcPr>
          <w:p w14:paraId="06F6A2EE">
            <w:pPr>
              <w:widowControl w:val="0"/>
              <w:bidi w:val="0"/>
              <w:spacing w:line="240" w:lineRule="auto"/>
              <w:jc w:val="center"/>
              <w:rPr>
                <w:rFonts w:hint="eastAsia"/>
                <w:sz w:val="21"/>
                <w:szCs w:val="21"/>
                <w:lang w:val="en-US" w:eastAsia="zh-CN"/>
              </w:rPr>
            </w:pPr>
            <w:r>
              <w:rPr>
                <w:rFonts w:hint="eastAsia"/>
                <w:sz w:val="21"/>
                <w:szCs w:val="21"/>
                <w:lang w:val="en-US" w:eastAsia="zh-CN"/>
              </w:rPr>
              <w:t>监测频次</w:t>
            </w:r>
          </w:p>
        </w:tc>
        <w:tc>
          <w:tcPr>
            <w:tcW w:w="1191" w:type="dxa"/>
            <w:vMerge w:val="restart"/>
            <w:tcBorders>
              <w:bottom w:val="nil"/>
              <w:right w:val="single" w:color="000000" w:sz="4" w:space="0"/>
            </w:tcBorders>
            <w:vAlign w:val="center"/>
          </w:tcPr>
          <w:p w14:paraId="055145D5">
            <w:pPr>
              <w:widowControl w:val="0"/>
              <w:bidi w:val="0"/>
              <w:spacing w:line="240" w:lineRule="auto"/>
              <w:jc w:val="center"/>
              <w:rPr>
                <w:rFonts w:hint="eastAsia"/>
                <w:sz w:val="21"/>
                <w:szCs w:val="21"/>
                <w:lang w:val="en-US" w:eastAsia="zh-CN"/>
              </w:rPr>
            </w:pPr>
          </w:p>
        </w:tc>
      </w:tr>
      <w:tr w14:paraId="2AC993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88" w:hRule="atLeast"/>
        </w:trPr>
        <w:tc>
          <w:tcPr>
            <w:tcW w:w="445" w:type="dxa"/>
            <w:vMerge w:val="continue"/>
            <w:tcBorders>
              <w:top w:val="nil"/>
              <w:left w:val="single" w:color="000000" w:sz="4" w:space="0"/>
              <w:bottom w:val="nil"/>
            </w:tcBorders>
            <w:textDirection w:val="tbRlV"/>
            <w:vAlign w:val="center"/>
          </w:tcPr>
          <w:p w14:paraId="0FFD2213">
            <w:pPr>
              <w:widowControl w:val="0"/>
              <w:bidi w:val="0"/>
              <w:spacing w:line="240" w:lineRule="auto"/>
              <w:jc w:val="center"/>
              <w:rPr>
                <w:rFonts w:hint="eastAsia"/>
                <w:sz w:val="21"/>
                <w:szCs w:val="21"/>
                <w:lang w:val="en-US" w:eastAsia="zh-CN"/>
              </w:rPr>
            </w:pPr>
          </w:p>
        </w:tc>
        <w:tc>
          <w:tcPr>
            <w:tcW w:w="1718" w:type="dxa"/>
            <w:vMerge w:val="continue"/>
            <w:tcBorders>
              <w:top w:val="nil"/>
            </w:tcBorders>
            <w:vAlign w:val="center"/>
          </w:tcPr>
          <w:p w14:paraId="7888B907">
            <w:pPr>
              <w:widowControl w:val="0"/>
              <w:bidi w:val="0"/>
              <w:spacing w:line="240" w:lineRule="auto"/>
              <w:jc w:val="center"/>
              <w:rPr>
                <w:rFonts w:hint="eastAsia"/>
                <w:sz w:val="21"/>
                <w:szCs w:val="21"/>
                <w:lang w:val="en-US" w:eastAsia="zh-CN"/>
              </w:rPr>
            </w:pPr>
          </w:p>
        </w:tc>
        <w:tc>
          <w:tcPr>
            <w:tcW w:w="2775" w:type="dxa"/>
            <w:gridSpan w:val="2"/>
            <w:vAlign w:val="center"/>
          </w:tcPr>
          <w:p w14:paraId="421B8939">
            <w:pPr>
              <w:widowControl w:val="0"/>
              <w:bidi w:val="0"/>
              <w:spacing w:line="240" w:lineRule="auto"/>
              <w:jc w:val="center"/>
              <w:rPr>
                <w:rFonts w:hint="eastAsia"/>
                <w:sz w:val="21"/>
                <w:szCs w:val="21"/>
                <w:lang w:val="en-US" w:eastAsia="zh-CN"/>
              </w:rPr>
            </w:pPr>
            <w:r>
              <w:rPr>
                <w:rFonts w:hint="eastAsia"/>
                <w:sz w:val="21"/>
                <w:szCs w:val="21"/>
                <w:lang w:val="en-US" w:eastAsia="zh-CN"/>
              </w:rPr>
              <w:t>1个</w:t>
            </w:r>
          </w:p>
        </w:tc>
        <w:tc>
          <w:tcPr>
            <w:tcW w:w="1916" w:type="dxa"/>
            <w:gridSpan w:val="2"/>
            <w:vAlign w:val="center"/>
          </w:tcPr>
          <w:p w14:paraId="3A09EB1B">
            <w:pPr>
              <w:widowControl w:val="0"/>
              <w:bidi w:val="0"/>
              <w:spacing w:line="240" w:lineRule="auto"/>
              <w:jc w:val="center"/>
              <w:rPr>
                <w:rFonts w:hint="eastAsia"/>
                <w:sz w:val="21"/>
                <w:szCs w:val="21"/>
                <w:lang w:val="en-US" w:eastAsia="zh-CN"/>
              </w:rPr>
            </w:pPr>
            <w:r>
              <w:rPr>
                <w:rFonts w:hint="eastAsia"/>
                <w:sz w:val="21"/>
                <w:szCs w:val="21"/>
                <w:lang w:val="en-US" w:eastAsia="zh-CN"/>
              </w:rPr>
              <w:t>①重金属和无机物、</w:t>
            </w:r>
          </w:p>
          <w:p w14:paraId="253A8283">
            <w:pPr>
              <w:widowControl w:val="0"/>
              <w:bidi w:val="0"/>
              <w:spacing w:line="240" w:lineRule="auto"/>
              <w:jc w:val="center"/>
              <w:rPr>
                <w:rFonts w:hint="eastAsia"/>
                <w:sz w:val="21"/>
                <w:szCs w:val="21"/>
                <w:lang w:val="en-US" w:eastAsia="zh-CN"/>
              </w:rPr>
            </w:pPr>
            <w:r>
              <w:rPr>
                <w:rFonts w:hint="eastAsia"/>
                <w:sz w:val="21"/>
                <w:szCs w:val="21"/>
                <w:lang w:val="en-US" w:eastAsia="zh-CN"/>
              </w:rPr>
              <w:t>②挥发性有机物、③半挥发性有机物</w:t>
            </w:r>
          </w:p>
        </w:tc>
        <w:tc>
          <w:tcPr>
            <w:tcW w:w="1498" w:type="dxa"/>
            <w:vAlign w:val="center"/>
          </w:tcPr>
          <w:p w14:paraId="38E8F154">
            <w:pPr>
              <w:widowControl w:val="0"/>
              <w:bidi w:val="0"/>
              <w:spacing w:line="240" w:lineRule="auto"/>
              <w:jc w:val="center"/>
              <w:rPr>
                <w:rFonts w:hint="eastAsia"/>
                <w:sz w:val="21"/>
                <w:szCs w:val="21"/>
                <w:lang w:val="en-US" w:eastAsia="zh-CN"/>
              </w:rPr>
            </w:pPr>
            <w:r>
              <w:rPr>
                <w:rFonts w:hint="eastAsia"/>
                <w:sz w:val="21"/>
                <w:szCs w:val="21"/>
                <w:lang w:val="en-US" w:eastAsia="zh-CN"/>
              </w:rPr>
              <w:t>每5年监测一次</w:t>
            </w:r>
          </w:p>
        </w:tc>
        <w:tc>
          <w:tcPr>
            <w:tcW w:w="1191" w:type="dxa"/>
            <w:vMerge w:val="continue"/>
            <w:tcBorders>
              <w:top w:val="nil"/>
              <w:bottom w:val="nil"/>
              <w:right w:val="single" w:color="000000" w:sz="4" w:space="0"/>
            </w:tcBorders>
            <w:vAlign w:val="center"/>
          </w:tcPr>
          <w:p w14:paraId="0737507F">
            <w:pPr>
              <w:widowControl w:val="0"/>
              <w:bidi w:val="0"/>
              <w:spacing w:line="240" w:lineRule="auto"/>
              <w:jc w:val="center"/>
              <w:rPr>
                <w:rFonts w:hint="eastAsia"/>
                <w:sz w:val="21"/>
                <w:szCs w:val="21"/>
                <w:lang w:val="en-US" w:eastAsia="zh-CN"/>
              </w:rPr>
            </w:pPr>
          </w:p>
        </w:tc>
      </w:tr>
      <w:tr w14:paraId="3D2EB4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3" w:hRule="atLeast"/>
        </w:trPr>
        <w:tc>
          <w:tcPr>
            <w:tcW w:w="445" w:type="dxa"/>
            <w:vMerge w:val="continue"/>
            <w:tcBorders>
              <w:top w:val="nil"/>
              <w:left w:val="single" w:color="000000" w:sz="4" w:space="0"/>
            </w:tcBorders>
            <w:textDirection w:val="tbRlV"/>
            <w:vAlign w:val="center"/>
          </w:tcPr>
          <w:p w14:paraId="2C29C378">
            <w:pPr>
              <w:widowControl w:val="0"/>
              <w:bidi w:val="0"/>
              <w:spacing w:line="240" w:lineRule="auto"/>
              <w:jc w:val="center"/>
              <w:rPr>
                <w:rFonts w:hint="eastAsia"/>
                <w:sz w:val="21"/>
                <w:szCs w:val="21"/>
                <w:lang w:val="en-US" w:eastAsia="zh-CN"/>
              </w:rPr>
            </w:pPr>
          </w:p>
        </w:tc>
        <w:tc>
          <w:tcPr>
            <w:tcW w:w="1718" w:type="dxa"/>
            <w:vAlign w:val="center"/>
          </w:tcPr>
          <w:p w14:paraId="71A19D9B">
            <w:pPr>
              <w:widowControl w:val="0"/>
              <w:bidi w:val="0"/>
              <w:spacing w:line="240" w:lineRule="auto"/>
              <w:jc w:val="center"/>
              <w:rPr>
                <w:rFonts w:hint="eastAsia"/>
                <w:sz w:val="21"/>
                <w:szCs w:val="21"/>
                <w:lang w:val="en-US" w:eastAsia="zh-CN"/>
              </w:rPr>
            </w:pPr>
            <w:r>
              <w:rPr>
                <w:rFonts w:hint="eastAsia"/>
                <w:sz w:val="21"/>
                <w:szCs w:val="21"/>
                <w:lang w:val="en-US" w:eastAsia="zh-CN"/>
              </w:rPr>
              <w:t>信息公开指标</w:t>
            </w:r>
          </w:p>
        </w:tc>
        <w:tc>
          <w:tcPr>
            <w:tcW w:w="6189" w:type="dxa"/>
            <w:gridSpan w:val="5"/>
            <w:vAlign w:val="center"/>
          </w:tcPr>
          <w:p w14:paraId="7863EDA3">
            <w:pPr>
              <w:widowControl w:val="0"/>
              <w:bidi w:val="0"/>
              <w:spacing w:line="240" w:lineRule="auto"/>
              <w:jc w:val="center"/>
              <w:rPr>
                <w:rFonts w:hint="eastAsia"/>
                <w:sz w:val="21"/>
                <w:szCs w:val="21"/>
                <w:lang w:val="en-US" w:eastAsia="zh-CN"/>
              </w:rPr>
            </w:pPr>
            <w:r>
              <w:rPr>
                <w:rFonts w:hint="eastAsia"/>
                <w:sz w:val="21"/>
                <w:szCs w:val="21"/>
                <w:lang w:val="en-US" w:eastAsia="zh-CN"/>
              </w:rPr>
              <w:t>/</w:t>
            </w:r>
          </w:p>
        </w:tc>
        <w:tc>
          <w:tcPr>
            <w:tcW w:w="1191" w:type="dxa"/>
            <w:vMerge w:val="continue"/>
            <w:tcBorders>
              <w:top w:val="nil"/>
              <w:right w:val="single" w:color="000000" w:sz="4" w:space="0"/>
            </w:tcBorders>
            <w:vAlign w:val="center"/>
          </w:tcPr>
          <w:p w14:paraId="79791C2E">
            <w:pPr>
              <w:widowControl w:val="0"/>
              <w:bidi w:val="0"/>
              <w:spacing w:line="240" w:lineRule="auto"/>
              <w:jc w:val="center"/>
              <w:rPr>
                <w:rFonts w:hint="eastAsia"/>
                <w:sz w:val="21"/>
                <w:szCs w:val="21"/>
                <w:lang w:val="en-US" w:eastAsia="zh-CN"/>
              </w:rPr>
            </w:pPr>
          </w:p>
        </w:tc>
      </w:tr>
      <w:tr w14:paraId="0808C4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5" w:hRule="atLeast"/>
        </w:trPr>
        <w:tc>
          <w:tcPr>
            <w:tcW w:w="2163" w:type="dxa"/>
            <w:gridSpan w:val="2"/>
            <w:tcBorders>
              <w:left w:val="single" w:color="000000" w:sz="4" w:space="0"/>
              <w:bottom w:val="single" w:color="000000" w:sz="4" w:space="0"/>
            </w:tcBorders>
            <w:vAlign w:val="center"/>
          </w:tcPr>
          <w:p w14:paraId="44AB44D1">
            <w:pPr>
              <w:widowControl w:val="0"/>
              <w:bidi w:val="0"/>
              <w:spacing w:line="240" w:lineRule="auto"/>
              <w:jc w:val="center"/>
              <w:rPr>
                <w:rFonts w:hint="eastAsia"/>
                <w:sz w:val="21"/>
                <w:szCs w:val="21"/>
                <w:lang w:val="en-US" w:eastAsia="zh-CN"/>
              </w:rPr>
            </w:pPr>
            <w:r>
              <w:rPr>
                <w:rFonts w:hint="eastAsia"/>
                <w:sz w:val="21"/>
                <w:szCs w:val="21"/>
                <w:lang w:val="en-US" w:eastAsia="zh-CN"/>
              </w:rPr>
              <w:t>评价结论</w:t>
            </w:r>
          </w:p>
        </w:tc>
        <w:tc>
          <w:tcPr>
            <w:tcW w:w="6189" w:type="dxa"/>
            <w:gridSpan w:val="5"/>
            <w:tcBorders>
              <w:bottom w:val="single" w:color="000000" w:sz="4" w:space="0"/>
            </w:tcBorders>
            <w:vAlign w:val="center"/>
          </w:tcPr>
          <w:p w14:paraId="22B76EA8">
            <w:pPr>
              <w:widowControl w:val="0"/>
              <w:bidi w:val="0"/>
              <w:spacing w:line="240" w:lineRule="auto"/>
              <w:jc w:val="center"/>
              <w:rPr>
                <w:rFonts w:hint="eastAsia"/>
                <w:sz w:val="21"/>
                <w:szCs w:val="21"/>
                <w:lang w:val="en-US" w:eastAsia="zh-CN"/>
              </w:rPr>
            </w:pPr>
            <w:r>
              <w:rPr>
                <w:rFonts w:hint="eastAsia"/>
                <w:sz w:val="21"/>
                <w:szCs w:val="21"/>
                <w:lang w:val="en-US" w:eastAsia="zh-CN"/>
              </w:rPr>
              <w:t>采取环评提出的措施，影响可接受</w:t>
            </w:r>
          </w:p>
        </w:tc>
        <w:tc>
          <w:tcPr>
            <w:tcW w:w="1191" w:type="dxa"/>
            <w:tcBorders>
              <w:bottom w:val="single" w:color="000000" w:sz="4" w:space="0"/>
              <w:right w:val="single" w:color="000000" w:sz="4" w:space="0"/>
            </w:tcBorders>
            <w:vAlign w:val="center"/>
          </w:tcPr>
          <w:p w14:paraId="5C72355E">
            <w:pPr>
              <w:widowControl w:val="0"/>
              <w:bidi w:val="0"/>
              <w:spacing w:line="240" w:lineRule="auto"/>
              <w:jc w:val="center"/>
              <w:rPr>
                <w:rFonts w:hint="eastAsia"/>
                <w:sz w:val="21"/>
                <w:szCs w:val="21"/>
                <w:lang w:val="en-US" w:eastAsia="zh-CN"/>
              </w:rPr>
            </w:pPr>
          </w:p>
        </w:tc>
      </w:tr>
      <w:tr w14:paraId="358A53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7" w:hRule="atLeast"/>
        </w:trPr>
        <w:tc>
          <w:tcPr>
            <w:tcW w:w="9543" w:type="dxa"/>
            <w:gridSpan w:val="8"/>
            <w:tcBorders>
              <w:top w:val="single" w:color="000000" w:sz="4" w:space="0"/>
              <w:left w:val="single" w:color="000000" w:sz="4" w:space="0"/>
              <w:bottom w:val="single" w:color="000000" w:sz="4" w:space="0"/>
              <w:right w:val="single" w:color="000000" w:sz="4" w:space="0"/>
            </w:tcBorders>
            <w:vAlign w:val="center"/>
          </w:tcPr>
          <w:p w14:paraId="135F4BEC">
            <w:pPr>
              <w:widowControl w:val="0"/>
              <w:bidi w:val="0"/>
              <w:spacing w:line="240" w:lineRule="auto"/>
              <w:jc w:val="center"/>
              <w:rPr>
                <w:rFonts w:hint="eastAsia"/>
                <w:sz w:val="21"/>
                <w:szCs w:val="21"/>
                <w:lang w:val="en-US" w:eastAsia="zh-CN"/>
              </w:rPr>
            </w:pPr>
            <w:r>
              <w:rPr>
                <w:rFonts w:hint="eastAsia"/>
                <w:sz w:val="21"/>
                <w:szCs w:val="21"/>
                <w:lang w:val="en-US" w:eastAsia="zh-CN"/>
              </w:rPr>
              <w:t>注 1 ：“ □”为勾选项，可√ ; “  ( ) ”为内容填写项；“备注”为其他补充内容。 注 2 ：需要分别开展土壤环</w:t>
            </w:r>
          </w:p>
          <w:p w14:paraId="55964410">
            <w:pPr>
              <w:widowControl w:val="0"/>
              <w:bidi w:val="0"/>
              <w:spacing w:line="240" w:lineRule="auto"/>
              <w:jc w:val="center"/>
              <w:rPr>
                <w:rFonts w:hint="eastAsia"/>
                <w:sz w:val="21"/>
                <w:szCs w:val="21"/>
                <w:lang w:val="en-US" w:eastAsia="zh-CN"/>
              </w:rPr>
            </w:pPr>
            <w:r>
              <w:rPr>
                <w:rFonts w:hint="eastAsia"/>
                <w:sz w:val="21"/>
                <w:szCs w:val="21"/>
                <w:lang w:val="en-US" w:eastAsia="zh-CN"/>
              </w:rPr>
              <w:t>境影响评级工作的，分别填写自查表。</w:t>
            </w:r>
          </w:p>
        </w:tc>
      </w:tr>
    </w:tbl>
    <w:p w14:paraId="0482800A">
      <w:pPr>
        <w:bidi w:val="0"/>
        <w:rPr>
          <w:rFonts w:hint="eastAsia"/>
          <w:lang w:val="en-US" w:eastAsia="zh-CN"/>
        </w:rPr>
      </w:pPr>
    </w:p>
    <w:p w14:paraId="0560BAEC">
      <w:pPr>
        <w:bidi w:val="0"/>
        <w:rPr>
          <w:rFonts w:hint="eastAsia"/>
          <w:lang w:val="en-US" w:eastAsia="zh-CN"/>
        </w:rPr>
        <w:sectPr>
          <w:pgSz w:w="11905" w:h="16838"/>
          <w:pgMar w:top="1417" w:right="1134" w:bottom="1134" w:left="1417" w:header="851" w:footer="992" w:gutter="0"/>
          <w:pgNumType w:fmt="decimal"/>
          <w:cols w:space="0" w:num="1"/>
          <w:rtlGutter w:val="0"/>
          <w:docGrid w:type="lines" w:linePitch="346" w:charSpace="0"/>
        </w:sectPr>
      </w:pPr>
    </w:p>
    <w:p w14:paraId="2466657F">
      <w:pPr>
        <w:pStyle w:val="3"/>
        <w:bidi w:val="0"/>
        <w:jc w:val="center"/>
        <w:rPr>
          <w:rFonts w:hint="default"/>
          <w:lang w:val="en-US" w:eastAsia="zh-CN"/>
        </w:rPr>
      </w:pPr>
      <w:bookmarkStart w:id="96" w:name="_Toc12472"/>
      <w:r>
        <w:rPr>
          <w:rFonts w:hint="eastAsia"/>
          <w:lang w:val="en-US" w:eastAsia="zh-CN"/>
        </w:rPr>
        <w:t>第七章 环境保护措施及其可行性论证</w:t>
      </w:r>
      <w:bookmarkEnd w:id="96"/>
    </w:p>
    <w:p w14:paraId="2D195AC0">
      <w:pPr>
        <w:pStyle w:val="2"/>
        <w:bidi w:val="0"/>
        <w:rPr>
          <w:rFonts w:hint="eastAsia"/>
          <w:lang w:val="en-US" w:eastAsia="zh-CN"/>
        </w:rPr>
      </w:pPr>
      <w:bookmarkStart w:id="97" w:name="_Toc22705"/>
      <w:bookmarkStart w:id="98" w:name="_Toc12213"/>
      <w:r>
        <w:rPr>
          <w:rFonts w:hint="eastAsia"/>
          <w:lang w:val="en-US" w:eastAsia="zh-CN"/>
        </w:rPr>
        <w:t>7.1 废气污染防治措施</w:t>
      </w:r>
      <w:bookmarkEnd w:id="97"/>
      <w:bookmarkEnd w:id="98"/>
    </w:p>
    <w:p w14:paraId="39C41083">
      <w:pPr>
        <w:bidi w:val="0"/>
        <w:rPr>
          <w:rFonts w:hint="eastAsia"/>
          <w:b/>
          <w:bCs/>
          <w:lang w:val="en-US" w:eastAsia="zh-CN"/>
        </w:rPr>
      </w:pPr>
      <w:r>
        <w:rPr>
          <w:rFonts w:hint="eastAsia"/>
          <w:b/>
          <w:bCs/>
          <w:lang w:val="en-US" w:eastAsia="zh-CN"/>
        </w:rPr>
        <w:t>7.1.1 废气污染治理要求</w:t>
      </w:r>
    </w:p>
    <w:p w14:paraId="6DC5139A">
      <w:pPr>
        <w:bidi w:val="0"/>
        <w:ind w:firstLine="480" w:firstLineChars="200"/>
        <w:rPr>
          <w:rFonts w:hint="eastAsia"/>
          <w:lang w:val="en-US" w:eastAsia="zh-CN"/>
        </w:rPr>
      </w:pPr>
      <w:r>
        <w:rPr>
          <w:rFonts w:hint="eastAsia"/>
          <w:color w:val="auto"/>
          <w:lang w:val="en-US" w:eastAsia="zh-CN"/>
        </w:rPr>
        <w:t>本次技改项目涉及的</w:t>
      </w:r>
      <w:r>
        <w:rPr>
          <w:rFonts w:hint="default"/>
          <w:color w:val="auto"/>
        </w:rPr>
        <w:t>电池生产工艺过程中产生的颗粒物、非甲烷总烃排放执行《电池工业污染物排放标准》（GB30484-2013）表5标准中太阳能电池大气污染物的排放标准</w:t>
      </w:r>
      <w:r>
        <w:rPr>
          <w:rFonts w:hint="eastAsia"/>
          <w:color w:val="auto"/>
          <w:lang w:eastAsia="zh-CN"/>
        </w:rPr>
        <w:t>、</w:t>
      </w:r>
      <w:r>
        <w:rPr>
          <w:rFonts w:hint="default"/>
          <w:color w:val="auto"/>
        </w:rPr>
        <w:t>表6企业边界大气污染物浓度限值；厂区内挥发性有机物无组织排放执行《挥发性有机物无组织排放控制标准》（GB37822-2019）特别排放限值要求。</w:t>
      </w:r>
    </w:p>
    <w:p w14:paraId="2153E5E3">
      <w:pPr>
        <w:bidi w:val="0"/>
        <w:rPr>
          <w:rFonts w:hint="eastAsia"/>
          <w:b/>
          <w:bCs/>
          <w:lang w:val="en-US" w:eastAsia="zh-CN"/>
        </w:rPr>
      </w:pPr>
      <w:r>
        <w:rPr>
          <w:rFonts w:hint="eastAsia"/>
          <w:b/>
          <w:bCs/>
          <w:lang w:val="en-US" w:eastAsia="zh-CN"/>
        </w:rPr>
        <w:t>7.1.2 废气污染物特征分析</w:t>
      </w:r>
    </w:p>
    <w:p w14:paraId="2C4E8B8F">
      <w:pPr>
        <w:bidi w:val="0"/>
        <w:ind w:firstLine="480" w:firstLineChars="200"/>
        <w:rPr>
          <w:rFonts w:hint="eastAsia"/>
          <w:lang w:val="en-US" w:eastAsia="zh-CN"/>
        </w:rPr>
      </w:pPr>
      <w:r>
        <w:rPr>
          <w:rFonts w:hint="eastAsia"/>
          <w:color w:val="auto"/>
          <w:lang w:val="en-US" w:eastAsia="zh-CN"/>
        </w:rPr>
        <w:t>本次技改项目</w:t>
      </w:r>
      <w:r>
        <w:rPr>
          <w:rFonts w:hint="eastAsia"/>
          <w:lang w:val="en-US" w:eastAsia="zh-CN"/>
        </w:rPr>
        <w:t>主要废气污染物包括：</w:t>
      </w:r>
    </w:p>
    <w:p w14:paraId="787411F6">
      <w:pPr>
        <w:bidi w:val="0"/>
        <w:ind w:firstLine="480" w:firstLineChars="200"/>
        <w:rPr>
          <w:rFonts w:hint="eastAsia"/>
          <w:lang w:val="en-US" w:eastAsia="zh-CN"/>
        </w:rPr>
      </w:pPr>
      <w:r>
        <w:rPr>
          <w:rFonts w:hint="eastAsia"/>
          <w:lang w:val="en-US" w:eastAsia="zh-CN"/>
        </w:rPr>
        <w:t>（1）电池片车间1：四分片钝化废气、丝网印刷烧结废气、ME（激光开模）废气、AC（银包铜印刷、固化）废气、激光划片废气等，主要污染物为VOCs、颗粒物等；</w:t>
      </w:r>
    </w:p>
    <w:p w14:paraId="4AC4AD8E">
      <w:pPr>
        <w:bidi w:val="0"/>
        <w:ind w:firstLine="480" w:firstLineChars="200"/>
        <w:rPr>
          <w:rFonts w:hint="eastAsia"/>
          <w:lang w:val="en-US" w:eastAsia="zh-CN"/>
        </w:rPr>
      </w:pPr>
      <w:r>
        <w:rPr>
          <w:rFonts w:hint="eastAsia"/>
          <w:lang w:val="en-US" w:eastAsia="zh-CN"/>
        </w:rPr>
        <w:t>（2）无组织废气主要包括设备未收集到的VOCs、颗粒物等。</w:t>
      </w:r>
    </w:p>
    <w:p w14:paraId="15928938">
      <w:pPr>
        <w:bidi w:val="0"/>
        <w:rPr>
          <w:rFonts w:hint="eastAsia"/>
          <w:b/>
          <w:bCs/>
          <w:lang w:val="en-US" w:eastAsia="zh-CN"/>
        </w:rPr>
      </w:pPr>
      <w:r>
        <w:rPr>
          <w:rFonts w:hint="eastAsia"/>
          <w:b/>
          <w:bCs/>
          <w:lang w:val="en-US" w:eastAsia="zh-CN"/>
        </w:rPr>
        <w:t>7.1.3 项目拟采取的废气治理措施</w:t>
      </w:r>
    </w:p>
    <w:p w14:paraId="700D2289">
      <w:pPr>
        <w:bidi w:val="0"/>
        <w:rPr>
          <w:rFonts w:hint="eastAsia"/>
          <w:b/>
          <w:bCs/>
          <w:lang w:val="en-US" w:eastAsia="zh-CN"/>
        </w:rPr>
      </w:pPr>
      <w:r>
        <w:rPr>
          <w:rFonts w:hint="eastAsia"/>
          <w:b/>
          <w:bCs/>
          <w:lang w:val="en-US" w:eastAsia="zh-CN"/>
        </w:rPr>
        <w:t>7.1.3.1 废气收集措施</w:t>
      </w:r>
    </w:p>
    <w:p w14:paraId="2EAEBB18">
      <w:pPr>
        <w:bidi w:val="0"/>
        <w:ind w:firstLine="480" w:firstLineChars="200"/>
        <w:rPr>
          <w:rFonts w:hint="eastAsia"/>
          <w:lang w:val="en-US" w:eastAsia="zh-CN"/>
        </w:rPr>
      </w:pPr>
      <w:r>
        <w:rPr>
          <w:rFonts w:hint="eastAsia"/>
          <w:lang w:val="en-US" w:eastAsia="zh-CN"/>
        </w:rPr>
        <w:t>本项目废气收集措施如下：</w:t>
      </w:r>
    </w:p>
    <w:p w14:paraId="7B6018B8">
      <w:pPr>
        <w:bidi w:val="0"/>
        <w:jc w:val="center"/>
        <w:rPr>
          <w:rFonts w:hint="eastAsia"/>
          <w:b/>
          <w:bCs/>
          <w:lang w:val="en-US" w:eastAsia="zh-CN"/>
        </w:rPr>
      </w:pPr>
      <w:r>
        <w:rPr>
          <w:rFonts w:hint="eastAsia"/>
          <w:b/>
          <w:bCs/>
          <w:lang w:val="en-US" w:eastAsia="zh-CN"/>
        </w:rPr>
        <w:t>表7.1.3-1 废气收集措施一览表</w:t>
      </w:r>
    </w:p>
    <w:tbl>
      <w:tblPr>
        <w:tblStyle w:val="17"/>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922"/>
        <w:gridCol w:w="1478"/>
        <w:gridCol w:w="1277"/>
        <w:gridCol w:w="5893"/>
      </w:tblGrid>
      <w:tr w14:paraId="1B36FD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6" w:hRule="atLeast"/>
          <w:jc w:val="center"/>
        </w:trPr>
        <w:tc>
          <w:tcPr>
            <w:tcW w:w="481" w:type="pct"/>
            <w:tcBorders>
              <w:bottom w:val="single" w:color="000000" w:sz="2" w:space="0"/>
            </w:tcBorders>
            <w:noWrap w:val="0"/>
            <w:vAlign w:val="center"/>
          </w:tcPr>
          <w:p w14:paraId="21AEDDB0">
            <w:pPr>
              <w:bidi w:val="0"/>
              <w:spacing w:line="240" w:lineRule="auto"/>
              <w:jc w:val="center"/>
              <w:rPr>
                <w:rFonts w:hint="eastAsia"/>
                <w:b/>
                <w:bCs/>
                <w:sz w:val="21"/>
                <w:szCs w:val="21"/>
                <w:lang w:val="en-US" w:eastAsia="zh-CN"/>
              </w:rPr>
            </w:pPr>
            <w:r>
              <w:rPr>
                <w:rFonts w:hint="eastAsia"/>
                <w:b/>
                <w:bCs/>
                <w:sz w:val="21"/>
                <w:szCs w:val="21"/>
                <w:lang w:val="en-US" w:eastAsia="zh-CN"/>
              </w:rPr>
              <w:t>位置</w:t>
            </w:r>
          </w:p>
        </w:tc>
        <w:tc>
          <w:tcPr>
            <w:tcW w:w="772" w:type="pct"/>
            <w:tcBorders>
              <w:bottom w:val="single" w:color="000000" w:sz="2" w:space="0"/>
            </w:tcBorders>
            <w:noWrap w:val="0"/>
            <w:vAlign w:val="center"/>
          </w:tcPr>
          <w:p w14:paraId="486EDC0D">
            <w:pPr>
              <w:bidi w:val="0"/>
              <w:spacing w:line="240" w:lineRule="auto"/>
              <w:jc w:val="center"/>
              <w:rPr>
                <w:rFonts w:hint="eastAsia"/>
                <w:b/>
                <w:bCs/>
                <w:sz w:val="21"/>
                <w:szCs w:val="21"/>
                <w:lang w:val="en-US" w:eastAsia="zh-CN"/>
              </w:rPr>
            </w:pPr>
            <w:r>
              <w:rPr>
                <w:rFonts w:hint="eastAsia"/>
                <w:b/>
                <w:bCs/>
                <w:sz w:val="21"/>
                <w:szCs w:val="21"/>
                <w:lang w:val="en-US" w:eastAsia="zh-CN"/>
              </w:rPr>
              <w:t>工艺过程</w:t>
            </w:r>
          </w:p>
        </w:tc>
        <w:tc>
          <w:tcPr>
            <w:tcW w:w="667" w:type="pct"/>
            <w:tcBorders>
              <w:bottom w:val="single" w:color="000000" w:sz="2" w:space="0"/>
            </w:tcBorders>
            <w:noWrap w:val="0"/>
            <w:vAlign w:val="center"/>
          </w:tcPr>
          <w:p w14:paraId="2AEADB51">
            <w:pPr>
              <w:bidi w:val="0"/>
              <w:spacing w:line="240" w:lineRule="auto"/>
              <w:jc w:val="center"/>
              <w:rPr>
                <w:rFonts w:hint="eastAsia"/>
                <w:b/>
                <w:bCs/>
                <w:sz w:val="21"/>
                <w:szCs w:val="21"/>
                <w:lang w:val="en-US" w:eastAsia="zh-CN"/>
              </w:rPr>
            </w:pPr>
            <w:r>
              <w:rPr>
                <w:rFonts w:hint="eastAsia"/>
                <w:b/>
                <w:bCs/>
                <w:sz w:val="21"/>
                <w:szCs w:val="21"/>
                <w:lang w:val="en-US" w:eastAsia="zh-CN"/>
              </w:rPr>
              <w:t>排放方式</w:t>
            </w:r>
          </w:p>
        </w:tc>
        <w:tc>
          <w:tcPr>
            <w:tcW w:w="3078" w:type="pct"/>
            <w:noWrap w:val="0"/>
            <w:vAlign w:val="center"/>
          </w:tcPr>
          <w:p w14:paraId="0ED63490">
            <w:pPr>
              <w:bidi w:val="0"/>
              <w:spacing w:line="240" w:lineRule="auto"/>
              <w:jc w:val="center"/>
              <w:rPr>
                <w:rFonts w:hint="eastAsia"/>
                <w:b/>
                <w:bCs/>
                <w:sz w:val="21"/>
                <w:szCs w:val="21"/>
                <w:lang w:val="en-US" w:eastAsia="zh-CN"/>
              </w:rPr>
            </w:pPr>
            <w:r>
              <w:rPr>
                <w:rFonts w:hint="eastAsia"/>
                <w:b/>
                <w:bCs/>
                <w:sz w:val="21"/>
                <w:szCs w:val="21"/>
                <w:lang w:val="en-US" w:eastAsia="zh-CN"/>
              </w:rPr>
              <w:t>集气方式</w:t>
            </w:r>
          </w:p>
        </w:tc>
      </w:tr>
      <w:tr w14:paraId="5535C5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45" w:hRule="atLeast"/>
          <w:jc w:val="center"/>
        </w:trPr>
        <w:tc>
          <w:tcPr>
            <w:tcW w:w="481" w:type="pct"/>
            <w:vMerge w:val="restart"/>
            <w:tcBorders>
              <w:top w:val="single" w:color="000000" w:sz="2" w:space="0"/>
            </w:tcBorders>
            <w:noWrap w:val="0"/>
            <w:vAlign w:val="center"/>
          </w:tcPr>
          <w:p w14:paraId="096CF48F">
            <w:pPr>
              <w:bidi w:val="0"/>
              <w:spacing w:line="240" w:lineRule="auto"/>
              <w:jc w:val="center"/>
              <w:rPr>
                <w:rFonts w:hint="eastAsia"/>
                <w:sz w:val="21"/>
                <w:szCs w:val="21"/>
                <w:lang w:val="en-US" w:eastAsia="zh-CN"/>
              </w:rPr>
            </w:pPr>
            <w:r>
              <w:rPr>
                <w:rFonts w:hint="eastAsia"/>
                <w:sz w:val="21"/>
                <w:szCs w:val="21"/>
                <w:lang w:val="en-US" w:eastAsia="zh-CN"/>
              </w:rPr>
              <w:t>电池片车间1</w:t>
            </w:r>
          </w:p>
        </w:tc>
        <w:tc>
          <w:tcPr>
            <w:tcW w:w="772" w:type="pct"/>
            <w:tcBorders>
              <w:top w:val="single" w:color="000000" w:sz="2" w:space="0"/>
              <w:bottom w:val="single" w:color="000000" w:sz="2" w:space="0"/>
            </w:tcBorders>
            <w:noWrap w:val="0"/>
            <w:vAlign w:val="center"/>
          </w:tcPr>
          <w:p w14:paraId="18867617">
            <w:pPr>
              <w:bidi w:val="0"/>
              <w:spacing w:line="240" w:lineRule="auto"/>
              <w:jc w:val="center"/>
              <w:rPr>
                <w:rFonts w:hint="eastAsia"/>
                <w:sz w:val="21"/>
                <w:szCs w:val="21"/>
                <w:lang w:val="en-US" w:eastAsia="zh-CN"/>
              </w:rPr>
            </w:pPr>
            <w:r>
              <w:rPr>
                <w:rFonts w:hint="eastAsia"/>
                <w:sz w:val="21"/>
                <w:szCs w:val="21"/>
                <w:lang w:val="en-US" w:eastAsia="zh-CN"/>
              </w:rPr>
              <w:t>四分片钝化</w:t>
            </w:r>
          </w:p>
        </w:tc>
        <w:tc>
          <w:tcPr>
            <w:tcW w:w="667" w:type="pct"/>
            <w:tcBorders>
              <w:top w:val="single" w:color="000000" w:sz="2" w:space="0"/>
              <w:bottom w:val="single" w:color="000000" w:sz="2" w:space="0"/>
            </w:tcBorders>
            <w:noWrap w:val="0"/>
            <w:vAlign w:val="center"/>
          </w:tcPr>
          <w:p w14:paraId="0D341F5A">
            <w:pPr>
              <w:bidi w:val="0"/>
              <w:spacing w:line="240" w:lineRule="auto"/>
              <w:jc w:val="center"/>
              <w:rPr>
                <w:rFonts w:hint="eastAsia"/>
                <w:sz w:val="21"/>
                <w:szCs w:val="21"/>
                <w:lang w:val="en-US" w:eastAsia="zh-CN"/>
              </w:rPr>
            </w:pPr>
            <w:r>
              <w:rPr>
                <w:rFonts w:hint="eastAsia"/>
                <w:sz w:val="21"/>
                <w:szCs w:val="21"/>
                <w:lang w:val="en-US" w:eastAsia="zh-CN"/>
              </w:rPr>
              <w:t>连续</w:t>
            </w:r>
          </w:p>
        </w:tc>
        <w:tc>
          <w:tcPr>
            <w:tcW w:w="3078" w:type="pct"/>
            <w:noWrap w:val="0"/>
            <w:vAlign w:val="center"/>
          </w:tcPr>
          <w:p w14:paraId="7E3A5005">
            <w:pPr>
              <w:bidi w:val="0"/>
              <w:spacing w:line="240" w:lineRule="auto"/>
              <w:jc w:val="center"/>
              <w:rPr>
                <w:rFonts w:hint="default"/>
                <w:sz w:val="21"/>
                <w:szCs w:val="21"/>
                <w:lang w:val="en-US" w:eastAsia="zh-CN"/>
              </w:rPr>
            </w:pPr>
            <w:r>
              <w:rPr>
                <w:rFonts w:hint="eastAsia"/>
                <w:sz w:val="21"/>
                <w:szCs w:val="21"/>
                <w:lang w:val="en-US" w:eastAsia="zh-CN"/>
              </w:rPr>
              <w:t>四分片钝化设备密闭，内部集风管道收集</w:t>
            </w:r>
          </w:p>
        </w:tc>
      </w:tr>
      <w:tr w14:paraId="37667B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1" w:hRule="atLeast"/>
          <w:jc w:val="center"/>
        </w:trPr>
        <w:tc>
          <w:tcPr>
            <w:tcW w:w="481" w:type="pct"/>
            <w:vMerge w:val="continue"/>
            <w:noWrap w:val="0"/>
            <w:vAlign w:val="center"/>
          </w:tcPr>
          <w:p w14:paraId="3CEA405B">
            <w:pPr>
              <w:bidi w:val="0"/>
              <w:spacing w:line="240" w:lineRule="auto"/>
              <w:jc w:val="center"/>
              <w:rPr>
                <w:rFonts w:hint="eastAsia"/>
                <w:sz w:val="21"/>
                <w:szCs w:val="21"/>
                <w:lang w:val="en-US" w:eastAsia="zh-CN"/>
              </w:rPr>
            </w:pPr>
          </w:p>
        </w:tc>
        <w:tc>
          <w:tcPr>
            <w:tcW w:w="772" w:type="pct"/>
            <w:tcBorders>
              <w:top w:val="single" w:color="000000" w:sz="2" w:space="0"/>
              <w:bottom w:val="single" w:color="000000" w:sz="2" w:space="0"/>
            </w:tcBorders>
            <w:noWrap w:val="0"/>
            <w:vAlign w:val="center"/>
          </w:tcPr>
          <w:p w14:paraId="7DAF5435">
            <w:pPr>
              <w:bidi w:val="0"/>
              <w:spacing w:line="240" w:lineRule="auto"/>
              <w:jc w:val="center"/>
              <w:rPr>
                <w:rFonts w:hint="eastAsia"/>
                <w:sz w:val="21"/>
                <w:szCs w:val="21"/>
                <w:lang w:val="en-US" w:eastAsia="zh-CN"/>
              </w:rPr>
            </w:pPr>
            <w:r>
              <w:rPr>
                <w:rFonts w:hint="eastAsia"/>
                <w:sz w:val="21"/>
                <w:szCs w:val="21"/>
                <w:lang w:val="en-US" w:eastAsia="zh-CN"/>
              </w:rPr>
              <w:t>丝网印刷、烧结</w:t>
            </w:r>
          </w:p>
        </w:tc>
        <w:tc>
          <w:tcPr>
            <w:tcW w:w="667" w:type="pct"/>
            <w:tcBorders>
              <w:top w:val="single" w:color="000000" w:sz="2" w:space="0"/>
              <w:bottom w:val="single" w:color="000000" w:sz="2" w:space="0"/>
            </w:tcBorders>
            <w:noWrap w:val="0"/>
            <w:vAlign w:val="center"/>
          </w:tcPr>
          <w:p w14:paraId="5731D81B">
            <w:pPr>
              <w:bidi w:val="0"/>
              <w:spacing w:line="240" w:lineRule="auto"/>
              <w:jc w:val="center"/>
              <w:rPr>
                <w:rFonts w:hint="eastAsia"/>
                <w:sz w:val="21"/>
                <w:szCs w:val="21"/>
                <w:lang w:val="en-US" w:eastAsia="zh-CN"/>
              </w:rPr>
            </w:pPr>
            <w:r>
              <w:rPr>
                <w:rFonts w:hint="eastAsia"/>
                <w:sz w:val="21"/>
                <w:szCs w:val="21"/>
                <w:lang w:val="en-US" w:eastAsia="zh-CN"/>
              </w:rPr>
              <w:t>连续</w:t>
            </w:r>
          </w:p>
        </w:tc>
        <w:tc>
          <w:tcPr>
            <w:tcW w:w="3078" w:type="pct"/>
            <w:noWrap w:val="0"/>
            <w:vAlign w:val="center"/>
          </w:tcPr>
          <w:p w14:paraId="3BA03FDB">
            <w:pPr>
              <w:bidi w:val="0"/>
              <w:spacing w:line="240" w:lineRule="auto"/>
              <w:jc w:val="center"/>
              <w:rPr>
                <w:rFonts w:hint="eastAsia"/>
                <w:sz w:val="21"/>
                <w:szCs w:val="21"/>
                <w:lang w:val="en-US" w:eastAsia="zh-CN"/>
              </w:rPr>
            </w:pPr>
            <w:r>
              <w:rPr>
                <w:rFonts w:hint="eastAsia"/>
                <w:sz w:val="21"/>
                <w:szCs w:val="21"/>
                <w:lang w:val="en-US" w:eastAsia="zh-CN"/>
              </w:rPr>
              <w:t>丝网印刷、烧结设备密闭，内部集风管道收集</w:t>
            </w:r>
          </w:p>
        </w:tc>
      </w:tr>
      <w:tr w14:paraId="4CF301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jc w:val="center"/>
        </w:trPr>
        <w:tc>
          <w:tcPr>
            <w:tcW w:w="481" w:type="pct"/>
            <w:vMerge w:val="continue"/>
            <w:noWrap w:val="0"/>
            <w:vAlign w:val="center"/>
          </w:tcPr>
          <w:p w14:paraId="2498C195">
            <w:pPr>
              <w:bidi w:val="0"/>
              <w:spacing w:line="240" w:lineRule="auto"/>
              <w:jc w:val="center"/>
              <w:rPr>
                <w:rFonts w:hint="eastAsia"/>
                <w:sz w:val="21"/>
                <w:szCs w:val="21"/>
                <w:lang w:val="en-US" w:eastAsia="zh-CN"/>
              </w:rPr>
            </w:pPr>
          </w:p>
        </w:tc>
        <w:tc>
          <w:tcPr>
            <w:tcW w:w="772" w:type="pct"/>
            <w:tcBorders>
              <w:top w:val="single" w:color="000000" w:sz="2" w:space="0"/>
              <w:bottom w:val="single" w:color="000000" w:sz="2" w:space="0"/>
            </w:tcBorders>
            <w:noWrap w:val="0"/>
            <w:vAlign w:val="center"/>
          </w:tcPr>
          <w:p w14:paraId="18113BE3">
            <w:pPr>
              <w:bidi w:val="0"/>
              <w:spacing w:line="240" w:lineRule="auto"/>
              <w:jc w:val="center"/>
              <w:rPr>
                <w:rFonts w:hint="eastAsia"/>
                <w:sz w:val="21"/>
                <w:szCs w:val="21"/>
                <w:lang w:val="en-US" w:eastAsia="zh-CN"/>
              </w:rPr>
            </w:pPr>
            <w:r>
              <w:rPr>
                <w:rFonts w:hint="eastAsia"/>
                <w:sz w:val="21"/>
                <w:szCs w:val="21"/>
                <w:lang w:val="en-US" w:eastAsia="zh-CN"/>
              </w:rPr>
              <w:t>ME（激光开模）</w:t>
            </w:r>
          </w:p>
        </w:tc>
        <w:tc>
          <w:tcPr>
            <w:tcW w:w="667" w:type="pct"/>
            <w:tcBorders>
              <w:top w:val="single" w:color="000000" w:sz="2" w:space="0"/>
              <w:bottom w:val="single" w:color="000000" w:sz="2" w:space="0"/>
            </w:tcBorders>
            <w:noWrap w:val="0"/>
            <w:vAlign w:val="center"/>
          </w:tcPr>
          <w:p w14:paraId="275A9385">
            <w:pPr>
              <w:bidi w:val="0"/>
              <w:spacing w:line="240" w:lineRule="auto"/>
              <w:jc w:val="center"/>
              <w:rPr>
                <w:rFonts w:hint="eastAsia"/>
                <w:sz w:val="21"/>
                <w:szCs w:val="21"/>
                <w:lang w:val="en-US" w:eastAsia="zh-CN"/>
              </w:rPr>
            </w:pPr>
            <w:r>
              <w:rPr>
                <w:rFonts w:hint="eastAsia"/>
                <w:sz w:val="21"/>
                <w:szCs w:val="21"/>
                <w:lang w:val="en-US" w:eastAsia="zh-CN"/>
              </w:rPr>
              <w:t>连续</w:t>
            </w:r>
          </w:p>
        </w:tc>
        <w:tc>
          <w:tcPr>
            <w:tcW w:w="3078" w:type="pct"/>
            <w:noWrap w:val="0"/>
            <w:vAlign w:val="center"/>
          </w:tcPr>
          <w:p w14:paraId="4DDA7F33">
            <w:pPr>
              <w:bidi w:val="0"/>
              <w:spacing w:line="240" w:lineRule="auto"/>
              <w:jc w:val="center"/>
              <w:rPr>
                <w:rFonts w:hint="eastAsia"/>
                <w:sz w:val="21"/>
                <w:szCs w:val="21"/>
                <w:lang w:val="en-US" w:eastAsia="zh-CN"/>
              </w:rPr>
            </w:pPr>
            <w:r>
              <w:rPr>
                <w:rFonts w:hint="eastAsia"/>
                <w:sz w:val="21"/>
                <w:szCs w:val="21"/>
                <w:lang w:val="en-US" w:eastAsia="zh-CN"/>
              </w:rPr>
              <w:t>ME（激光开模）设备密闭，内部集风管道收集</w:t>
            </w:r>
          </w:p>
        </w:tc>
      </w:tr>
      <w:tr w14:paraId="3A205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jc w:val="center"/>
        </w:trPr>
        <w:tc>
          <w:tcPr>
            <w:tcW w:w="481" w:type="pct"/>
            <w:vMerge w:val="continue"/>
            <w:noWrap w:val="0"/>
            <w:vAlign w:val="center"/>
          </w:tcPr>
          <w:p w14:paraId="01D01FBB">
            <w:pPr>
              <w:bidi w:val="0"/>
              <w:spacing w:line="240" w:lineRule="auto"/>
              <w:jc w:val="center"/>
              <w:rPr>
                <w:rFonts w:hint="eastAsia"/>
                <w:sz w:val="21"/>
                <w:szCs w:val="21"/>
                <w:lang w:val="en-US" w:eastAsia="zh-CN"/>
              </w:rPr>
            </w:pPr>
          </w:p>
        </w:tc>
        <w:tc>
          <w:tcPr>
            <w:tcW w:w="772" w:type="pct"/>
            <w:tcBorders>
              <w:top w:val="single" w:color="000000" w:sz="2" w:space="0"/>
              <w:bottom w:val="single" w:color="000000" w:sz="2" w:space="0"/>
            </w:tcBorders>
            <w:noWrap w:val="0"/>
            <w:vAlign w:val="center"/>
          </w:tcPr>
          <w:p w14:paraId="44DA3114">
            <w:pPr>
              <w:bidi w:val="0"/>
              <w:spacing w:line="240" w:lineRule="auto"/>
              <w:jc w:val="center"/>
              <w:rPr>
                <w:rFonts w:hint="eastAsia"/>
                <w:sz w:val="21"/>
                <w:szCs w:val="21"/>
                <w:lang w:val="en-US" w:eastAsia="zh-CN"/>
              </w:rPr>
            </w:pPr>
            <w:r>
              <w:rPr>
                <w:rFonts w:hint="eastAsia"/>
                <w:sz w:val="21"/>
                <w:szCs w:val="21"/>
                <w:lang w:val="en-US" w:eastAsia="zh-CN"/>
              </w:rPr>
              <w:t>AC（银包铜印刷、固化）</w:t>
            </w:r>
          </w:p>
        </w:tc>
        <w:tc>
          <w:tcPr>
            <w:tcW w:w="667" w:type="pct"/>
            <w:tcBorders>
              <w:top w:val="single" w:color="000000" w:sz="2" w:space="0"/>
              <w:bottom w:val="single" w:color="000000" w:sz="2" w:space="0"/>
            </w:tcBorders>
            <w:noWrap w:val="0"/>
            <w:vAlign w:val="center"/>
          </w:tcPr>
          <w:p w14:paraId="63329649">
            <w:pPr>
              <w:bidi w:val="0"/>
              <w:spacing w:line="240" w:lineRule="auto"/>
              <w:jc w:val="center"/>
              <w:rPr>
                <w:rFonts w:hint="eastAsia"/>
                <w:sz w:val="21"/>
                <w:szCs w:val="21"/>
                <w:lang w:val="en-US" w:eastAsia="zh-CN"/>
              </w:rPr>
            </w:pPr>
            <w:r>
              <w:rPr>
                <w:rFonts w:hint="eastAsia"/>
                <w:sz w:val="21"/>
                <w:szCs w:val="21"/>
                <w:lang w:val="en-US" w:eastAsia="zh-CN"/>
              </w:rPr>
              <w:t>连续</w:t>
            </w:r>
          </w:p>
        </w:tc>
        <w:tc>
          <w:tcPr>
            <w:tcW w:w="3078" w:type="pct"/>
            <w:noWrap w:val="0"/>
            <w:vAlign w:val="center"/>
          </w:tcPr>
          <w:p w14:paraId="4D5191F7">
            <w:pPr>
              <w:bidi w:val="0"/>
              <w:spacing w:line="240" w:lineRule="auto"/>
              <w:jc w:val="center"/>
              <w:rPr>
                <w:rFonts w:hint="eastAsia"/>
                <w:sz w:val="21"/>
                <w:szCs w:val="21"/>
                <w:lang w:val="en-US" w:eastAsia="zh-CN"/>
              </w:rPr>
            </w:pPr>
            <w:r>
              <w:rPr>
                <w:rFonts w:hint="eastAsia"/>
                <w:sz w:val="21"/>
                <w:szCs w:val="21"/>
                <w:lang w:val="en-US" w:eastAsia="zh-CN"/>
              </w:rPr>
              <w:t>AC（银包铜印刷、固化）设备密闭，内部集风管道收集</w:t>
            </w:r>
          </w:p>
        </w:tc>
      </w:tr>
      <w:tr w14:paraId="7AD368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472" w:hRule="atLeast"/>
          <w:jc w:val="center"/>
        </w:trPr>
        <w:tc>
          <w:tcPr>
            <w:tcW w:w="481" w:type="pct"/>
            <w:vMerge w:val="continue"/>
            <w:tcBorders>
              <w:bottom w:val="single" w:color="000000" w:sz="2" w:space="0"/>
            </w:tcBorders>
            <w:noWrap w:val="0"/>
            <w:vAlign w:val="center"/>
          </w:tcPr>
          <w:p w14:paraId="4E1F762B">
            <w:pPr>
              <w:bidi w:val="0"/>
              <w:spacing w:line="240" w:lineRule="auto"/>
              <w:jc w:val="center"/>
              <w:rPr>
                <w:rFonts w:hint="eastAsia"/>
                <w:sz w:val="21"/>
                <w:szCs w:val="21"/>
                <w:lang w:val="en-US" w:eastAsia="zh-CN"/>
              </w:rPr>
            </w:pPr>
          </w:p>
        </w:tc>
        <w:tc>
          <w:tcPr>
            <w:tcW w:w="772" w:type="pct"/>
            <w:tcBorders>
              <w:top w:val="single" w:color="000000" w:sz="2" w:space="0"/>
            </w:tcBorders>
            <w:noWrap w:val="0"/>
            <w:vAlign w:val="center"/>
          </w:tcPr>
          <w:p w14:paraId="0778C75F">
            <w:pPr>
              <w:bidi w:val="0"/>
              <w:spacing w:line="240" w:lineRule="auto"/>
              <w:jc w:val="center"/>
              <w:rPr>
                <w:rFonts w:hint="eastAsia"/>
                <w:sz w:val="21"/>
                <w:szCs w:val="21"/>
                <w:lang w:val="en-US" w:eastAsia="zh-CN"/>
              </w:rPr>
            </w:pPr>
            <w:r>
              <w:rPr>
                <w:rFonts w:hint="eastAsia"/>
                <w:sz w:val="21"/>
                <w:szCs w:val="21"/>
                <w:lang w:val="en-US" w:eastAsia="zh-CN"/>
              </w:rPr>
              <w:t>激光划片</w:t>
            </w:r>
          </w:p>
        </w:tc>
        <w:tc>
          <w:tcPr>
            <w:tcW w:w="667" w:type="pct"/>
            <w:tcBorders>
              <w:top w:val="single" w:color="000000" w:sz="2" w:space="0"/>
              <w:bottom w:val="single" w:color="000000" w:sz="2" w:space="0"/>
            </w:tcBorders>
            <w:shd w:val="clear" w:color="auto" w:fill="auto"/>
            <w:noWrap w:val="0"/>
            <w:vAlign w:val="center"/>
          </w:tcPr>
          <w:p w14:paraId="304DF581">
            <w:pPr>
              <w:bidi w:val="0"/>
              <w:spacing w:line="240" w:lineRule="auto"/>
              <w:jc w:val="center"/>
              <w:rPr>
                <w:rFonts w:hint="eastAsia" w:ascii="Times New Roman" w:hAnsi="Times New Roman" w:eastAsia="宋体" w:cs="宋体"/>
                <w:sz w:val="21"/>
                <w:szCs w:val="21"/>
                <w:lang w:val="en-US" w:eastAsia="zh-CN" w:bidi="ar-SA"/>
              </w:rPr>
            </w:pPr>
            <w:r>
              <w:rPr>
                <w:rFonts w:hint="eastAsia"/>
                <w:sz w:val="21"/>
                <w:szCs w:val="21"/>
                <w:lang w:val="en-US" w:eastAsia="zh-CN"/>
              </w:rPr>
              <w:t>连续</w:t>
            </w:r>
          </w:p>
        </w:tc>
        <w:tc>
          <w:tcPr>
            <w:tcW w:w="3078" w:type="pct"/>
            <w:shd w:val="clear" w:color="auto" w:fill="auto"/>
            <w:noWrap w:val="0"/>
            <w:vAlign w:val="center"/>
          </w:tcPr>
          <w:p w14:paraId="4067C2AA">
            <w:pPr>
              <w:bidi w:val="0"/>
              <w:spacing w:line="240" w:lineRule="auto"/>
              <w:jc w:val="center"/>
              <w:rPr>
                <w:rFonts w:hint="eastAsia" w:ascii="Times New Roman" w:hAnsi="Times New Roman" w:eastAsia="宋体" w:cs="宋体"/>
                <w:sz w:val="21"/>
                <w:szCs w:val="21"/>
                <w:lang w:val="en-US" w:eastAsia="zh-CN" w:bidi="ar-SA"/>
              </w:rPr>
            </w:pPr>
            <w:r>
              <w:rPr>
                <w:rFonts w:hint="eastAsia"/>
                <w:sz w:val="21"/>
                <w:szCs w:val="21"/>
                <w:lang w:val="en-US" w:eastAsia="zh-CN"/>
              </w:rPr>
              <w:t>激光划片设备密闭，内部集风管道收集</w:t>
            </w:r>
          </w:p>
        </w:tc>
      </w:tr>
    </w:tbl>
    <w:p w14:paraId="4E8DE7FE">
      <w:pPr>
        <w:bidi w:val="0"/>
        <w:rPr>
          <w:rFonts w:hint="eastAsia"/>
          <w:b/>
          <w:bCs/>
          <w:lang w:val="en-US" w:eastAsia="zh-CN"/>
        </w:rPr>
      </w:pPr>
      <w:r>
        <w:rPr>
          <w:rFonts w:hint="eastAsia"/>
          <w:b/>
          <w:bCs/>
          <w:lang w:val="en-US" w:eastAsia="zh-CN"/>
        </w:rPr>
        <w:t>7.1.3.2 废气处理措施</w:t>
      </w:r>
    </w:p>
    <w:p w14:paraId="0B8E9631">
      <w:pPr>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eastAsia"/>
          <w:sz w:val="24"/>
          <w:szCs w:val="24"/>
          <w:lang w:val="en-US" w:eastAsia="zh-CN"/>
        </w:rPr>
      </w:pPr>
      <w:r>
        <w:rPr>
          <w:rFonts w:hint="eastAsia" w:ascii="Times New Roman" w:hAnsi="Times New Roman" w:cs="Times New Roman"/>
          <w:b w:val="0"/>
          <w:bCs w:val="0"/>
          <w:color w:val="auto"/>
          <w:sz w:val="24"/>
          <w:szCs w:val="24"/>
          <w:lang w:val="en-US" w:eastAsia="zh-CN"/>
        </w:rPr>
        <w:t>本次技改新增的</w:t>
      </w:r>
      <w:r>
        <w:rPr>
          <w:rFonts w:hint="eastAsia" w:cs="Times New Roman"/>
          <w:b w:val="0"/>
          <w:bCs w:val="0"/>
          <w:color w:val="auto"/>
          <w:sz w:val="24"/>
          <w:szCs w:val="24"/>
          <w:lang w:val="en-US" w:eastAsia="zh-CN"/>
        </w:rPr>
        <w:t>5</w:t>
      </w:r>
      <w:r>
        <w:rPr>
          <w:rFonts w:hint="eastAsia" w:ascii="Times New Roman" w:hAnsi="Times New Roman" w:cs="Times New Roman"/>
          <w:b w:val="0"/>
          <w:bCs w:val="0"/>
          <w:color w:val="auto"/>
          <w:sz w:val="24"/>
          <w:szCs w:val="24"/>
          <w:lang w:val="en-US" w:eastAsia="zh-CN"/>
        </w:rPr>
        <w:t>台</w:t>
      </w:r>
      <w:r>
        <w:rPr>
          <w:rFonts w:hint="eastAsia"/>
          <w:b w:val="0"/>
          <w:bCs w:val="0"/>
          <w:color w:val="auto"/>
          <w:sz w:val="24"/>
          <w:szCs w:val="24"/>
          <w:lang w:val="en-US" w:eastAsia="zh-CN"/>
        </w:rPr>
        <w:t>四分片钝化设备</w:t>
      </w:r>
      <w:r>
        <w:rPr>
          <w:rFonts w:hint="eastAsia" w:ascii="Times New Roman" w:hAnsi="Times New Roman" w:cs="Times New Roman"/>
          <w:b w:val="0"/>
          <w:bCs w:val="0"/>
          <w:color w:val="auto"/>
          <w:sz w:val="24"/>
          <w:szCs w:val="24"/>
          <w:lang w:val="en-US" w:eastAsia="zh-CN"/>
        </w:rPr>
        <w:t>产生的scrubber排风</w:t>
      </w:r>
      <w:r>
        <w:rPr>
          <w:rFonts w:hint="eastAsia" w:ascii="宋体" w:hAnsi="宋体" w:cs="宋体"/>
          <w:sz w:val="24"/>
          <w:szCs w:val="24"/>
          <w:lang w:val="en-US" w:eastAsia="zh-CN" w:bidi="ar-SA"/>
        </w:rPr>
        <w:t>经过</w:t>
      </w:r>
      <w:r>
        <w:rPr>
          <w:rFonts w:hint="default" w:ascii="Times New Roman" w:hAnsi="Times New Roman" w:cs="Times New Roman"/>
          <w:sz w:val="24"/>
          <w:szCs w:val="24"/>
          <w:lang w:val="en-US" w:eastAsia="zh-CN"/>
        </w:rPr>
        <w:t>燃烧筒+2套二级</w:t>
      </w:r>
      <w:r>
        <w:rPr>
          <w:rFonts w:hint="eastAsia" w:cs="Times New Roman"/>
          <w:sz w:val="24"/>
          <w:szCs w:val="24"/>
          <w:lang w:val="en-US" w:eastAsia="zh-CN"/>
        </w:rPr>
        <w:t>水</w:t>
      </w:r>
      <w:r>
        <w:rPr>
          <w:rFonts w:hint="default" w:ascii="Times New Roman" w:hAnsi="Times New Roman" w:cs="Times New Roman"/>
          <w:sz w:val="24"/>
          <w:szCs w:val="24"/>
          <w:lang w:val="en-US" w:eastAsia="zh-CN"/>
        </w:rPr>
        <w:t>喷淋塔（TA0</w:t>
      </w:r>
      <w:r>
        <w:rPr>
          <w:rFonts w:hint="eastAsia" w:cs="Times New Roman"/>
          <w:sz w:val="24"/>
          <w:szCs w:val="24"/>
          <w:lang w:val="en-US" w:eastAsia="zh-CN"/>
        </w:rPr>
        <w:t>23</w:t>
      </w:r>
      <w:r>
        <w:rPr>
          <w:rFonts w:hint="default" w:ascii="Times New Roman" w:hAnsi="Times New Roman" w:cs="Times New Roman"/>
          <w:sz w:val="24"/>
          <w:szCs w:val="24"/>
          <w:lang w:val="en-US" w:eastAsia="zh-CN"/>
        </w:rPr>
        <w:t>）</w:t>
      </w:r>
      <w:r>
        <w:rPr>
          <w:rFonts w:hint="eastAsia" w:cs="Times New Roman"/>
          <w:sz w:val="24"/>
          <w:szCs w:val="24"/>
          <w:lang w:val="en-US" w:eastAsia="zh-CN"/>
        </w:rPr>
        <w:t>处理；</w:t>
      </w:r>
      <w:r>
        <w:rPr>
          <w:rFonts w:hint="eastAsia" w:ascii="宋体" w:hAnsi="宋体" w:cs="宋体"/>
          <w:sz w:val="24"/>
          <w:szCs w:val="24"/>
          <w:lang w:val="en-US" w:eastAsia="zh-CN" w:bidi="ar-SA"/>
        </w:rPr>
        <w:t>真空泵排风经过</w:t>
      </w:r>
      <w:r>
        <w:rPr>
          <w:rFonts w:hint="default" w:ascii="Times New Roman" w:hAnsi="Times New Roman" w:cs="Times New Roman"/>
          <w:sz w:val="24"/>
          <w:szCs w:val="24"/>
          <w:lang w:val="en-US" w:eastAsia="zh-CN" w:bidi="ar-SA"/>
        </w:rPr>
        <w:t>燃烧</w:t>
      </w:r>
      <w:r>
        <w:rPr>
          <w:rFonts w:hint="default" w:ascii="Times New Roman" w:hAnsi="Times New Roman" w:cs="Times New Roman"/>
          <w:sz w:val="24"/>
          <w:szCs w:val="24"/>
          <w:lang w:val="en-US" w:eastAsia="zh-CN"/>
        </w:rPr>
        <w:t>筒</w:t>
      </w:r>
      <w:r>
        <w:rPr>
          <w:rFonts w:hint="default" w:ascii="Times New Roman" w:hAnsi="Times New Roman" w:cs="Times New Roman"/>
          <w:sz w:val="24"/>
          <w:szCs w:val="24"/>
          <w:lang w:val="en-US" w:eastAsia="zh-CN" w:bidi="ar-SA"/>
        </w:rPr>
        <w:t>+2套袋式除尘器+</w:t>
      </w:r>
      <w:r>
        <w:rPr>
          <w:rFonts w:hint="default" w:ascii="Times New Roman" w:hAnsi="Times New Roman" w:cs="Times New Roman"/>
          <w:sz w:val="24"/>
          <w:szCs w:val="24"/>
          <w:lang w:val="en-US" w:eastAsia="zh-CN"/>
        </w:rPr>
        <w:t>2套</w:t>
      </w:r>
      <w:r>
        <w:rPr>
          <w:rFonts w:hint="default" w:ascii="Times New Roman" w:hAnsi="Times New Roman" w:cs="Times New Roman"/>
          <w:sz w:val="24"/>
          <w:szCs w:val="24"/>
          <w:lang w:val="en-US" w:eastAsia="zh-CN" w:bidi="ar-SA"/>
        </w:rPr>
        <w:t>一级</w:t>
      </w:r>
      <w:r>
        <w:rPr>
          <w:rFonts w:hint="eastAsia" w:cs="Times New Roman"/>
          <w:sz w:val="24"/>
          <w:szCs w:val="24"/>
          <w:lang w:val="en-US" w:eastAsia="zh-CN"/>
        </w:rPr>
        <w:t>水</w:t>
      </w:r>
      <w:r>
        <w:rPr>
          <w:rFonts w:hint="default" w:ascii="Times New Roman" w:hAnsi="Times New Roman" w:cs="Times New Roman"/>
          <w:sz w:val="24"/>
          <w:szCs w:val="24"/>
          <w:lang w:val="en-US" w:eastAsia="zh-CN"/>
        </w:rPr>
        <w:t>喷淋塔（TA0</w:t>
      </w:r>
      <w:r>
        <w:rPr>
          <w:rFonts w:hint="eastAsia" w:cs="Times New Roman"/>
          <w:sz w:val="24"/>
          <w:szCs w:val="24"/>
          <w:lang w:val="en-US" w:eastAsia="zh-CN"/>
        </w:rPr>
        <w:t>24</w:t>
      </w:r>
      <w:r>
        <w:rPr>
          <w:rFonts w:hint="default" w:ascii="Times New Roman" w:hAnsi="Times New Roman" w:cs="Times New Roman"/>
          <w:sz w:val="24"/>
          <w:szCs w:val="24"/>
          <w:lang w:val="en-US" w:eastAsia="zh-CN"/>
        </w:rPr>
        <w:t>）</w:t>
      </w:r>
      <w:r>
        <w:rPr>
          <w:rFonts w:hint="eastAsia" w:cs="Times New Roman"/>
          <w:sz w:val="24"/>
          <w:szCs w:val="24"/>
          <w:lang w:val="en-US" w:eastAsia="zh-CN"/>
        </w:rPr>
        <w:t>处理；</w:t>
      </w:r>
      <w:r>
        <w:rPr>
          <w:rFonts w:hint="eastAsia" w:cs="Times New Roman"/>
          <w:b w:val="0"/>
          <w:bCs w:val="0"/>
          <w:color w:val="auto"/>
          <w:sz w:val="24"/>
          <w:szCs w:val="24"/>
          <w:lang w:val="en-US" w:eastAsia="zh-CN"/>
        </w:rPr>
        <w:t>上述废气</w:t>
      </w:r>
      <w:r>
        <w:rPr>
          <w:rFonts w:hint="default" w:ascii="Times New Roman" w:hAnsi="Times New Roman" w:cs="Times New Roman"/>
          <w:sz w:val="24"/>
          <w:szCs w:val="24"/>
          <w:lang w:val="en-US" w:eastAsia="zh-CN"/>
        </w:rPr>
        <w:t>合并</w:t>
      </w:r>
      <w:r>
        <w:rPr>
          <w:rFonts w:hint="eastAsia" w:cs="Times New Roman"/>
          <w:sz w:val="24"/>
          <w:szCs w:val="24"/>
          <w:lang w:val="en-US" w:eastAsia="zh-CN"/>
        </w:rPr>
        <w:t>依托现有</w:t>
      </w:r>
      <w:r>
        <w:rPr>
          <w:rFonts w:hint="default" w:ascii="Times New Roman" w:hAnsi="Times New Roman" w:cs="Times New Roman"/>
          <w:sz w:val="24"/>
          <w:szCs w:val="24"/>
          <w:lang w:val="en-US" w:eastAsia="zh-CN"/>
        </w:rPr>
        <w:t>1根25m高排气筒（DA008）排放（</w:t>
      </w:r>
      <w:r>
        <w:rPr>
          <w:rFonts w:hint="default" w:ascii="Times New Roman" w:hAnsi="Times New Roman" w:eastAsia="宋体" w:cs="Times New Roman"/>
          <w:sz w:val="24"/>
          <w:szCs w:val="24"/>
          <w:lang w:val="en-US" w:eastAsia="zh-CN"/>
        </w:rPr>
        <w:t>φ</w:t>
      </w:r>
      <w:r>
        <w:rPr>
          <w:rFonts w:hint="default" w:ascii="Times New Roman" w:hAnsi="Times New Roman" w:cs="Times New Roman"/>
          <w:sz w:val="24"/>
          <w:szCs w:val="24"/>
          <w:lang w:val="en-US" w:eastAsia="zh-CN"/>
        </w:rPr>
        <w:t>2.4m，Q=</w:t>
      </w:r>
      <w:r>
        <w:rPr>
          <w:rFonts w:hint="eastAsia" w:cs="Times New Roman"/>
          <w:sz w:val="24"/>
          <w:szCs w:val="24"/>
          <w:lang w:val="en-US" w:eastAsia="zh-CN"/>
        </w:rPr>
        <w:t>25000</w:t>
      </w:r>
      <w:r>
        <w:rPr>
          <w:rFonts w:hint="default" w:ascii="Times New Roman" w:hAnsi="Times New Roman" w:cs="Times New Roman"/>
          <w:sz w:val="24"/>
          <w:szCs w:val="24"/>
          <w:lang w:val="en-US" w:eastAsia="zh-CN"/>
        </w:rPr>
        <w:t>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w:t>
      </w:r>
      <w:r>
        <w:rPr>
          <w:rFonts w:hint="eastAsia" w:ascii="Times New Roman" w:hAnsi="Times New Roman" w:cs="Times New Roman"/>
          <w:b w:val="0"/>
          <w:bCs w:val="0"/>
          <w:color w:val="auto"/>
          <w:sz w:val="24"/>
          <w:szCs w:val="24"/>
          <w:lang w:val="en-US" w:eastAsia="zh-CN"/>
        </w:rPr>
        <w:t>；</w:t>
      </w:r>
      <w:r>
        <w:rPr>
          <w:rFonts w:hint="eastAsia" w:cs="Times New Roman"/>
          <w:b w:val="0"/>
          <w:bCs w:val="0"/>
          <w:color w:val="auto"/>
          <w:sz w:val="24"/>
          <w:szCs w:val="24"/>
          <w:lang w:val="en-US" w:eastAsia="zh-CN"/>
        </w:rPr>
        <w:t>8套</w:t>
      </w:r>
      <w:r>
        <w:rPr>
          <w:rFonts w:hint="default" w:ascii="Times New Roman" w:hAnsi="Times New Roman" w:cs="Times New Roman"/>
          <w:sz w:val="24"/>
          <w:szCs w:val="24"/>
          <w:lang w:val="en-US" w:eastAsia="zh-CN"/>
        </w:rPr>
        <w:t>丝网印刷设备</w:t>
      </w:r>
      <w:r>
        <w:rPr>
          <w:rFonts w:hint="eastAsia" w:cs="Times New Roman"/>
          <w:sz w:val="24"/>
          <w:szCs w:val="24"/>
          <w:lang w:val="en-US" w:eastAsia="zh-CN"/>
        </w:rPr>
        <w:t>（双轨制，每套包含2套小线）</w:t>
      </w:r>
      <w:r>
        <w:rPr>
          <w:rFonts w:hint="default" w:ascii="Times New Roman" w:hAnsi="Times New Roman" w:cs="Times New Roman"/>
          <w:sz w:val="24"/>
          <w:szCs w:val="24"/>
          <w:lang w:val="en-US" w:eastAsia="zh-CN"/>
        </w:rPr>
        <w:t>产生的丝网印刷废气和</w:t>
      </w:r>
      <w:r>
        <w:rPr>
          <w:rFonts w:hint="eastAsia" w:cs="Times New Roman"/>
          <w:sz w:val="24"/>
          <w:szCs w:val="24"/>
          <w:lang w:val="en-US" w:eastAsia="zh-CN"/>
        </w:rPr>
        <w:t>8</w:t>
      </w:r>
      <w:r>
        <w:rPr>
          <w:rFonts w:hint="eastAsia" w:cs="Times New Roman"/>
          <w:b w:val="0"/>
          <w:bCs w:val="0"/>
          <w:color w:val="auto"/>
          <w:sz w:val="24"/>
          <w:szCs w:val="24"/>
          <w:lang w:val="en-US" w:eastAsia="zh-CN"/>
        </w:rPr>
        <w:t>套</w:t>
      </w:r>
      <w:r>
        <w:rPr>
          <w:rFonts w:hint="default" w:ascii="Times New Roman" w:hAnsi="Times New Roman" w:cs="Times New Roman"/>
          <w:sz w:val="24"/>
          <w:szCs w:val="24"/>
          <w:lang w:val="en-US" w:eastAsia="zh-CN"/>
        </w:rPr>
        <w:t>烧结设备产生的烧结废气经设备自带在线燃烧装置处理后汇总</w:t>
      </w:r>
      <w:r>
        <w:rPr>
          <w:rFonts w:hint="eastAsia" w:cs="Times New Roman"/>
          <w:sz w:val="24"/>
          <w:szCs w:val="24"/>
          <w:lang w:val="en-US" w:eastAsia="zh-CN"/>
        </w:rPr>
        <w:t>，经新建</w:t>
      </w:r>
      <w:r>
        <w:rPr>
          <w:rFonts w:hint="default" w:ascii="Times New Roman" w:hAnsi="Times New Roman" w:cs="Times New Roman"/>
          <w:sz w:val="24"/>
          <w:szCs w:val="24"/>
          <w:lang w:val="en-US" w:eastAsia="zh-CN"/>
        </w:rPr>
        <w:t>6套</w:t>
      </w:r>
      <w:r>
        <w:rPr>
          <w:rFonts w:hint="default" w:ascii="Times New Roman" w:hAnsi="Times New Roman" w:eastAsia="宋体" w:cs="Times New Roman"/>
          <w:color w:val="auto"/>
          <w:sz w:val="24"/>
          <w:szCs w:val="24"/>
          <w:lang w:val="en-US" w:eastAsia="zh-CN" w:bidi="ar-SA"/>
        </w:rPr>
        <w:t>一级</w:t>
      </w:r>
      <w:r>
        <w:rPr>
          <w:rFonts w:hint="default" w:ascii="Times New Roman" w:hAnsi="Times New Roman" w:cs="Times New Roman"/>
          <w:sz w:val="24"/>
          <w:szCs w:val="24"/>
          <w:lang w:val="en-US" w:eastAsia="zh-CN"/>
        </w:rPr>
        <w:t>活性炭吸附装置（TA0</w:t>
      </w:r>
      <w:r>
        <w:rPr>
          <w:rFonts w:hint="eastAsia" w:cs="Times New Roman"/>
          <w:sz w:val="24"/>
          <w:szCs w:val="24"/>
          <w:lang w:val="en-US" w:eastAsia="zh-CN"/>
        </w:rPr>
        <w:t>25</w:t>
      </w:r>
      <w:r>
        <w:rPr>
          <w:rFonts w:hint="default" w:ascii="Times New Roman" w:hAnsi="Times New Roman" w:cs="Times New Roman"/>
          <w:sz w:val="24"/>
          <w:szCs w:val="24"/>
          <w:lang w:val="en-US" w:eastAsia="zh-CN"/>
        </w:rPr>
        <w:t>）处理，尾气经1根25m高排气筒（DA0</w:t>
      </w:r>
      <w:r>
        <w:rPr>
          <w:rFonts w:hint="eastAsia" w:cs="Times New Roman"/>
          <w:sz w:val="24"/>
          <w:szCs w:val="24"/>
          <w:lang w:val="en-US" w:eastAsia="zh-CN"/>
        </w:rPr>
        <w:t>23</w:t>
      </w:r>
      <w:r>
        <w:rPr>
          <w:rFonts w:hint="default" w:ascii="Times New Roman" w:hAnsi="Times New Roman" w:cs="Times New Roman"/>
          <w:sz w:val="24"/>
          <w:szCs w:val="24"/>
          <w:lang w:val="en-US" w:eastAsia="zh-CN"/>
        </w:rPr>
        <w:t>）排放（</w:t>
      </w:r>
      <w:r>
        <w:rPr>
          <w:rFonts w:hint="default" w:ascii="Times New Roman" w:hAnsi="Times New Roman" w:eastAsia="宋体" w:cs="Times New Roman"/>
          <w:sz w:val="24"/>
          <w:szCs w:val="24"/>
          <w:lang w:val="en-US" w:eastAsia="zh-CN"/>
        </w:rPr>
        <w:t>φ</w:t>
      </w:r>
      <w:r>
        <w:rPr>
          <w:rFonts w:hint="default" w:ascii="Times New Roman" w:hAnsi="Times New Roman" w:cs="Times New Roman"/>
          <w:sz w:val="24"/>
          <w:szCs w:val="24"/>
          <w:lang w:val="en-US" w:eastAsia="zh-CN"/>
        </w:rPr>
        <w:t>2.4m，Q=145000m</w:t>
      </w:r>
      <w:r>
        <w:rPr>
          <w:rFonts w:hint="default" w:ascii="Times New Roman" w:hAnsi="Times New Roman" w:cs="Times New Roman"/>
          <w:sz w:val="24"/>
          <w:szCs w:val="24"/>
          <w:vertAlign w:val="superscript"/>
          <w:lang w:val="en-US" w:eastAsia="zh-CN"/>
        </w:rPr>
        <w:t>3</w:t>
      </w:r>
      <w:r>
        <w:rPr>
          <w:rFonts w:hint="default" w:ascii="Times New Roman" w:hAnsi="Times New Roman" w:cs="Times New Roman"/>
          <w:sz w:val="24"/>
          <w:szCs w:val="24"/>
          <w:lang w:val="en-US" w:eastAsia="zh-CN"/>
        </w:rPr>
        <w:t>）</w:t>
      </w:r>
      <w:r>
        <w:rPr>
          <w:rFonts w:hint="eastAsia" w:ascii="Times New Roman" w:hAnsi="Times New Roman" w:cs="Times New Roman"/>
          <w:b w:val="0"/>
          <w:bCs w:val="0"/>
          <w:color w:val="auto"/>
          <w:sz w:val="24"/>
          <w:szCs w:val="24"/>
          <w:lang w:val="en-US" w:eastAsia="zh-CN"/>
        </w:rPr>
        <w:t>；本次技改新增的8台</w:t>
      </w:r>
      <w:r>
        <w:rPr>
          <w:rFonts w:hint="eastAsia"/>
          <w:b w:val="0"/>
          <w:bCs w:val="0"/>
          <w:color w:val="auto"/>
          <w:sz w:val="24"/>
          <w:szCs w:val="24"/>
          <w:lang w:val="en-US" w:eastAsia="zh-CN"/>
        </w:rPr>
        <w:t>ME</w:t>
      </w:r>
      <w:r>
        <w:rPr>
          <w:rFonts w:hint="eastAsia" w:ascii="Times New Roman" w:hAnsi="Times New Roman" w:cs="Times New Roman"/>
          <w:b w:val="0"/>
          <w:bCs w:val="0"/>
          <w:color w:val="auto"/>
          <w:sz w:val="24"/>
          <w:szCs w:val="24"/>
          <w:lang w:val="en-US" w:eastAsia="zh-CN"/>
        </w:rPr>
        <w:t>设备产生的</w:t>
      </w:r>
      <w:r>
        <w:rPr>
          <w:rFonts w:hint="eastAsia"/>
          <w:b w:val="0"/>
          <w:bCs w:val="0"/>
          <w:color w:val="auto"/>
          <w:sz w:val="24"/>
          <w:szCs w:val="24"/>
          <w:lang w:val="en-US" w:eastAsia="zh-CN"/>
        </w:rPr>
        <w:t>ME（激光开模）粉尘经设备自带布袋除尘器处理后汇集至热排风系统排出车间</w:t>
      </w:r>
      <w:r>
        <w:rPr>
          <w:rFonts w:hint="eastAsia" w:ascii="Times New Roman" w:hAnsi="Times New Roman" w:eastAsia="宋体" w:cs="Times New Roman"/>
          <w:b w:val="0"/>
          <w:bCs w:val="0"/>
          <w:color w:val="auto"/>
          <w:sz w:val="24"/>
          <w:szCs w:val="24"/>
          <w:lang w:val="en-US" w:eastAsia="zh-CN" w:bidi="ar-SA"/>
        </w:rPr>
        <w:t>；</w:t>
      </w:r>
      <w:r>
        <w:rPr>
          <w:rFonts w:hint="eastAsia" w:ascii="Times New Roman" w:hAnsi="Times New Roman" w:cs="Times New Roman"/>
          <w:b w:val="0"/>
          <w:bCs w:val="0"/>
          <w:color w:val="auto"/>
          <w:sz w:val="24"/>
          <w:szCs w:val="24"/>
          <w:lang w:val="en-US" w:eastAsia="zh-CN"/>
        </w:rPr>
        <w:t>本次技改新增的8台AC设备产生的AC（银包铜印刷、固化）废气</w:t>
      </w:r>
      <w:r>
        <w:rPr>
          <w:rFonts w:hint="default" w:ascii="Times New Roman" w:hAnsi="Times New Roman" w:cs="Times New Roman"/>
          <w:sz w:val="24"/>
          <w:szCs w:val="24"/>
          <w:lang w:val="en-US" w:eastAsia="zh-CN"/>
        </w:rPr>
        <w:t>经设备自带在线燃烧装置处理后汇总</w:t>
      </w:r>
      <w:r>
        <w:rPr>
          <w:rFonts w:hint="eastAsia" w:cs="Times New Roman"/>
          <w:sz w:val="24"/>
          <w:szCs w:val="24"/>
          <w:lang w:val="en-US" w:eastAsia="zh-CN"/>
        </w:rPr>
        <w:t>，依托现有</w:t>
      </w:r>
      <w:r>
        <w:rPr>
          <w:rFonts w:hint="default" w:ascii="Times New Roman" w:hAnsi="Times New Roman" w:cs="Times New Roman"/>
          <w:sz w:val="24"/>
          <w:szCs w:val="24"/>
          <w:lang w:val="en-US" w:eastAsia="zh-CN"/>
        </w:rPr>
        <w:t>6套</w:t>
      </w:r>
      <w:r>
        <w:rPr>
          <w:rFonts w:hint="eastAsia"/>
          <w:sz w:val="24"/>
          <w:szCs w:val="24"/>
          <w:lang w:val="en-US" w:eastAsia="zh-CN"/>
        </w:rPr>
        <w:t>一级</w:t>
      </w:r>
      <w:r>
        <w:rPr>
          <w:rFonts w:hint="default" w:ascii="Times New Roman" w:hAnsi="Times New Roman" w:cs="Times New Roman"/>
          <w:sz w:val="24"/>
          <w:szCs w:val="24"/>
          <w:lang w:val="en-US" w:eastAsia="zh-CN"/>
        </w:rPr>
        <w:t>活性炭吸附装置</w:t>
      </w:r>
      <w:r>
        <w:rPr>
          <w:rFonts w:hint="eastAsia"/>
          <w:sz w:val="24"/>
          <w:szCs w:val="24"/>
          <w:lang w:val="en-US" w:eastAsia="zh-CN"/>
        </w:rPr>
        <w:t>（TA004）</w:t>
      </w:r>
      <w:r>
        <w:rPr>
          <w:rFonts w:hint="default" w:ascii="Times New Roman" w:hAnsi="Times New Roman" w:cs="Times New Roman"/>
          <w:sz w:val="24"/>
          <w:szCs w:val="24"/>
          <w:lang w:val="en-US" w:eastAsia="zh-CN"/>
        </w:rPr>
        <w:t>处理，</w:t>
      </w:r>
      <w:r>
        <w:rPr>
          <w:rFonts w:hint="eastAsia"/>
          <w:sz w:val="24"/>
          <w:szCs w:val="24"/>
          <w:lang w:val="en-US" w:eastAsia="zh-CN"/>
        </w:rPr>
        <w:t>尾气经1根25m高排气筒（DA004）排放（</w:t>
      </w:r>
      <w:r>
        <w:rPr>
          <w:rFonts w:hint="eastAsia" w:ascii="宋体" w:hAnsi="宋体" w:eastAsia="宋体" w:cs="宋体"/>
          <w:sz w:val="24"/>
          <w:szCs w:val="24"/>
          <w:lang w:val="en-US" w:eastAsia="zh-CN"/>
        </w:rPr>
        <w:t>φ</w:t>
      </w:r>
      <w:r>
        <w:rPr>
          <w:rFonts w:hint="eastAsia"/>
          <w:sz w:val="24"/>
          <w:szCs w:val="24"/>
          <w:lang w:val="en-US" w:eastAsia="zh-CN"/>
        </w:rPr>
        <w:t>2.4m，Q=135000m</w:t>
      </w:r>
      <w:r>
        <w:rPr>
          <w:rFonts w:hint="eastAsia"/>
          <w:sz w:val="24"/>
          <w:szCs w:val="24"/>
          <w:vertAlign w:val="superscript"/>
          <w:lang w:val="en-US" w:eastAsia="zh-CN"/>
        </w:rPr>
        <w:t>3</w:t>
      </w:r>
      <w:r>
        <w:rPr>
          <w:rFonts w:hint="eastAsia"/>
          <w:sz w:val="24"/>
          <w:szCs w:val="24"/>
          <w:lang w:val="en-US" w:eastAsia="zh-CN"/>
        </w:rPr>
        <w:t>）</w:t>
      </w:r>
      <w:r>
        <w:rPr>
          <w:rFonts w:hint="eastAsia" w:ascii="Times New Roman" w:hAnsi="Times New Roman" w:eastAsia="宋体" w:cs="Times New Roman"/>
          <w:b w:val="0"/>
          <w:bCs w:val="0"/>
          <w:color w:val="auto"/>
          <w:sz w:val="24"/>
          <w:szCs w:val="24"/>
          <w:lang w:val="en-US" w:eastAsia="zh-CN" w:bidi="ar-SA"/>
        </w:rPr>
        <w:t>；</w:t>
      </w:r>
      <w:r>
        <w:rPr>
          <w:rFonts w:hint="eastAsia" w:ascii="Times New Roman" w:hAnsi="Times New Roman" w:cs="Times New Roman"/>
          <w:b w:val="0"/>
          <w:bCs w:val="0"/>
          <w:color w:val="auto"/>
          <w:sz w:val="24"/>
          <w:szCs w:val="24"/>
          <w:lang w:val="en-US" w:eastAsia="zh-CN"/>
        </w:rPr>
        <w:t>本次技改新增的</w:t>
      </w:r>
      <w:r>
        <w:rPr>
          <w:rFonts w:hint="eastAsia" w:cs="Times New Roman"/>
          <w:b w:val="0"/>
          <w:bCs w:val="0"/>
          <w:color w:val="auto"/>
          <w:sz w:val="24"/>
          <w:szCs w:val="24"/>
          <w:lang w:val="en-US" w:eastAsia="zh-CN"/>
        </w:rPr>
        <w:t>5</w:t>
      </w:r>
      <w:r>
        <w:rPr>
          <w:rFonts w:hint="eastAsia" w:ascii="Times New Roman" w:hAnsi="Times New Roman" w:cs="Times New Roman"/>
          <w:b w:val="0"/>
          <w:bCs w:val="0"/>
          <w:color w:val="auto"/>
          <w:sz w:val="24"/>
          <w:szCs w:val="24"/>
          <w:lang w:val="en-US" w:eastAsia="zh-CN"/>
        </w:rPr>
        <w:t>台</w:t>
      </w:r>
      <w:r>
        <w:rPr>
          <w:rFonts w:hint="eastAsia"/>
          <w:b w:val="0"/>
          <w:bCs w:val="0"/>
          <w:color w:val="auto"/>
          <w:sz w:val="24"/>
          <w:szCs w:val="24"/>
          <w:lang w:val="en-US" w:eastAsia="zh-CN"/>
        </w:rPr>
        <w:t>激光划片</w:t>
      </w:r>
      <w:r>
        <w:rPr>
          <w:rFonts w:hint="eastAsia" w:ascii="Times New Roman" w:hAnsi="Times New Roman" w:cs="Times New Roman"/>
          <w:b w:val="0"/>
          <w:bCs w:val="0"/>
          <w:color w:val="auto"/>
          <w:sz w:val="24"/>
          <w:szCs w:val="24"/>
          <w:lang w:val="en-US" w:eastAsia="zh-CN"/>
        </w:rPr>
        <w:t>设备产生的</w:t>
      </w:r>
      <w:r>
        <w:rPr>
          <w:rFonts w:hint="eastAsia"/>
          <w:b w:val="0"/>
          <w:bCs w:val="0"/>
          <w:color w:val="auto"/>
          <w:sz w:val="24"/>
          <w:szCs w:val="24"/>
          <w:lang w:val="en-US" w:eastAsia="zh-CN"/>
        </w:rPr>
        <w:t>激光划片粉尘经设备自带布袋除尘器处理后汇集至热排风系统排出车间。</w:t>
      </w:r>
    </w:p>
    <w:p w14:paraId="1D05123F">
      <w:pPr>
        <w:bidi w:val="0"/>
        <w:ind w:firstLine="480" w:firstLineChars="200"/>
        <w:rPr>
          <w:rFonts w:hint="eastAsia"/>
          <w:lang w:val="en-US" w:eastAsia="zh-CN"/>
        </w:rPr>
      </w:pPr>
      <w:r>
        <w:rPr>
          <w:rFonts w:hint="eastAsia"/>
          <w:lang w:val="en-US" w:eastAsia="zh-CN"/>
        </w:rPr>
        <w:t>本项目拟采取的废气治理措施示意图见图7.1.3-1。</w:t>
      </w:r>
    </w:p>
    <w:p w14:paraId="604679CC">
      <w:pPr>
        <w:rPr>
          <w:rFonts w:hint="eastAsia"/>
          <w:lang w:val="en-US" w:eastAsia="zh-CN"/>
        </w:rPr>
      </w:pPr>
      <w:r>
        <w:rPr>
          <w:rFonts w:hint="eastAsia"/>
          <w:lang w:val="en-US" w:eastAsia="zh-CN"/>
        </w:rPr>
        <w:drawing>
          <wp:inline distT="0" distB="0" distL="114300" distR="114300">
            <wp:extent cx="5977255" cy="4310380"/>
            <wp:effectExtent l="0" t="0" r="0" b="0"/>
            <wp:docPr id="45" name="E657119C-6982-421D-8BA7-E74DEB70A7D9-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E657119C-6982-421D-8BA7-E74DEB70A7D9-1" descr="wps"/>
                    <pic:cNvPicPr>
                      <a:picLocks noChangeAspect="1"/>
                    </pic:cNvPicPr>
                  </pic:nvPicPr>
                  <pic:blipFill>
                    <a:blip r:embed="rId39"/>
                    <a:stretch>
                      <a:fillRect/>
                    </a:stretch>
                  </pic:blipFill>
                  <pic:spPr>
                    <a:xfrm>
                      <a:off x="0" y="0"/>
                      <a:ext cx="5977255" cy="4310380"/>
                    </a:xfrm>
                    <a:prstGeom prst="rect">
                      <a:avLst/>
                    </a:prstGeom>
                  </pic:spPr>
                </pic:pic>
              </a:graphicData>
            </a:graphic>
          </wp:inline>
        </w:drawing>
      </w:r>
    </w:p>
    <w:p w14:paraId="071F7006">
      <w:pPr>
        <w:jc w:val="center"/>
        <w:rPr>
          <w:rFonts w:hint="eastAsia"/>
          <w:b/>
          <w:bCs/>
          <w:lang w:val="en-US" w:eastAsia="zh-CN"/>
        </w:rPr>
      </w:pPr>
      <w:r>
        <w:rPr>
          <w:rFonts w:hint="eastAsia"/>
          <w:b/>
          <w:bCs/>
          <w:lang w:val="en-US" w:eastAsia="zh-CN"/>
        </w:rPr>
        <w:t>图7.1.3-1 废气治理措施示意图</w:t>
      </w:r>
    </w:p>
    <w:p w14:paraId="1B7CEBC5">
      <w:pPr>
        <w:bidi w:val="0"/>
        <w:rPr>
          <w:rFonts w:hint="eastAsia"/>
          <w:b/>
          <w:bCs/>
          <w:lang w:val="en-US" w:eastAsia="zh-CN"/>
        </w:rPr>
      </w:pPr>
      <w:r>
        <w:rPr>
          <w:rFonts w:hint="eastAsia"/>
          <w:b/>
          <w:bCs/>
          <w:lang w:val="en-US" w:eastAsia="zh-CN"/>
        </w:rPr>
        <w:t>7.1.4 废气处理技术可行性论证</w:t>
      </w:r>
    </w:p>
    <w:p w14:paraId="074481D0">
      <w:pPr>
        <w:bidi w:val="0"/>
        <w:rPr>
          <w:rFonts w:hint="default"/>
          <w:b/>
          <w:bCs/>
          <w:lang w:val="en-US" w:eastAsia="zh-CN"/>
        </w:rPr>
      </w:pPr>
      <w:r>
        <w:rPr>
          <w:rFonts w:hint="eastAsia"/>
          <w:b/>
          <w:bCs/>
          <w:lang w:val="en-US" w:eastAsia="zh-CN"/>
        </w:rPr>
        <w:t>7.1.4.1 有组织废气处理措施的技术可行性</w:t>
      </w:r>
    </w:p>
    <w:p w14:paraId="3F368E07">
      <w:pPr>
        <w:bidi w:val="0"/>
        <w:ind w:firstLine="480" w:firstLineChars="200"/>
        <w:rPr>
          <w:rFonts w:hint="eastAsia"/>
          <w:lang w:val="en-US" w:eastAsia="zh-CN"/>
        </w:rPr>
      </w:pPr>
      <w:r>
        <w:rPr>
          <w:rFonts w:hint="eastAsia"/>
          <w:lang w:val="en-US" w:eastAsia="zh-CN"/>
        </w:rPr>
        <w:t>（1）有机废气处理措施可行性分析</w:t>
      </w:r>
    </w:p>
    <w:p w14:paraId="0297C549">
      <w:pPr>
        <w:adjustRightInd/>
        <w:ind w:firstLine="480" w:firstLineChars="200"/>
        <w:contextualSpacing/>
        <w:outlineLvl w:val="9"/>
        <w:rPr>
          <w:color w:val="auto"/>
          <w:szCs w:val="24"/>
        </w:rPr>
      </w:pPr>
      <w:r>
        <w:rPr>
          <w:rFonts w:hint="eastAsia"/>
          <w:color w:val="auto"/>
          <w:szCs w:val="24"/>
          <w:lang w:val="en-US" w:eastAsia="zh-CN"/>
        </w:rPr>
        <w:t>本项目</w:t>
      </w:r>
      <w:r>
        <w:rPr>
          <w:rFonts w:ascii="Times New Roman" w:hAnsi="Times New Roman"/>
          <w:color w:val="auto"/>
          <w:szCs w:val="24"/>
        </w:rPr>
        <w:t>有机废气主要来源于丝网印刷烧结</w:t>
      </w:r>
      <w:r>
        <w:rPr>
          <w:rFonts w:hint="eastAsia"/>
          <w:color w:val="auto"/>
          <w:szCs w:val="24"/>
          <w:lang w:val="en-US" w:eastAsia="zh-CN"/>
        </w:rPr>
        <w:t>和AC（银包铜印刷、固化）</w:t>
      </w:r>
      <w:r>
        <w:rPr>
          <w:rFonts w:ascii="Times New Roman" w:hAnsi="Times New Roman"/>
          <w:color w:val="auto"/>
          <w:szCs w:val="24"/>
        </w:rPr>
        <w:t>过程，有效成分银</w:t>
      </w:r>
      <w:r>
        <w:rPr>
          <w:rFonts w:hint="eastAsia"/>
          <w:color w:val="auto"/>
          <w:szCs w:val="24"/>
          <w:lang w:eastAsia="zh-CN"/>
        </w:rPr>
        <w:t>、</w:t>
      </w:r>
      <w:r>
        <w:rPr>
          <w:rFonts w:hint="eastAsia"/>
          <w:color w:val="auto"/>
          <w:szCs w:val="24"/>
          <w:lang w:val="en-US" w:eastAsia="zh-CN"/>
        </w:rPr>
        <w:t>铜</w:t>
      </w:r>
      <w:r>
        <w:rPr>
          <w:rFonts w:ascii="Times New Roman" w:hAnsi="Times New Roman"/>
          <w:color w:val="auto"/>
          <w:szCs w:val="24"/>
        </w:rPr>
        <w:t>作为导电材料印刷在基材上。本项目购买成品银浆</w:t>
      </w:r>
      <w:r>
        <w:rPr>
          <w:rFonts w:hint="eastAsia"/>
          <w:color w:val="auto"/>
          <w:szCs w:val="24"/>
          <w:lang w:val="en-US" w:eastAsia="zh-CN"/>
        </w:rPr>
        <w:t>和银包铜浆料</w:t>
      </w:r>
      <w:r>
        <w:rPr>
          <w:rFonts w:ascii="Times New Roman" w:hAnsi="Times New Roman"/>
          <w:color w:val="auto"/>
          <w:szCs w:val="24"/>
        </w:rPr>
        <w:t>，无需配制。此项废气经过</w:t>
      </w:r>
      <w:r>
        <w:rPr>
          <w:rFonts w:hint="eastAsia"/>
          <w:color w:val="auto"/>
          <w:szCs w:val="24"/>
          <w:lang w:val="en-US" w:eastAsia="zh-CN"/>
        </w:rPr>
        <w:t>设备自带在线</w:t>
      </w:r>
      <w:r>
        <w:rPr>
          <w:rFonts w:ascii="Times New Roman" w:hAnsi="Times New Roman"/>
          <w:color w:val="auto"/>
          <w:szCs w:val="24"/>
        </w:rPr>
        <w:t>燃烧</w:t>
      </w:r>
      <w:r>
        <w:rPr>
          <w:rFonts w:hint="eastAsia"/>
          <w:color w:val="auto"/>
          <w:szCs w:val="24"/>
          <w:lang w:val="en-US" w:eastAsia="zh-CN"/>
        </w:rPr>
        <w:t>器</w:t>
      </w:r>
      <w:r>
        <w:rPr>
          <w:rFonts w:ascii="Times New Roman" w:hAnsi="Times New Roman"/>
          <w:color w:val="auto"/>
          <w:szCs w:val="24"/>
        </w:rPr>
        <w:t>+</w:t>
      </w:r>
      <w:r>
        <w:rPr>
          <w:rFonts w:hint="eastAsia"/>
          <w:color w:val="auto"/>
          <w:szCs w:val="24"/>
          <w:lang w:val="en-US" w:eastAsia="zh-CN"/>
        </w:rPr>
        <w:t>6套一级</w:t>
      </w:r>
      <w:r>
        <w:rPr>
          <w:rFonts w:ascii="Times New Roman" w:hAnsi="Times New Roman"/>
          <w:color w:val="auto"/>
          <w:szCs w:val="24"/>
        </w:rPr>
        <w:t>活性炭吸附装置处理。丝网印刷烧结</w:t>
      </w:r>
      <w:r>
        <w:rPr>
          <w:rFonts w:hint="eastAsia"/>
          <w:color w:val="auto"/>
          <w:szCs w:val="24"/>
          <w:lang w:val="en-US" w:eastAsia="zh-CN"/>
        </w:rPr>
        <w:t>和AC（银包铜印刷、固化）</w:t>
      </w:r>
      <w:r>
        <w:rPr>
          <w:rFonts w:ascii="Times New Roman" w:hAnsi="Times New Roman"/>
          <w:color w:val="auto"/>
          <w:szCs w:val="24"/>
        </w:rPr>
        <w:t>过程</w:t>
      </w:r>
      <w:r>
        <w:rPr>
          <w:color w:val="auto"/>
          <w:szCs w:val="24"/>
        </w:rPr>
        <w:t>产生挥发性有机物。因此，项目</w:t>
      </w:r>
      <w:r>
        <w:rPr>
          <w:rFonts w:ascii="Times New Roman" w:hAnsi="Times New Roman"/>
          <w:color w:val="auto"/>
          <w:szCs w:val="24"/>
        </w:rPr>
        <w:t>丝网印刷烧结</w:t>
      </w:r>
      <w:r>
        <w:rPr>
          <w:rFonts w:hint="eastAsia"/>
          <w:color w:val="auto"/>
          <w:szCs w:val="24"/>
          <w:lang w:val="en-US" w:eastAsia="zh-CN"/>
        </w:rPr>
        <w:t>和AC（银包铜印刷、固化）</w:t>
      </w:r>
      <w:r>
        <w:rPr>
          <w:color w:val="auto"/>
          <w:szCs w:val="24"/>
        </w:rPr>
        <w:t>工段采用全密封操作，负压抽风收集有机废气。</w:t>
      </w:r>
    </w:p>
    <w:p w14:paraId="74818F31">
      <w:pPr>
        <w:spacing w:line="360" w:lineRule="auto"/>
        <w:ind w:firstLine="480" w:firstLineChars="200"/>
        <w:rPr>
          <w:color w:val="auto"/>
          <w:sz w:val="24"/>
        </w:rPr>
      </w:pPr>
      <w:r>
        <w:rPr>
          <w:color w:val="auto"/>
          <w:sz w:val="24"/>
        </w:rPr>
        <w:t>有机废气净化的方法有直接燃烧法、催化燃烧法、活性炭吸附法、吸收法等。各种方法的主要优缺点见下表。</w:t>
      </w:r>
    </w:p>
    <w:p w14:paraId="2DDBFC80">
      <w:pPr>
        <w:pStyle w:val="44"/>
        <w:numPr>
          <w:ilvl w:val="0"/>
          <w:numId w:val="0"/>
        </w:numPr>
        <w:spacing w:line="360" w:lineRule="auto"/>
        <w:jc w:val="center"/>
        <w:rPr>
          <w:b/>
          <w:color w:val="auto"/>
          <w:sz w:val="24"/>
        </w:rPr>
      </w:pPr>
      <w:r>
        <w:rPr>
          <w:rFonts w:hint="eastAsia"/>
          <w:b/>
          <w:color w:val="auto"/>
          <w:sz w:val="24"/>
          <w:lang w:val="en-US" w:eastAsia="zh-CN"/>
        </w:rPr>
        <w:t xml:space="preserve">表7.1.4-1 </w:t>
      </w:r>
      <w:r>
        <w:rPr>
          <w:b/>
          <w:color w:val="auto"/>
          <w:sz w:val="24"/>
        </w:rPr>
        <w:t>有机废气主要净化方法比较</w:t>
      </w:r>
    </w:p>
    <w:tbl>
      <w:tblPr>
        <w:tblStyle w:val="17"/>
        <w:tblW w:w="5000" w:type="pct"/>
        <w:jc w:val="center"/>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731"/>
        <w:gridCol w:w="2229"/>
        <w:gridCol w:w="2345"/>
        <w:gridCol w:w="2345"/>
        <w:gridCol w:w="1920"/>
      </w:tblGrid>
      <w:tr w14:paraId="67A2EB92">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165B38EE">
            <w:pPr>
              <w:pStyle w:val="45"/>
              <w:rPr>
                <w:b/>
                <w:color w:val="auto"/>
              </w:rPr>
            </w:pPr>
            <w:r>
              <w:rPr>
                <w:b/>
                <w:color w:val="auto"/>
              </w:rPr>
              <w:t>方法</w:t>
            </w:r>
          </w:p>
        </w:tc>
        <w:tc>
          <w:tcPr>
            <w:tcW w:w="2146" w:type="dxa"/>
            <w:vAlign w:val="center"/>
          </w:tcPr>
          <w:p w14:paraId="2FA1D029">
            <w:pPr>
              <w:pStyle w:val="45"/>
              <w:rPr>
                <w:b/>
                <w:color w:val="auto"/>
              </w:rPr>
            </w:pPr>
            <w:r>
              <w:rPr>
                <w:b/>
                <w:color w:val="auto"/>
              </w:rPr>
              <w:t>原理</w:t>
            </w:r>
          </w:p>
        </w:tc>
        <w:tc>
          <w:tcPr>
            <w:tcW w:w="2258" w:type="dxa"/>
            <w:vAlign w:val="center"/>
          </w:tcPr>
          <w:p w14:paraId="245C2502">
            <w:pPr>
              <w:pStyle w:val="45"/>
              <w:rPr>
                <w:b/>
                <w:color w:val="auto"/>
              </w:rPr>
            </w:pPr>
            <w:r>
              <w:rPr>
                <w:b/>
                <w:color w:val="auto"/>
              </w:rPr>
              <w:t>优点</w:t>
            </w:r>
          </w:p>
        </w:tc>
        <w:tc>
          <w:tcPr>
            <w:tcW w:w="2258" w:type="dxa"/>
            <w:vAlign w:val="center"/>
          </w:tcPr>
          <w:p w14:paraId="1D70F2A1">
            <w:pPr>
              <w:pStyle w:val="45"/>
              <w:rPr>
                <w:b/>
                <w:color w:val="auto"/>
              </w:rPr>
            </w:pPr>
            <w:r>
              <w:rPr>
                <w:b/>
                <w:color w:val="auto"/>
              </w:rPr>
              <w:t>缺点</w:t>
            </w:r>
          </w:p>
        </w:tc>
        <w:tc>
          <w:tcPr>
            <w:tcW w:w="1849" w:type="dxa"/>
            <w:vAlign w:val="center"/>
          </w:tcPr>
          <w:p w14:paraId="1C47B48F">
            <w:pPr>
              <w:pStyle w:val="45"/>
              <w:rPr>
                <w:b/>
                <w:color w:val="auto"/>
              </w:rPr>
            </w:pPr>
            <w:r>
              <w:rPr>
                <w:b/>
                <w:color w:val="auto"/>
              </w:rPr>
              <w:t>适用范围</w:t>
            </w:r>
          </w:p>
        </w:tc>
      </w:tr>
      <w:tr w14:paraId="70BABDE1">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2A8CF961">
            <w:pPr>
              <w:pStyle w:val="45"/>
              <w:rPr>
                <w:color w:val="auto"/>
              </w:rPr>
            </w:pPr>
            <w:r>
              <w:rPr>
                <w:color w:val="auto"/>
              </w:rPr>
              <w:t>吸附法</w:t>
            </w:r>
          </w:p>
        </w:tc>
        <w:tc>
          <w:tcPr>
            <w:tcW w:w="2146" w:type="dxa"/>
            <w:vAlign w:val="center"/>
          </w:tcPr>
          <w:p w14:paraId="42C57E74">
            <w:pPr>
              <w:pStyle w:val="45"/>
              <w:rPr>
                <w:color w:val="auto"/>
              </w:rPr>
            </w:pPr>
            <w:r>
              <w:rPr>
                <w:color w:val="auto"/>
              </w:rPr>
              <w:t>废气的分子扩散到固体吸附剂表面，有害成分被吸附而达到净化</w:t>
            </w:r>
          </w:p>
        </w:tc>
        <w:tc>
          <w:tcPr>
            <w:tcW w:w="2258" w:type="dxa"/>
            <w:vAlign w:val="center"/>
          </w:tcPr>
          <w:p w14:paraId="7808534C">
            <w:pPr>
              <w:pStyle w:val="45"/>
              <w:rPr>
                <w:color w:val="auto"/>
              </w:rPr>
            </w:pPr>
            <w:r>
              <w:rPr>
                <w:color w:val="auto"/>
              </w:rPr>
              <w:t>处理含低浓度的碳氢化合物和低温废气；溶剂可回收，进行有效利用；处理程度可以控制</w:t>
            </w:r>
          </w:p>
        </w:tc>
        <w:tc>
          <w:tcPr>
            <w:tcW w:w="2258" w:type="dxa"/>
            <w:vAlign w:val="center"/>
          </w:tcPr>
          <w:p w14:paraId="61D55EDA">
            <w:pPr>
              <w:pStyle w:val="45"/>
              <w:rPr>
                <w:color w:val="auto"/>
              </w:rPr>
            </w:pPr>
            <w:r>
              <w:rPr>
                <w:color w:val="auto"/>
              </w:rPr>
              <w:t>活性炭的再生和补充需要花费的费用多</w:t>
            </w:r>
          </w:p>
        </w:tc>
        <w:tc>
          <w:tcPr>
            <w:tcW w:w="1849" w:type="dxa"/>
            <w:vAlign w:val="center"/>
          </w:tcPr>
          <w:p w14:paraId="694789DC">
            <w:pPr>
              <w:pStyle w:val="45"/>
              <w:rPr>
                <w:color w:val="auto"/>
              </w:rPr>
            </w:pPr>
            <w:r>
              <w:rPr>
                <w:color w:val="auto"/>
              </w:rPr>
              <w:t>适用常温、中低浓度、多种挥发性有机物的废气治理</w:t>
            </w:r>
          </w:p>
        </w:tc>
      </w:tr>
      <w:tr w14:paraId="2BAFFC5A">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60E3049D">
            <w:pPr>
              <w:pStyle w:val="45"/>
              <w:rPr>
                <w:color w:val="auto"/>
              </w:rPr>
            </w:pPr>
            <w:r>
              <w:rPr>
                <w:color w:val="auto"/>
              </w:rPr>
              <w:t>直接燃烧法</w:t>
            </w:r>
          </w:p>
        </w:tc>
        <w:tc>
          <w:tcPr>
            <w:tcW w:w="2146" w:type="dxa"/>
            <w:vAlign w:val="center"/>
          </w:tcPr>
          <w:p w14:paraId="6B4BFEE1">
            <w:pPr>
              <w:pStyle w:val="45"/>
              <w:rPr>
                <w:color w:val="auto"/>
              </w:rPr>
            </w:pPr>
            <w:r>
              <w:rPr>
                <w:color w:val="auto"/>
              </w:rPr>
              <w:t>废气引入燃烧室与火焰直接接触，使有害物燃烧生成CO</w:t>
            </w:r>
            <w:r>
              <w:rPr>
                <w:color w:val="auto"/>
                <w:vertAlign w:val="subscript"/>
              </w:rPr>
              <w:t>2</w:t>
            </w:r>
            <w:r>
              <w:rPr>
                <w:color w:val="auto"/>
              </w:rPr>
              <w:t>和H</w:t>
            </w:r>
            <w:r>
              <w:rPr>
                <w:color w:val="auto"/>
                <w:vertAlign w:val="subscript"/>
              </w:rPr>
              <w:t>2</w:t>
            </w:r>
            <w:r>
              <w:rPr>
                <w:color w:val="auto"/>
              </w:rPr>
              <w:t>O，使废气净化</w:t>
            </w:r>
          </w:p>
        </w:tc>
        <w:tc>
          <w:tcPr>
            <w:tcW w:w="2258" w:type="dxa"/>
            <w:vAlign w:val="center"/>
          </w:tcPr>
          <w:p w14:paraId="4A8031A0">
            <w:pPr>
              <w:pStyle w:val="45"/>
              <w:rPr>
                <w:color w:val="auto"/>
              </w:rPr>
            </w:pPr>
            <w:r>
              <w:rPr>
                <w:color w:val="auto"/>
              </w:rPr>
              <w:t>燃烧效率高，管理容易；仅烧嘴需经常维护，维护简单；装置占地面积小；不稳定因素少，可靠性高</w:t>
            </w:r>
          </w:p>
        </w:tc>
        <w:tc>
          <w:tcPr>
            <w:tcW w:w="2258" w:type="dxa"/>
            <w:vAlign w:val="center"/>
          </w:tcPr>
          <w:p w14:paraId="47D39302">
            <w:pPr>
              <w:pStyle w:val="45"/>
              <w:rPr>
                <w:color w:val="auto"/>
              </w:rPr>
            </w:pPr>
            <w:r>
              <w:rPr>
                <w:color w:val="auto"/>
              </w:rPr>
              <w:t>处理温度高，需燃料费高；燃烧装置、燃烧室、热回收装置等设备造价高；处理浓度低、风量大的废气不经济</w:t>
            </w:r>
          </w:p>
        </w:tc>
        <w:tc>
          <w:tcPr>
            <w:tcW w:w="1849" w:type="dxa"/>
            <w:vAlign w:val="center"/>
          </w:tcPr>
          <w:p w14:paraId="4ACBAA02">
            <w:pPr>
              <w:pStyle w:val="45"/>
              <w:rPr>
                <w:color w:val="auto"/>
              </w:rPr>
            </w:pPr>
            <w:r>
              <w:rPr>
                <w:color w:val="auto"/>
              </w:rPr>
              <w:t>适用于高浓度、多种碳氢挥发性有机物含量高、湿度高的废气治理</w:t>
            </w:r>
          </w:p>
        </w:tc>
      </w:tr>
      <w:tr w14:paraId="26B184CC">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43471606">
            <w:pPr>
              <w:pStyle w:val="45"/>
              <w:rPr>
                <w:color w:val="auto"/>
              </w:rPr>
            </w:pPr>
            <w:r>
              <w:rPr>
                <w:color w:val="auto"/>
              </w:rPr>
              <w:t>催化燃烧法</w:t>
            </w:r>
          </w:p>
        </w:tc>
        <w:tc>
          <w:tcPr>
            <w:tcW w:w="2146" w:type="dxa"/>
            <w:vAlign w:val="center"/>
          </w:tcPr>
          <w:p w14:paraId="0FE5C56B">
            <w:pPr>
              <w:pStyle w:val="45"/>
              <w:rPr>
                <w:color w:val="auto"/>
              </w:rPr>
            </w:pPr>
            <w:r>
              <w:rPr>
                <w:color w:val="auto"/>
              </w:rPr>
              <w:t>在催化剂作用下，使有机物废气在引燃点温度以下燃烧生成CO</w:t>
            </w:r>
            <w:r>
              <w:rPr>
                <w:color w:val="auto"/>
                <w:vertAlign w:val="subscript"/>
              </w:rPr>
              <w:t>2</w:t>
            </w:r>
            <w:r>
              <w:rPr>
                <w:color w:val="auto"/>
              </w:rPr>
              <w:t>和H</w:t>
            </w:r>
            <w:r>
              <w:rPr>
                <w:color w:val="auto"/>
                <w:vertAlign w:val="subscript"/>
              </w:rPr>
              <w:t>2</w:t>
            </w:r>
            <w:r>
              <w:rPr>
                <w:color w:val="auto"/>
              </w:rPr>
              <w:t>O而被净化</w:t>
            </w:r>
          </w:p>
        </w:tc>
        <w:tc>
          <w:tcPr>
            <w:tcW w:w="2258" w:type="dxa"/>
            <w:vAlign w:val="center"/>
          </w:tcPr>
          <w:p w14:paraId="71F0A715">
            <w:pPr>
              <w:pStyle w:val="45"/>
              <w:rPr>
                <w:color w:val="auto"/>
              </w:rPr>
            </w:pPr>
            <w:r>
              <w:rPr>
                <w:color w:val="auto"/>
              </w:rPr>
              <w:t>与直接燃烧法相比，能在低温下氧化分解，燃料费可省1/2；装置占地面积小</w:t>
            </w:r>
          </w:p>
        </w:tc>
        <w:tc>
          <w:tcPr>
            <w:tcW w:w="2258" w:type="dxa"/>
            <w:vAlign w:val="center"/>
          </w:tcPr>
          <w:p w14:paraId="1A29CB0B">
            <w:pPr>
              <w:pStyle w:val="45"/>
              <w:rPr>
                <w:color w:val="auto"/>
              </w:rPr>
            </w:pPr>
            <w:r>
              <w:rPr>
                <w:color w:val="auto"/>
              </w:rPr>
              <w:t>催化剂价格高，需考虑催化剂中毒和催化剂寿命；必须进行前处理除去尘埃、漆雾等；催化剂和设备价格高</w:t>
            </w:r>
          </w:p>
        </w:tc>
        <w:tc>
          <w:tcPr>
            <w:tcW w:w="1849" w:type="dxa"/>
            <w:vAlign w:val="center"/>
          </w:tcPr>
          <w:p w14:paraId="6CBC8A1C">
            <w:pPr>
              <w:pStyle w:val="45"/>
              <w:rPr>
                <w:color w:val="auto"/>
              </w:rPr>
            </w:pPr>
            <w:r>
              <w:rPr>
                <w:color w:val="auto"/>
              </w:rPr>
              <w:t>适用于废气温度高、流量小、高浓度、多种碳氢挥发性有机物、含杂质少的场合</w:t>
            </w:r>
          </w:p>
        </w:tc>
      </w:tr>
      <w:tr w14:paraId="7458E666">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6CB58846">
            <w:pPr>
              <w:pStyle w:val="45"/>
              <w:rPr>
                <w:color w:val="auto"/>
              </w:rPr>
            </w:pPr>
            <w:r>
              <w:rPr>
                <w:color w:val="auto"/>
              </w:rPr>
              <w:t>吸收法</w:t>
            </w:r>
          </w:p>
        </w:tc>
        <w:tc>
          <w:tcPr>
            <w:tcW w:w="2146" w:type="dxa"/>
            <w:vAlign w:val="center"/>
          </w:tcPr>
          <w:p w14:paraId="358A6BF9">
            <w:pPr>
              <w:pStyle w:val="45"/>
              <w:rPr>
                <w:color w:val="auto"/>
              </w:rPr>
            </w:pPr>
            <w:r>
              <w:rPr>
                <w:color w:val="auto"/>
              </w:rPr>
              <w:t>液体作为吸收剂，使废气中有害气体被吸收剂所吸收从而达到净化</w:t>
            </w:r>
          </w:p>
        </w:tc>
        <w:tc>
          <w:tcPr>
            <w:tcW w:w="2258" w:type="dxa"/>
            <w:vAlign w:val="center"/>
          </w:tcPr>
          <w:p w14:paraId="096B8D9B">
            <w:pPr>
              <w:pStyle w:val="45"/>
              <w:rPr>
                <w:color w:val="auto"/>
              </w:rPr>
            </w:pPr>
            <w:r>
              <w:rPr>
                <w:color w:val="auto"/>
              </w:rPr>
              <w:t>设备费用低，运转费用少；无爆炸、火灾等危险，安全性高</w:t>
            </w:r>
          </w:p>
        </w:tc>
        <w:tc>
          <w:tcPr>
            <w:tcW w:w="2258" w:type="dxa"/>
            <w:vAlign w:val="center"/>
          </w:tcPr>
          <w:p w14:paraId="6D8795F7">
            <w:pPr>
              <w:pStyle w:val="45"/>
              <w:rPr>
                <w:color w:val="auto"/>
              </w:rPr>
            </w:pPr>
            <w:r>
              <w:rPr>
                <w:color w:val="auto"/>
              </w:rPr>
              <w:t>需要对产生的废水进行二次处理，对废气种类有限制</w:t>
            </w:r>
          </w:p>
        </w:tc>
        <w:tc>
          <w:tcPr>
            <w:tcW w:w="1849" w:type="dxa"/>
            <w:vAlign w:val="center"/>
          </w:tcPr>
          <w:p w14:paraId="34F08CC1">
            <w:pPr>
              <w:pStyle w:val="45"/>
              <w:rPr>
                <w:color w:val="auto"/>
              </w:rPr>
            </w:pPr>
            <w:r>
              <w:rPr>
                <w:color w:val="auto"/>
              </w:rPr>
              <w:t>适用于高浓度、风量小的单一组份的有机废气</w:t>
            </w:r>
          </w:p>
        </w:tc>
      </w:tr>
      <w:tr w14:paraId="77C4B6F9">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15CAA84E">
            <w:pPr>
              <w:pStyle w:val="45"/>
              <w:rPr>
                <w:color w:val="auto"/>
              </w:rPr>
            </w:pPr>
            <w:r>
              <w:rPr>
                <w:color w:val="auto"/>
              </w:rPr>
              <w:t>光解催化法</w:t>
            </w:r>
          </w:p>
        </w:tc>
        <w:tc>
          <w:tcPr>
            <w:tcW w:w="2146" w:type="dxa"/>
            <w:vAlign w:val="center"/>
          </w:tcPr>
          <w:p w14:paraId="54097B77">
            <w:pPr>
              <w:pStyle w:val="45"/>
              <w:rPr>
                <w:color w:val="auto"/>
                <w:vertAlign w:val="subscript"/>
              </w:rPr>
            </w:pPr>
            <w:r>
              <w:rPr>
                <w:color w:val="auto"/>
              </w:rPr>
              <w:t>利用光子能量分解空气中O</w:t>
            </w:r>
            <w:r>
              <w:rPr>
                <w:color w:val="auto"/>
                <w:vertAlign w:val="subscript"/>
              </w:rPr>
              <w:t>2</w:t>
            </w:r>
            <w:r>
              <w:rPr>
                <w:color w:val="auto"/>
              </w:rPr>
              <w:t>得到活跃的正负氧离子，继而产生臭氧，同时将有机物分子链裂解，被臭氧氧化后生成简单、低害或无害的物质</w:t>
            </w:r>
          </w:p>
        </w:tc>
        <w:tc>
          <w:tcPr>
            <w:tcW w:w="2258" w:type="dxa"/>
            <w:vAlign w:val="center"/>
          </w:tcPr>
          <w:p w14:paraId="7E609F9B">
            <w:pPr>
              <w:pStyle w:val="45"/>
              <w:spacing w:line="240" w:lineRule="auto"/>
              <w:rPr>
                <w:color w:val="auto"/>
              </w:rPr>
            </w:pPr>
            <w:r>
              <w:rPr>
                <w:color w:val="auto"/>
              </w:rPr>
              <w:t>无需添加任何物质、无任何机械动作，无噪音、无需专人管理和日常维护、运行稳定、能耗低等优点</w:t>
            </w:r>
          </w:p>
        </w:tc>
        <w:tc>
          <w:tcPr>
            <w:tcW w:w="2258" w:type="dxa"/>
            <w:vAlign w:val="center"/>
          </w:tcPr>
          <w:p w14:paraId="1743D037">
            <w:pPr>
              <w:pStyle w:val="45"/>
              <w:rPr>
                <w:color w:val="auto"/>
              </w:rPr>
            </w:pPr>
            <w:r>
              <w:rPr>
                <w:color w:val="auto"/>
              </w:rPr>
              <w:t>设备投资相对较高，对处理浓度低、风量大的废气不经济</w:t>
            </w:r>
          </w:p>
        </w:tc>
        <w:tc>
          <w:tcPr>
            <w:tcW w:w="1849" w:type="dxa"/>
            <w:vAlign w:val="center"/>
          </w:tcPr>
          <w:p w14:paraId="751336A8">
            <w:pPr>
              <w:pStyle w:val="45"/>
              <w:rPr>
                <w:color w:val="auto"/>
              </w:rPr>
            </w:pPr>
            <w:r>
              <w:rPr>
                <w:color w:val="auto"/>
              </w:rPr>
              <w:t>对温度无要求，适用于多种挥发性有机物的处理，特别对去除有异味的有机物有明显效果</w:t>
            </w:r>
          </w:p>
        </w:tc>
      </w:tr>
      <w:tr w14:paraId="6CD04830">
        <w:tblPrEx>
          <w:tblBorders>
            <w:top w:val="single" w:color="auto" w:sz="6" w:space="0"/>
            <w:left w:val="single" w:color="auto" w:sz="4" w:space="0"/>
            <w:bottom w:val="single" w:color="auto" w:sz="6"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704" w:type="dxa"/>
            <w:vAlign w:val="center"/>
          </w:tcPr>
          <w:p w14:paraId="4F79E29D">
            <w:pPr>
              <w:pStyle w:val="45"/>
              <w:rPr>
                <w:color w:val="auto"/>
              </w:rPr>
            </w:pPr>
            <w:r>
              <w:rPr>
                <w:rFonts w:hint="eastAsia"/>
                <w:color w:val="auto"/>
              </w:rPr>
              <w:t>等离子法</w:t>
            </w:r>
          </w:p>
        </w:tc>
        <w:tc>
          <w:tcPr>
            <w:tcW w:w="2146" w:type="dxa"/>
            <w:vAlign w:val="center"/>
          </w:tcPr>
          <w:p w14:paraId="6BC8D5A6">
            <w:pPr>
              <w:pStyle w:val="45"/>
              <w:rPr>
                <w:color w:val="auto"/>
              </w:rPr>
            </w:pPr>
            <w:r>
              <w:rPr>
                <w:rFonts w:hint="eastAsia"/>
                <w:color w:val="auto"/>
              </w:rPr>
              <w:t>利用外加电压产生高能等离子体去激活、电离、裂解</w:t>
            </w:r>
            <w:r>
              <w:rPr>
                <w:color w:val="auto"/>
              </w:rPr>
              <w:t>VOCs</w:t>
            </w:r>
            <w:r>
              <w:rPr>
                <w:rFonts w:hint="eastAsia"/>
                <w:color w:val="auto"/>
              </w:rPr>
              <w:t>组分，使之发生分解、氧化等一系列化学反应</w:t>
            </w:r>
          </w:p>
        </w:tc>
        <w:tc>
          <w:tcPr>
            <w:tcW w:w="2258" w:type="dxa"/>
            <w:vAlign w:val="center"/>
          </w:tcPr>
          <w:p w14:paraId="5FD11C85">
            <w:pPr>
              <w:pStyle w:val="45"/>
              <w:spacing w:line="240" w:lineRule="auto"/>
              <w:rPr>
                <w:color w:val="auto"/>
              </w:rPr>
            </w:pPr>
            <w:r>
              <w:rPr>
                <w:rFonts w:hint="eastAsia"/>
                <w:color w:val="auto"/>
              </w:rPr>
              <w:t>适用范围广，净化效率高，尤其适用于其它方法难以处理的多组分恶臭气体，如化工、医药等行业。 占地面积小；电子能量高，几乎可以和所有的恶臭气体分子作用；运行费用低；反应快、停止十分迅速，随用随开。</w:t>
            </w:r>
          </w:p>
        </w:tc>
        <w:tc>
          <w:tcPr>
            <w:tcW w:w="2258" w:type="dxa"/>
            <w:vAlign w:val="center"/>
          </w:tcPr>
          <w:p w14:paraId="24EC76D7">
            <w:pPr>
              <w:pStyle w:val="45"/>
              <w:rPr>
                <w:color w:val="auto"/>
              </w:rPr>
            </w:pPr>
            <w:r>
              <w:rPr>
                <w:rFonts w:hint="eastAsia"/>
                <w:color w:val="auto"/>
              </w:rPr>
              <w:t>一次性投资稍高。</w:t>
            </w:r>
          </w:p>
        </w:tc>
        <w:tc>
          <w:tcPr>
            <w:tcW w:w="1849" w:type="dxa"/>
            <w:vAlign w:val="center"/>
          </w:tcPr>
          <w:p w14:paraId="7BF07A37">
            <w:pPr>
              <w:pStyle w:val="45"/>
              <w:rPr>
                <w:color w:val="auto"/>
              </w:rPr>
            </w:pPr>
            <w:r>
              <w:rPr>
                <w:rFonts w:hint="eastAsia"/>
                <w:color w:val="auto"/>
              </w:rPr>
              <w:t>特定的低浓度</w:t>
            </w:r>
            <w:r>
              <w:rPr>
                <w:color w:val="auto"/>
              </w:rPr>
              <w:t>VOCs</w:t>
            </w:r>
            <w:r>
              <w:rPr>
                <w:rFonts w:hint="eastAsia"/>
                <w:color w:val="auto"/>
              </w:rPr>
              <w:t>气体，但具有较严重气味污染的场合</w:t>
            </w:r>
          </w:p>
        </w:tc>
      </w:tr>
    </w:tbl>
    <w:p w14:paraId="4C2A38D7">
      <w:pPr>
        <w:ind w:firstLine="480"/>
        <w:contextualSpacing/>
        <w:rPr>
          <w:color w:val="auto"/>
        </w:rPr>
      </w:pPr>
      <w:r>
        <w:rPr>
          <w:rFonts w:hint="eastAsia"/>
          <w:color w:val="auto"/>
          <w:lang w:eastAsia="zh-CN"/>
        </w:rPr>
        <w:t>本项目</w:t>
      </w:r>
      <w:r>
        <w:rPr>
          <w:rFonts w:ascii="Times New Roman" w:hAnsi="Times New Roman"/>
          <w:color w:val="auto"/>
          <w:szCs w:val="24"/>
        </w:rPr>
        <w:t>丝网印刷烧结</w:t>
      </w:r>
      <w:r>
        <w:rPr>
          <w:rFonts w:hint="eastAsia"/>
          <w:color w:val="auto"/>
          <w:szCs w:val="24"/>
          <w:lang w:val="en-US" w:eastAsia="zh-CN"/>
        </w:rPr>
        <w:t>和AC（银包铜印刷、固化）产生的</w:t>
      </w:r>
      <w:r>
        <w:rPr>
          <w:color w:val="auto"/>
        </w:rPr>
        <w:t>有机废气经有组织收集后首先经过</w:t>
      </w:r>
      <w:r>
        <w:rPr>
          <w:rFonts w:hint="eastAsia"/>
          <w:color w:val="auto"/>
          <w:lang w:val="en-US" w:eastAsia="zh-CN"/>
        </w:rPr>
        <w:t>设备自带</w:t>
      </w:r>
      <w:r>
        <w:rPr>
          <w:color w:val="auto"/>
        </w:rPr>
        <w:t>在线燃烧装置进行燃烧，燃烧后废气再进入</w:t>
      </w:r>
      <w:r>
        <w:rPr>
          <w:rFonts w:hint="eastAsia"/>
          <w:color w:val="auto"/>
          <w:lang w:eastAsia="zh-CN"/>
        </w:rPr>
        <w:t>活性炭吸附装置</w:t>
      </w:r>
      <w:r>
        <w:rPr>
          <w:color w:val="auto"/>
        </w:rPr>
        <w:t>。活性炭吸附能力较强，是较为常见的吸附剂，可以有效吸附有机废气。根据HJ2026-2013《吸附法工业有机废气治理工程技术规范》中要求可知，本项目采用颗粒状吸附剂时，气体流速宜低于0.6m/s</w:t>
      </w:r>
      <w:r>
        <w:rPr>
          <w:rFonts w:hint="eastAsia"/>
          <w:color w:val="auto"/>
          <w:lang w:eastAsia="zh-CN"/>
        </w:rPr>
        <w:t>。</w:t>
      </w:r>
      <w:r>
        <w:rPr>
          <w:color w:val="auto"/>
        </w:rPr>
        <w:t>根据《吸附法工业有机废气治理工程技术规范》（HJ2026-2013）中要求</w:t>
      </w:r>
      <w:r>
        <w:rPr>
          <w:rFonts w:hint="eastAsia"/>
          <w:color w:val="auto"/>
          <w:lang w:eastAsia="zh-CN"/>
        </w:rPr>
        <w:t>“</w:t>
      </w:r>
      <w:r>
        <w:rPr>
          <w:color w:val="auto"/>
        </w:rPr>
        <w:t>活性炭吸附装置的净化效率不低于90%</w:t>
      </w:r>
      <w:r>
        <w:rPr>
          <w:rFonts w:hint="eastAsia"/>
          <w:color w:val="auto"/>
          <w:lang w:eastAsia="zh-CN"/>
        </w:rPr>
        <w:t>”</w:t>
      </w:r>
      <w:r>
        <w:rPr>
          <w:color w:val="auto"/>
        </w:rPr>
        <w:t>可知，本环评要求活性炭吸附装置的净化效率不低于90%，VOCs的总净化效率不低于</w:t>
      </w:r>
      <w:r>
        <w:rPr>
          <w:rFonts w:hint="eastAsia"/>
          <w:color w:val="auto"/>
          <w:lang w:val="en-US" w:eastAsia="zh-CN"/>
        </w:rPr>
        <w:t>90</w:t>
      </w:r>
      <w:r>
        <w:rPr>
          <w:color w:val="auto"/>
        </w:rPr>
        <w:t>%，本项目</w:t>
      </w:r>
      <w:r>
        <w:rPr>
          <w:rFonts w:ascii="Times New Roman" w:hAnsi="Times New Roman"/>
          <w:color w:val="auto"/>
          <w:szCs w:val="24"/>
        </w:rPr>
        <w:t>丝网印刷烧结</w:t>
      </w:r>
      <w:r>
        <w:rPr>
          <w:rFonts w:hint="eastAsia"/>
          <w:color w:val="auto"/>
          <w:szCs w:val="24"/>
          <w:lang w:val="en-US" w:eastAsia="zh-CN"/>
        </w:rPr>
        <w:t>和AC（银包铜印刷、固化）产生的有机废气</w:t>
      </w:r>
      <w:r>
        <w:rPr>
          <w:color w:val="auto"/>
        </w:rPr>
        <w:t>采用</w:t>
      </w:r>
      <w:r>
        <w:rPr>
          <w:rFonts w:hint="eastAsia"/>
          <w:color w:val="auto"/>
          <w:lang w:val="en-US" w:eastAsia="zh-CN"/>
        </w:rPr>
        <w:t>设备自带</w:t>
      </w:r>
      <w:r>
        <w:rPr>
          <w:color w:val="auto"/>
        </w:rPr>
        <w:t>在线燃烧装置+</w:t>
      </w:r>
      <w:r>
        <w:rPr>
          <w:rFonts w:hint="eastAsia"/>
          <w:color w:val="auto"/>
          <w:lang w:val="en-US" w:eastAsia="zh-CN"/>
        </w:rPr>
        <w:t>一</w:t>
      </w:r>
      <w:r>
        <w:rPr>
          <w:color w:val="auto"/>
        </w:rPr>
        <w:t>级活性炭吸附装置处理有机废气，VOC</w:t>
      </w:r>
      <w:r>
        <w:rPr>
          <w:rFonts w:hint="eastAsia"/>
          <w:color w:val="auto"/>
          <w:lang w:val="en-US" w:eastAsia="zh-CN"/>
        </w:rPr>
        <w:t>s</w:t>
      </w:r>
      <w:r>
        <w:rPr>
          <w:color w:val="auto"/>
        </w:rPr>
        <w:t>的总净化效率为95%。</w:t>
      </w:r>
    </w:p>
    <w:p w14:paraId="0BE93839">
      <w:pPr>
        <w:bidi w:val="0"/>
        <w:ind w:firstLine="480" w:firstLineChars="200"/>
        <w:rPr>
          <w:rFonts w:hint="eastAsia"/>
          <w:color w:val="auto"/>
          <w:sz w:val="24"/>
          <w:szCs w:val="24"/>
          <w:lang w:val="en-US" w:eastAsia="zh-CN"/>
        </w:rPr>
      </w:pPr>
      <w:r>
        <w:rPr>
          <w:rFonts w:hint="eastAsia"/>
          <w:color w:val="auto"/>
          <w:sz w:val="24"/>
          <w:szCs w:val="24"/>
          <w:lang w:val="en-US" w:eastAsia="zh-CN"/>
        </w:rPr>
        <w:t>本项目</w:t>
      </w:r>
      <w:r>
        <w:rPr>
          <w:rFonts w:hint="eastAsia"/>
          <w:color w:val="auto"/>
          <w:sz w:val="24"/>
          <w:szCs w:val="24"/>
          <w:lang w:eastAsia="zh-CN"/>
        </w:rPr>
        <w:t>对照</w:t>
      </w:r>
      <w:r>
        <w:rPr>
          <w:rFonts w:hint="eastAsia"/>
          <w:color w:val="auto"/>
          <w:sz w:val="24"/>
          <w:szCs w:val="24"/>
          <w:lang w:val="en-US" w:eastAsia="zh-CN"/>
        </w:rPr>
        <w:t>《吸附法工业有机废气治理工程技术规范》（HJ 2026-2013）</w:t>
      </w:r>
      <w:r>
        <w:rPr>
          <w:rFonts w:hint="eastAsia"/>
          <w:color w:val="auto"/>
          <w:sz w:val="24"/>
          <w:szCs w:val="24"/>
          <w:lang w:eastAsia="zh-CN"/>
        </w:rPr>
        <w:t>，本项目</w:t>
      </w:r>
      <w:r>
        <w:rPr>
          <w:rFonts w:hint="eastAsia"/>
          <w:color w:val="auto"/>
          <w:sz w:val="24"/>
          <w:szCs w:val="24"/>
          <w:lang w:val="en-US" w:eastAsia="zh-CN"/>
        </w:rPr>
        <w:t>废气处理措施可行性分析如下：</w:t>
      </w:r>
    </w:p>
    <w:p w14:paraId="1D0A3B45">
      <w:pPr>
        <w:bidi w:val="0"/>
        <w:jc w:val="center"/>
        <w:rPr>
          <w:rFonts w:hint="default"/>
          <w:b/>
          <w:bCs/>
          <w:color w:val="auto"/>
          <w:sz w:val="24"/>
          <w:szCs w:val="24"/>
          <w:lang w:val="en-US" w:eastAsia="zh-CN"/>
        </w:rPr>
      </w:pPr>
      <w:r>
        <w:rPr>
          <w:rFonts w:hint="eastAsia"/>
          <w:b/>
          <w:bCs/>
          <w:color w:val="auto"/>
          <w:sz w:val="24"/>
          <w:szCs w:val="24"/>
          <w:lang w:val="en-US" w:eastAsia="zh-CN"/>
        </w:rPr>
        <w:t>表</w:t>
      </w:r>
      <w:r>
        <w:rPr>
          <w:rFonts w:hint="eastAsia"/>
          <w:b/>
          <w:bCs/>
          <w:color w:val="auto"/>
          <w:sz w:val="24"/>
          <w:lang w:val="en-US" w:eastAsia="zh-CN"/>
        </w:rPr>
        <w:t>7.1.4-2 项目废气处理措施与吸附法工业有机废气治理工程技术规范符合性一览表</w:t>
      </w:r>
    </w:p>
    <w:tbl>
      <w:tblPr>
        <w:tblStyle w:val="1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66"/>
        <w:gridCol w:w="4223"/>
        <w:gridCol w:w="1481"/>
      </w:tblGrid>
      <w:tr w14:paraId="65EB8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vAlign w:val="center"/>
          </w:tcPr>
          <w:p w14:paraId="7523E609">
            <w:pPr>
              <w:widowControl w:val="0"/>
              <w:bidi w:val="0"/>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规范要求</w:t>
            </w:r>
          </w:p>
        </w:tc>
        <w:tc>
          <w:tcPr>
            <w:tcW w:w="4300" w:type="dxa"/>
            <w:vAlign w:val="center"/>
          </w:tcPr>
          <w:p w14:paraId="5E3B4627">
            <w:pPr>
              <w:widowControl w:val="0"/>
              <w:bidi w:val="0"/>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本项目情况</w:t>
            </w:r>
          </w:p>
        </w:tc>
        <w:tc>
          <w:tcPr>
            <w:tcW w:w="1505" w:type="dxa"/>
            <w:vAlign w:val="center"/>
          </w:tcPr>
          <w:p w14:paraId="7356074C">
            <w:pPr>
              <w:widowControl w:val="0"/>
              <w:bidi w:val="0"/>
              <w:spacing w:line="240" w:lineRule="auto"/>
              <w:jc w:val="center"/>
              <w:rPr>
                <w:rFonts w:hint="default"/>
                <w:b/>
                <w:bCs/>
                <w:color w:val="auto"/>
                <w:sz w:val="21"/>
                <w:szCs w:val="21"/>
                <w:vertAlign w:val="baseline"/>
                <w:lang w:val="en-US" w:eastAsia="zh-CN"/>
              </w:rPr>
            </w:pPr>
            <w:r>
              <w:rPr>
                <w:rFonts w:hint="eastAsia"/>
                <w:b/>
                <w:bCs/>
                <w:color w:val="auto"/>
                <w:sz w:val="21"/>
                <w:szCs w:val="21"/>
                <w:vertAlign w:val="baseline"/>
                <w:lang w:val="en-US" w:eastAsia="zh-CN"/>
              </w:rPr>
              <w:t>符合性</w:t>
            </w:r>
          </w:p>
        </w:tc>
      </w:tr>
      <w:tr w14:paraId="212DD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vAlign w:val="center"/>
          </w:tcPr>
          <w:p w14:paraId="704F3CA4">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default" w:ascii="Times New Roman" w:hAnsi="Times New Roman" w:eastAsia="宋体" w:cs="Times New Roman"/>
                <w:color w:val="auto"/>
                <w:sz w:val="21"/>
                <w:szCs w:val="21"/>
              </w:rPr>
              <w:t>进入吸附装置的颗粒物含量宜低于1mg/m</w:t>
            </w:r>
            <w:r>
              <w:rPr>
                <w:rFonts w:hint="default" w:ascii="Times New Roman" w:hAnsi="Times New Roman" w:eastAsia="宋体" w:cs="Times New Roman"/>
                <w:color w:val="auto"/>
                <w:sz w:val="21"/>
                <w:szCs w:val="21"/>
                <w:vertAlign w:val="superscript"/>
              </w:rPr>
              <w:t>3</w:t>
            </w:r>
          </w:p>
        </w:tc>
        <w:tc>
          <w:tcPr>
            <w:tcW w:w="4300" w:type="dxa"/>
            <w:vAlign w:val="center"/>
          </w:tcPr>
          <w:p w14:paraId="1232DEA4">
            <w:pPr>
              <w:widowControl w:val="0"/>
              <w:bidi w:val="0"/>
              <w:spacing w:line="240" w:lineRule="auto"/>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本项目</w:t>
            </w:r>
            <w:r>
              <w:rPr>
                <w:rFonts w:hint="default" w:ascii="Times New Roman" w:hAnsi="Times New Roman" w:eastAsia="宋体" w:cs="Times New Roman"/>
                <w:color w:val="auto"/>
                <w:sz w:val="21"/>
                <w:szCs w:val="21"/>
              </w:rPr>
              <w:t>进入吸附装置的颗粒物含量低于1mg/m</w:t>
            </w:r>
            <w:r>
              <w:rPr>
                <w:rFonts w:hint="default" w:ascii="Times New Roman" w:hAnsi="Times New Roman" w:eastAsia="宋体" w:cs="Times New Roman"/>
                <w:color w:val="auto"/>
                <w:sz w:val="21"/>
                <w:szCs w:val="21"/>
                <w:vertAlign w:val="superscript"/>
              </w:rPr>
              <w:t>3</w:t>
            </w:r>
          </w:p>
        </w:tc>
        <w:tc>
          <w:tcPr>
            <w:tcW w:w="1505" w:type="dxa"/>
            <w:vAlign w:val="center"/>
          </w:tcPr>
          <w:p w14:paraId="4754DE55">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cs="Times New Roman"/>
                <w:color w:val="auto"/>
                <w:sz w:val="21"/>
                <w:szCs w:val="21"/>
                <w:vertAlign w:val="baseline"/>
                <w:lang w:val="en-US" w:eastAsia="zh-CN"/>
              </w:rPr>
              <w:t>符合</w:t>
            </w:r>
          </w:p>
        </w:tc>
      </w:tr>
      <w:tr w14:paraId="448AA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vAlign w:val="center"/>
          </w:tcPr>
          <w:p w14:paraId="1C15C1CA">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default" w:ascii="Times New Roman" w:hAnsi="Times New Roman" w:eastAsia="宋体" w:cs="Times New Roman"/>
                <w:color w:val="auto"/>
                <w:sz w:val="21"/>
                <w:szCs w:val="21"/>
              </w:rPr>
              <w:t>进入吸附装置的废气温度宜低于40℃</w:t>
            </w:r>
          </w:p>
        </w:tc>
        <w:tc>
          <w:tcPr>
            <w:tcW w:w="4300" w:type="dxa"/>
            <w:vAlign w:val="center"/>
          </w:tcPr>
          <w:p w14:paraId="6CC9A1FA">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cs="Times New Roman"/>
                <w:color w:val="auto"/>
                <w:sz w:val="21"/>
                <w:szCs w:val="21"/>
                <w:vertAlign w:val="baseline"/>
                <w:lang w:val="en-US" w:eastAsia="zh-CN"/>
              </w:rPr>
              <w:t>本项目</w:t>
            </w:r>
            <w:r>
              <w:rPr>
                <w:rFonts w:hint="default" w:ascii="Times New Roman" w:hAnsi="Times New Roman" w:eastAsia="宋体" w:cs="Times New Roman"/>
                <w:color w:val="auto"/>
                <w:sz w:val="21"/>
                <w:szCs w:val="21"/>
              </w:rPr>
              <w:t>进入吸附装置的废气温度低于40℃</w:t>
            </w:r>
          </w:p>
        </w:tc>
        <w:tc>
          <w:tcPr>
            <w:tcW w:w="1505" w:type="dxa"/>
            <w:vAlign w:val="center"/>
          </w:tcPr>
          <w:p w14:paraId="078388FA">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cs="Times New Roman"/>
                <w:color w:val="auto"/>
                <w:sz w:val="21"/>
                <w:szCs w:val="21"/>
                <w:vertAlign w:val="baseline"/>
                <w:lang w:val="en-US" w:eastAsia="zh-CN"/>
              </w:rPr>
              <w:t>符合</w:t>
            </w:r>
          </w:p>
        </w:tc>
      </w:tr>
      <w:tr w14:paraId="32A99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vAlign w:val="center"/>
          </w:tcPr>
          <w:p w14:paraId="1AF0531D">
            <w:pPr>
              <w:widowControl w:val="0"/>
              <w:bidi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吸附装置的净化效率不得低于90%</w:t>
            </w:r>
          </w:p>
        </w:tc>
        <w:tc>
          <w:tcPr>
            <w:tcW w:w="4300" w:type="dxa"/>
            <w:vAlign w:val="center"/>
          </w:tcPr>
          <w:p w14:paraId="67AB6381">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ascii="Times New Roman" w:hAnsi="Times New Roman" w:eastAsia="宋体" w:cs="Times New Roman"/>
                <w:color w:val="auto"/>
                <w:sz w:val="21"/>
                <w:szCs w:val="21"/>
                <w:lang w:val="en-US" w:eastAsia="zh-CN"/>
              </w:rPr>
              <w:t>本项目</w:t>
            </w:r>
            <w:r>
              <w:rPr>
                <w:rFonts w:hint="default" w:ascii="Times New Roman" w:hAnsi="Times New Roman" w:eastAsia="宋体" w:cs="Times New Roman"/>
                <w:color w:val="auto"/>
                <w:sz w:val="21"/>
                <w:szCs w:val="21"/>
              </w:rPr>
              <w:t>吸附装置的净化效率</w:t>
            </w:r>
            <w:r>
              <w:rPr>
                <w:rFonts w:hint="eastAsia" w:ascii="Times New Roman" w:hAnsi="Times New Roman" w:eastAsia="宋体" w:cs="Times New Roman"/>
                <w:color w:val="auto"/>
                <w:sz w:val="21"/>
                <w:szCs w:val="21"/>
                <w:lang w:val="en-US" w:eastAsia="zh-CN"/>
              </w:rPr>
              <w:t>均不</w:t>
            </w:r>
            <w:r>
              <w:rPr>
                <w:rFonts w:hint="default" w:ascii="Times New Roman" w:hAnsi="Times New Roman" w:eastAsia="宋体" w:cs="Times New Roman"/>
                <w:color w:val="auto"/>
                <w:sz w:val="21"/>
                <w:szCs w:val="21"/>
              </w:rPr>
              <w:t>低于90%</w:t>
            </w:r>
          </w:p>
        </w:tc>
        <w:tc>
          <w:tcPr>
            <w:tcW w:w="1505" w:type="dxa"/>
            <w:vAlign w:val="center"/>
          </w:tcPr>
          <w:p w14:paraId="48A2A2E5">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cs="Times New Roman"/>
                <w:color w:val="auto"/>
                <w:sz w:val="21"/>
                <w:szCs w:val="21"/>
                <w:vertAlign w:val="baseline"/>
                <w:lang w:val="en-US" w:eastAsia="zh-CN"/>
              </w:rPr>
              <w:t>符合</w:t>
            </w:r>
          </w:p>
        </w:tc>
      </w:tr>
      <w:tr w14:paraId="36908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36" w:type="dxa"/>
            <w:vAlign w:val="center"/>
          </w:tcPr>
          <w:p w14:paraId="3BF5444F">
            <w:pPr>
              <w:widowControl w:val="0"/>
              <w:bidi w:val="0"/>
              <w:spacing w:line="240" w:lineRule="auto"/>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应尽可能利用主体生产装置本身的集气系统进行收集。集气罩的配置应与生产工艺协调一致，不影响工艺操作。在保证收集能力的前提下，应结构简单，便于安装和维护管理</w:t>
            </w:r>
          </w:p>
        </w:tc>
        <w:tc>
          <w:tcPr>
            <w:tcW w:w="4300" w:type="dxa"/>
            <w:vAlign w:val="center"/>
          </w:tcPr>
          <w:p w14:paraId="350CEAE6">
            <w:pPr>
              <w:widowControl w:val="0"/>
              <w:bidi w:val="0"/>
              <w:spacing w:line="240" w:lineRule="auto"/>
              <w:jc w:val="center"/>
              <w:rPr>
                <w:rFonts w:hint="default" w:ascii="Times New Roman" w:hAnsi="Times New Roman" w:eastAsia="宋体" w:cs="Times New Roman"/>
                <w:color w:val="auto"/>
                <w:sz w:val="21"/>
                <w:szCs w:val="21"/>
                <w:vertAlign w:val="baseline"/>
                <w:lang w:val="en-US" w:eastAsia="zh-CN"/>
              </w:rPr>
            </w:pPr>
            <w:r>
              <w:rPr>
                <w:rFonts w:hint="eastAsia" w:cs="Times New Roman"/>
                <w:color w:val="auto"/>
                <w:sz w:val="21"/>
                <w:szCs w:val="21"/>
                <w:vertAlign w:val="baseline"/>
                <w:lang w:val="en-US" w:eastAsia="zh-CN"/>
              </w:rPr>
              <w:t>本项目挥发性有机物产污节点均位于密闭设备中，利用</w:t>
            </w:r>
            <w:r>
              <w:rPr>
                <w:rFonts w:hint="default" w:ascii="Times New Roman" w:hAnsi="Times New Roman" w:eastAsia="宋体" w:cs="Times New Roman"/>
                <w:color w:val="auto"/>
                <w:sz w:val="21"/>
                <w:szCs w:val="21"/>
              </w:rPr>
              <w:t>生产装置本身的集气系统</w:t>
            </w:r>
            <w:r>
              <w:rPr>
                <w:rFonts w:hint="eastAsia" w:ascii="Times New Roman" w:hAnsi="Times New Roman" w:eastAsia="宋体" w:cs="Times New Roman"/>
                <w:color w:val="auto"/>
                <w:sz w:val="21"/>
                <w:szCs w:val="21"/>
                <w:lang w:val="en-US" w:eastAsia="zh-CN"/>
              </w:rPr>
              <w:t>即可</w:t>
            </w:r>
            <w:r>
              <w:rPr>
                <w:rFonts w:hint="default" w:ascii="Times New Roman" w:hAnsi="Times New Roman" w:eastAsia="宋体" w:cs="Times New Roman"/>
                <w:color w:val="auto"/>
                <w:sz w:val="21"/>
                <w:szCs w:val="21"/>
              </w:rPr>
              <w:t>进行收集</w:t>
            </w:r>
            <w:r>
              <w:rPr>
                <w:rFonts w:hint="eastAsia" w:ascii="Times New Roman" w:hAnsi="Times New Roman" w:eastAsia="宋体" w:cs="Times New Roman"/>
                <w:color w:val="auto"/>
                <w:sz w:val="21"/>
                <w:szCs w:val="21"/>
                <w:lang w:eastAsia="zh-CN"/>
              </w:rPr>
              <w:t>，</w:t>
            </w:r>
            <w:r>
              <w:rPr>
                <w:rFonts w:hint="eastAsia" w:ascii="Times New Roman" w:hAnsi="Times New Roman" w:eastAsia="宋体" w:cs="Times New Roman"/>
                <w:color w:val="auto"/>
                <w:sz w:val="21"/>
                <w:szCs w:val="21"/>
                <w:lang w:val="en-US" w:eastAsia="zh-CN"/>
              </w:rPr>
              <w:t>无需另行设置集气罩</w:t>
            </w:r>
          </w:p>
        </w:tc>
        <w:tc>
          <w:tcPr>
            <w:tcW w:w="1505" w:type="dxa"/>
            <w:vAlign w:val="center"/>
          </w:tcPr>
          <w:p w14:paraId="31589BA8">
            <w:pPr>
              <w:widowControl w:val="0"/>
              <w:bidi w:val="0"/>
              <w:spacing w:line="240" w:lineRule="auto"/>
              <w:jc w:val="center"/>
              <w:rPr>
                <w:rFonts w:hint="default" w:ascii="Times New Roman" w:hAnsi="Times New Roman" w:cs="Times New Roman"/>
                <w:color w:val="auto"/>
                <w:sz w:val="21"/>
                <w:szCs w:val="21"/>
                <w:vertAlign w:val="baseline"/>
                <w:lang w:val="en-US" w:eastAsia="zh-CN"/>
              </w:rPr>
            </w:pPr>
            <w:r>
              <w:rPr>
                <w:rFonts w:hint="eastAsia" w:cs="Times New Roman"/>
                <w:color w:val="auto"/>
                <w:sz w:val="21"/>
                <w:szCs w:val="21"/>
                <w:vertAlign w:val="baseline"/>
                <w:lang w:val="en-US" w:eastAsia="zh-CN"/>
              </w:rPr>
              <w:t>符合</w:t>
            </w:r>
          </w:p>
        </w:tc>
      </w:tr>
    </w:tbl>
    <w:p w14:paraId="5F2883ED">
      <w:pPr>
        <w:bidi w:val="0"/>
        <w:ind w:firstLine="480" w:firstLineChars="200"/>
        <w:rPr>
          <w:rFonts w:hint="default"/>
          <w:lang w:val="en-US" w:eastAsia="zh-CN"/>
        </w:rPr>
      </w:pPr>
      <w:r>
        <w:rPr>
          <w:rFonts w:hint="eastAsia"/>
          <w:lang w:val="en-US" w:eastAsia="zh-CN"/>
        </w:rPr>
        <w:t>（2）颗粒物处理措施可行性分析</w:t>
      </w:r>
    </w:p>
    <w:p w14:paraId="37D797FA">
      <w:pPr>
        <w:spacing w:line="360" w:lineRule="auto"/>
        <w:ind w:firstLine="480" w:firstLineChars="200"/>
        <w:jc w:val="both"/>
        <w:rPr>
          <w:rFonts w:hint="eastAsia" w:ascii="Times New Roman" w:hAnsi="Times New Roman" w:cs="Times New Roman"/>
          <w:color w:val="auto"/>
          <w:lang w:val="en-US" w:eastAsia="zh-CN"/>
        </w:rPr>
      </w:pPr>
      <w:r>
        <w:rPr>
          <w:rFonts w:hint="eastAsia" w:ascii="Times New Roman" w:hAnsi="Times New Roman" w:cs="Times New Roman"/>
          <w:color w:val="auto"/>
          <w:lang w:val="en-US" w:eastAsia="zh-CN"/>
        </w:rPr>
        <w:t>本项目</w:t>
      </w:r>
      <w:r>
        <w:rPr>
          <w:rFonts w:hint="eastAsia" w:cs="Times New Roman"/>
          <w:color w:val="auto"/>
          <w:lang w:val="en-US" w:eastAsia="zh-CN"/>
        </w:rPr>
        <w:t>四分片</w:t>
      </w:r>
      <w:r>
        <w:rPr>
          <w:rFonts w:hint="eastAsia" w:ascii="Times New Roman" w:hAnsi="Times New Roman" w:cs="Times New Roman"/>
          <w:color w:val="auto"/>
          <w:lang w:val="en-US" w:eastAsia="zh-CN"/>
        </w:rPr>
        <w:t>钝化工序存在未完全反应的TMA，收集后经尾气燃烧筒充分燃烧后采用“布袋除尘”措施进行处理</w:t>
      </w:r>
      <w:r>
        <w:rPr>
          <w:rFonts w:hint="eastAsia" w:cs="Times New Roman"/>
          <w:color w:val="auto"/>
          <w:lang w:val="en-US" w:eastAsia="zh-CN"/>
        </w:rPr>
        <w:t>；</w:t>
      </w:r>
      <w:r>
        <w:rPr>
          <w:rFonts w:hint="eastAsia"/>
          <w:b w:val="0"/>
          <w:bCs w:val="0"/>
          <w:color w:val="auto"/>
          <w:sz w:val="24"/>
          <w:szCs w:val="24"/>
          <w:lang w:val="en-US" w:eastAsia="zh-CN"/>
        </w:rPr>
        <w:t>ME（激光开模）和激光划片产生的粉尘经设备自带布袋除尘器处理，</w:t>
      </w:r>
      <w:r>
        <w:rPr>
          <w:rFonts w:hint="eastAsia" w:ascii="Times New Roman" w:hAnsi="Times New Roman" w:cs="Times New Roman"/>
          <w:color w:val="auto"/>
          <w:lang w:val="en-US" w:eastAsia="zh-CN"/>
        </w:rPr>
        <w:t>具体原理如下：</w:t>
      </w:r>
    </w:p>
    <w:p w14:paraId="77F9C9C3">
      <w:pPr>
        <w:keepNext w:val="0"/>
        <w:keepLines w:val="0"/>
        <w:pageBreakBefore w:val="0"/>
        <w:kinsoku/>
        <w:wordWrap/>
        <w:overflowPunct/>
        <w:topLinePunct w:val="0"/>
        <w:bidi w:val="0"/>
        <w:snapToGrid/>
        <w:spacing w:line="360" w:lineRule="auto"/>
        <w:ind w:firstLine="480" w:firstLineChars="200"/>
        <w:textAlignment w:val="auto"/>
        <w:rPr>
          <w:rFonts w:hint="default" w:ascii="Times New Roman" w:hAnsi="Times New Roman" w:cs="Times New Roman"/>
          <w:color w:val="auto"/>
          <w:sz w:val="24"/>
          <w:szCs w:val="24"/>
        </w:rPr>
      </w:pPr>
      <w:r>
        <w:rPr>
          <w:rFonts w:hint="default" w:ascii="Times New Roman" w:hAnsi="Times New Roman" w:cs="Times New Roman"/>
          <w:color w:val="auto"/>
          <w:sz w:val="24"/>
          <w:szCs w:val="24"/>
        </w:rPr>
        <w:t>布袋除尘器的工作原理是：含尘气体由下部进气管道经导流板进入灰斗时，由于导流板的碰撞和气体速度的降低等作用，粗粒粉尘将落入灰斗中，其余细小颗粒粉尘随气体进入滤袋室，由于滤料纤维及织物的惯性、扩散、阻隔、钩挂、静电等作用，粉尘被阻留在滤袋内，净化后的气体逸出袋外，经排气管排出，滤袋上的积灰用气体逆洗法，即气体从滤袋非积灰面通过，把积灰从滤袋中吹掉，从而达到清灰目的。清除下来的粉尘下到灰斗经双层卸灰阀排到输灰装置。滤袋上的积灰也可以采用喷吹脉冲气流的方法把积灰从滤袋上去掉，从而达到清灰的目的。</w:t>
      </w:r>
    </w:p>
    <w:p w14:paraId="50397235">
      <w:pPr>
        <w:keepNext w:val="0"/>
        <w:keepLines w:val="0"/>
        <w:pageBreakBefore w:val="0"/>
        <w:kinsoku/>
        <w:wordWrap/>
        <w:overflowPunct/>
        <w:topLinePunct w:val="0"/>
        <w:bidi w:val="0"/>
        <w:snapToGrid/>
        <w:spacing w:line="360" w:lineRule="auto"/>
        <w:ind w:firstLine="480" w:firstLineChars="200"/>
        <w:jc w:val="both"/>
        <w:textAlignment w:val="auto"/>
        <w:rPr>
          <w:rFonts w:hint="default" w:ascii="Times New Roman" w:hAnsi="Times New Roman" w:cs="Times New Roman"/>
          <w:color w:val="auto"/>
          <w:sz w:val="24"/>
          <w:szCs w:val="24"/>
        </w:rPr>
      </w:pPr>
      <w:r>
        <w:rPr>
          <w:rFonts w:hint="default" w:ascii="Times New Roman" w:hAnsi="Times New Roman" w:cs="Times New Roman"/>
          <w:color w:val="auto"/>
          <w:sz w:val="24"/>
          <w:szCs w:val="24"/>
        </w:rPr>
        <w:t>布袋除尘器是各种除尘设备中除尘效果较明显的除尘器之一，对于含尘气体有着优良的处理效果，同时还具有性能稳定、可靠，占地面积小，对粉尘粒径的适应性强</w:t>
      </w:r>
      <w:r>
        <w:rPr>
          <w:rFonts w:hint="eastAsia" w:ascii="Times New Roman" w:hAnsi="Times New Roman" w:cs="Times New Roman"/>
          <w:color w:val="auto"/>
          <w:sz w:val="24"/>
          <w:szCs w:val="24"/>
          <w:lang w:eastAsia="zh-CN"/>
        </w:rPr>
        <w:t>、</w:t>
      </w:r>
      <w:r>
        <w:rPr>
          <w:rFonts w:hint="default" w:ascii="Times New Roman" w:hAnsi="Times New Roman" w:cs="Times New Roman"/>
          <w:color w:val="auto"/>
          <w:sz w:val="24"/>
          <w:szCs w:val="24"/>
        </w:rPr>
        <w:t>便于粉尘回收利用等显著优点</w:t>
      </w:r>
      <w:r>
        <w:rPr>
          <w:rFonts w:hint="eastAsia" w:ascii="Times New Roman" w:hAnsi="Times New Roman" w:cs="Times New Roman"/>
          <w:color w:val="auto"/>
          <w:sz w:val="24"/>
          <w:szCs w:val="24"/>
          <w:lang w:eastAsia="zh-CN"/>
        </w:rPr>
        <w:t>，</w:t>
      </w:r>
      <w:r>
        <w:rPr>
          <w:rFonts w:hint="default" w:ascii="Times New Roman" w:hAnsi="Times New Roman" w:cs="Times New Roman"/>
          <w:color w:val="auto"/>
          <w:sz w:val="24"/>
          <w:szCs w:val="24"/>
        </w:rPr>
        <w:t>其处理效果可达99%以上。布袋除尘器的结构及进出气流程见图</w:t>
      </w:r>
      <w:r>
        <w:rPr>
          <w:rFonts w:hint="eastAsia" w:ascii="Times New Roman" w:hAnsi="Times New Roman" w:cs="Times New Roman"/>
          <w:color w:val="auto"/>
          <w:sz w:val="24"/>
          <w:szCs w:val="24"/>
          <w:lang w:val="en-US" w:eastAsia="zh-CN"/>
        </w:rPr>
        <w:t>7.1.</w:t>
      </w:r>
      <w:r>
        <w:rPr>
          <w:rFonts w:hint="eastAsia" w:cs="Times New Roman"/>
          <w:color w:val="auto"/>
          <w:sz w:val="24"/>
          <w:szCs w:val="24"/>
          <w:lang w:val="en-US" w:eastAsia="zh-CN"/>
        </w:rPr>
        <w:t>4</w:t>
      </w:r>
      <w:r>
        <w:rPr>
          <w:rFonts w:hint="eastAsia" w:ascii="Times New Roman" w:hAnsi="Times New Roman" w:cs="Times New Roman"/>
          <w:color w:val="auto"/>
          <w:sz w:val="24"/>
          <w:szCs w:val="24"/>
          <w:lang w:val="en-US" w:eastAsia="zh-CN"/>
        </w:rPr>
        <w:t>-1</w:t>
      </w:r>
      <w:r>
        <w:rPr>
          <w:rFonts w:hint="default" w:ascii="Times New Roman" w:hAnsi="Times New Roman" w:cs="Times New Roman"/>
          <w:color w:val="auto"/>
          <w:sz w:val="24"/>
          <w:szCs w:val="24"/>
        </w:rPr>
        <w:t>。</w:t>
      </w:r>
    </w:p>
    <w:p w14:paraId="4846CB4A">
      <w:pPr>
        <w:keepNext w:val="0"/>
        <w:keepLines w:val="0"/>
        <w:pageBreakBefore w:val="0"/>
        <w:kinsoku/>
        <w:wordWrap/>
        <w:overflowPunct/>
        <w:topLinePunct w:val="0"/>
        <w:bidi w:val="0"/>
        <w:snapToGrid/>
        <w:spacing w:line="360" w:lineRule="auto"/>
        <w:jc w:val="center"/>
        <w:textAlignment w:val="auto"/>
        <w:rPr>
          <w:rFonts w:hint="default" w:ascii="Times New Roman" w:hAnsi="Times New Roman" w:cs="Times New Roman"/>
          <w:color w:val="auto"/>
          <w:sz w:val="23"/>
          <w:szCs w:val="23"/>
        </w:rPr>
      </w:pPr>
      <w:r>
        <w:rPr>
          <w:color w:val="auto"/>
        </w:rPr>
        <w:drawing>
          <wp:inline distT="0" distB="0" distL="114300" distR="114300">
            <wp:extent cx="5052060" cy="3909060"/>
            <wp:effectExtent l="0" t="0" r="15240" b="15240"/>
            <wp:docPr id="18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40"/>
                    <pic:cNvPicPr>
                      <a:picLocks noChangeAspect="1"/>
                    </pic:cNvPicPr>
                  </pic:nvPicPr>
                  <pic:blipFill>
                    <a:blip r:embed="rId40"/>
                    <a:stretch>
                      <a:fillRect/>
                    </a:stretch>
                  </pic:blipFill>
                  <pic:spPr>
                    <a:xfrm>
                      <a:off x="0" y="0"/>
                      <a:ext cx="5052060" cy="3909060"/>
                    </a:xfrm>
                    <a:prstGeom prst="rect">
                      <a:avLst/>
                    </a:prstGeom>
                    <a:noFill/>
                    <a:ln>
                      <a:noFill/>
                    </a:ln>
                  </pic:spPr>
                </pic:pic>
              </a:graphicData>
            </a:graphic>
          </wp:inline>
        </w:drawing>
      </w:r>
    </w:p>
    <w:p w14:paraId="682B1E5D">
      <w:pPr>
        <w:bidi w:val="0"/>
        <w:jc w:val="center"/>
        <w:rPr>
          <w:rFonts w:hint="eastAsia"/>
          <w:lang w:val="en-US" w:eastAsia="zh-CN"/>
        </w:rPr>
      </w:pPr>
      <w:r>
        <w:rPr>
          <w:rFonts w:hint="default"/>
          <w:b/>
          <w:bCs/>
          <w:color w:val="auto"/>
        </w:rPr>
        <w:t>图</w:t>
      </w:r>
      <w:r>
        <w:rPr>
          <w:rFonts w:hint="eastAsia"/>
          <w:b/>
          <w:bCs/>
          <w:color w:val="auto"/>
          <w:lang w:val="en-US" w:eastAsia="zh-CN"/>
        </w:rPr>
        <w:t>7.1.4-1</w:t>
      </w:r>
      <w:r>
        <w:rPr>
          <w:rFonts w:hint="default"/>
          <w:b/>
          <w:bCs/>
          <w:color w:val="auto"/>
        </w:rPr>
        <w:t xml:space="preserve"> 布袋除尘器结构及处理工艺示意图</w:t>
      </w:r>
    </w:p>
    <w:p w14:paraId="7395BCD0">
      <w:pPr>
        <w:bidi w:val="0"/>
        <w:ind w:firstLine="480" w:firstLineChars="200"/>
        <w:rPr>
          <w:rFonts w:hint="eastAsia"/>
          <w:lang w:val="en-US" w:eastAsia="zh-CN"/>
        </w:rPr>
      </w:pPr>
      <w:r>
        <w:rPr>
          <w:rFonts w:hint="eastAsia"/>
          <w:lang w:val="en-US" w:eastAsia="zh-CN"/>
        </w:rPr>
        <w:t>（3）废气处理措施与可行技术相符性分析</w:t>
      </w:r>
    </w:p>
    <w:p w14:paraId="1177B282">
      <w:pPr>
        <w:bidi w:val="0"/>
        <w:ind w:firstLine="480" w:firstLineChars="200"/>
        <w:rPr>
          <w:rFonts w:hint="eastAsia"/>
          <w:lang w:val="en-US" w:eastAsia="zh-CN"/>
        </w:rPr>
      </w:pPr>
      <w:r>
        <w:rPr>
          <w:rFonts w:hint="eastAsia"/>
          <w:lang w:val="en-US" w:eastAsia="zh-CN"/>
        </w:rPr>
        <w:t>本项目废气处理措施与</w:t>
      </w:r>
      <w:r>
        <w:rPr>
          <w:rFonts w:hint="eastAsia"/>
          <w:color w:val="auto"/>
          <w:sz w:val="24"/>
          <w:szCs w:val="24"/>
          <w:lang w:eastAsia="zh-CN"/>
        </w:rPr>
        <w:t>《排污许可证申请与核发技术规范</w:t>
      </w:r>
      <w:r>
        <w:rPr>
          <w:rFonts w:hint="eastAsia"/>
          <w:color w:val="auto"/>
          <w:sz w:val="24"/>
          <w:szCs w:val="24"/>
          <w:lang w:val="en-US" w:eastAsia="zh-CN"/>
        </w:rPr>
        <w:t xml:space="preserve"> 电池行业</w:t>
      </w:r>
      <w:r>
        <w:rPr>
          <w:rFonts w:hint="eastAsia"/>
          <w:color w:val="auto"/>
          <w:sz w:val="24"/>
          <w:szCs w:val="24"/>
          <w:lang w:eastAsia="zh-CN"/>
        </w:rPr>
        <w:t>》（</w:t>
      </w:r>
      <w:r>
        <w:rPr>
          <w:rFonts w:hint="eastAsia"/>
          <w:color w:val="auto"/>
          <w:sz w:val="24"/>
          <w:szCs w:val="24"/>
          <w:lang w:val="en-US" w:eastAsia="zh-CN"/>
        </w:rPr>
        <w:t>HJ 967-2018</w:t>
      </w:r>
      <w:r>
        <w:rPr>
          <w:rFonts w:hint="eastAsia"/>
          <w:color w:val="auto"/>
          <w:sz w:val="24"/>
          <w:szCs w:val="24"/>
          <w:lang w:eastAsia="zh-CN"/>
        </w:rPr>
        <w:t>）</w:t>
      </w:r>
      <w:r>
        <w:rPr>
          <w:rFonts w:hint="eastAsia"/>
          <w:lang w:val="en-US" w:eastAsia="zh-CN"/>
        </w:rPr>
        <w:t>中可行技术符合性分析如下。</w:t>
      </w:r>
    </w:p>
    <w:p w14:paraId="1BCF6409">
      <w:pPr>
        <w:bidi w:val="0"/>
        <w:jc w:val="center"/>
        <w:rPr>
          <w:rFonts w:hint="eastAsia"/>
          <w:b/>
          <w:bCs/>
          <w:lang w:val="en-US" w:eastAsia="zh-CN"/>
        </w:rPr>
      </w:pPr>
      <w:r>
        <w:rPr>
          <w:rFonts w:hint="eastAsia"/>
          <w:b/>
          <w:bCs/>
          <w:lang w:val="en-US" w:eastAsia="zh-CN"/>
        </w:rPr>
        <w:t>表7.1.4-3 本项目废气处理措施与排污许可可行技术对照表</w:t>
      </w:r>
    </w:p>
    <w:tbl>
      <w:tblPr>
        <w:tblStyle w:val="17"/>
        <w:tblW w:w="4990" w:type="pct"/>
        <w:tblInd w:w="0" w:type="dxa"/>
        <w:tblLayout w:type="fixed"/>
        <w:tblCellMar>
          <w:top w:w="0" w:type="dxa"/>
          <w:left w:w="108" w:type="dxa"/>
          <w:bottom w:w="0" w:type="dxa"/>
          <w:right w:w="108" w:type="dxa"/>
        </w:tblCellMar>
      </w:tblPr>
      <w:tblGrid>
        <w:gridCol w:w="973"/>
        <w:gridCol w:w="1503"/>
        <w:gridCol w:w="4128"/>
        <w:gridCol w:w="1851"/>
        <w:gridCol w:w="1096"/>
      </w:tblGrid>
      <w:tr w14:paraId="5D916D1F">
        <w:tblPrEx>
          <w:tblCellMar>
            <w:top w:w="0" w:type="dxa"/>
            <w:left w:w="108" w:type="dxa"/>
            <w:bottom w:w="0" w:type="dxa"/>
            <w:right w:w="108" w:type="dxa"/>
          </w:tblCellMar>
        </w:tblPrEx>
        <w:trPr>
          <w:trHeight w:val="392" w:hRule="atLeast"/>
          <w:tblHeader/>
        </w:trPr>
        <w:tc>
          <w:tcPr>
            <w:tcW w:w="509" w:type="pct"/>
            <w:tcBorders>
              <w:top w:val="single" w:color="000000" w:sz="4" w:space="0"/>
              <w:left w:val="single" w:color="000000" w:sz="4" w:space="0"/>
              <w:bottom w:val="single" w:color="000000" w:sz="4" w:space="0"/>
              <w:right w:val="single" w:color="000000" w:sz="4" w:space="0"/>
            </w:tcBorders>
            <w:noWrap/>
            <w:vAlign w:val="center"/>
          </w:tcPr>
          <w:p w14:paraId="4D37AD4B">
            <w:pPr>
              <w:bidi w:val="0"/>
              <w:spacing w:line="240" w:lineRule="auto"/>
              <w:jc w:val="center"/>
              <w:rPr>
                <w:rFonts w:hint="eastAsia"/>
                <w:b/>
                <w:bCs/>
                <w:sz w:val="21"/>
                <w:szCs w:val="21"/>
                <w:lang w:val="en-US" w:eastAsia="zh-CN"/>
              </w:rPr>
            </w:pPr>
            <w:r>
              <w:rPr>
                <w:rFonts w:hint="eastAsia"/>
                <w:b/>
                <w:bCs/>
                <w:sz w:val="21"/>
                <w:szCs w:val="21"/>
                <w:lang w:val="en-US" w:eastAsia="zh-CN"/>
              </w:rPr>
              <w:t>行业类别</w:t>
            </w:r>
          </w:p>
        </w:tc>
        <w:tc>
          <w:tcPr>
            <w:tcW w:w="786" w:type="pct"/>
            <w:tcBorders>
              <w:top w:val="single" w:color="000000" w:sz="4" w:space="0"/>
              <w:left w:val="single" w:color="000000" w:sz="4" w:space="0"/>
              <w:bottom w:val="single" w:color="000000" w:sz="4" w:space="0"/>
              <w:right w:val="single" w:color="000000" w:sz="4" w:space="0"/>
            </w:tcBorders>
            <w:noWrap/>
            <w:vAlign w:val="center"/>
          </w:tcPr>
          <w:p w14:paraId="1AE2D5C2">
            <w:pPr>
              <w:bidi w:val="0"/>
              <w:spacing w:line="240" w:lineRule="auto"/>
              <w:jc w:val="center"/>
              <w:rPr>
                <w:rFonts w:hint="eastAsia"/>
                <w:b/>
                <w:bCs/>
                <w:sz w:val="21"/>
                <w:szCs w:val="21"/>
                <w:lang w:val="en-US" w:eastAsia="zh-CN"/>
              </w:rPr>
            </w:pPr>
            <w:r>
              <w:rPr>
                <w:rFonts w:hint="eastAsia"/>
                <w:b/>
                <w:bCs/>
                <w:sz w:val="21"/>
                <w:szCs w:val="21"/>
                <w:lang w:val="en-US" w:eastAsia="zh-CN"/>
              </w:rPr>
              <w:t>污染物</w:t>
            </w:r>
          </w:p>
        </w:tc>
        <w:tc>
          <w:tcPr>
            <w:tcW w:w="2161" w:type="pct"/>
            <w:tcBorders>
              <w:top w:val="single" w:color="000000" w:sz="4" w:space="0"/>
              <w:left w:val="single" w:color="000000" w:sz="4" w:space="0"/>
              <w:bottom w:val="single" w:color="000000" w:sz="4" w:space="0"/>
              <w:right w:val="single" w:color="000000" w:sz="4" w:space="0"/>
            </w:tcBorders>
            <w:noWrap/>
            <w:vAlign w:val="center"/>
          </w:tcPr>
          <w:p w14:paraId="687D4070">
            <w:pPr>
              <w:bidi w:val="0"/>
              <w:spacing w:line="240" w:lineRule="auto"/>
              <w:jc w:val="center"/>
              <w:rPr>
                <w:rFonts w:hint="eastAsia"/>
                <w:b/>
                <w:bCs/>
                <w:sz w:val="21"/>
                <w:szCs w:val="21"/>
                <w:lang w:val="en-US" w:eastAsia="zh-CN"/>
              </w:rPr>
            </w:pPr>
            <w:r>
              <w:rPr>
                <w:rFonts w:hint="eastAsia"/>
                <w:b/>
                <w:bCs/>
                <w:sz w:val="21"/>
                <w:szCs w:val="21"/>
                <w:lang w:val="en-US" w:eastAsia="zh-CN"/>
              </w:rPr>
              <w:t>排污许可可行技术</w:t>
            </w:r>
          </w:p>
        </w:tc>
        <w:tc>
          <w:tcPr>
            <w:tcW w:w="969" w:type="pct"/>
            <w:tcBorders>
              <w:top w:val="single" w:color="000000" w:sz="4" w:space="0"/>
              <w:left w:val="single" w:color="000000" w:sz="4" w:space="0"/>
              <w:bottom w:val="single" w:color="000000" w:sz="4" w:space="0"/>
              <w:right w:val="single" w:color="000000" w:sz="4" w:space="0"/>
            </w:tcBorders>
            <w:noWrap/>
            <w:vAlign w:val="center"/>
          </w:tcPr>
          <w:p w14:paraId="7BAC9E13">
            <w:pPr>
              <w:bidi w:val="0"/>
              <w:spacing w:line="240" w:lineRule="auto"/>
              <w:jc w:val="center"/>
              <w:rPr>
                <w:rFonts w:hint="eastAsia"/>
                <w:b/>
                <w:bCs/>
                <w:sz w:val="21"/>
                <w:szCs w:val="21"/>
                <w:lang w:val="en-US" w:eastAsia="zh-CN"/>
              </w:rPr>
            </w:pPr>
            <w:r>
              <w:rPr>
                <w:rFonts w:hint="eastAsia"/>
                <w:b/>
                <w:bCs/>
                <w:sz w:val="21"/>
                <w:szCs w:val="21"/>
                <w:lang w:val="en-US" w:eastAsia="zh-CN"/>
              </w:rPr>
              <w:t>本项目采取技术</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2C7F55BA">
            <w:pPr>
              <w:bidi w:val="0"/>
              <w:spacing w:line="240" w:lineRule="auto"/>
              <w:jc w:val="center"/>
              <w:rPr>
                <w:rFonts w:hint="eastAsia"/>
                <w:b/>
                <w:bCs/>
                <w:sz w:val="21"/>
                <w:szCs w:val="21"/>
                <w:lang w:val="en-US" w:eastAsia="zh-CN"/>
              </w:rPr>
            </w:pPr>
            <w:r>
              <w:rPr>
                <w:rFonts w:hint="eastAsia"/>
                <w:b/>
                <w:bCs/>
                <w:sz w:val="21"/>
                <w:szCs w:val="21"/>
                <w:lang w:val="en-US" w:eastAsia="zh-CN"/>
              </w:rPr>
              <w:t>符合性</w:t>
            </w:r>
          </w:p>
        </w:tc>
      </w:tr>
      <w:tr w14:paraId="57283096">
        <w:tblPrEx>
          <w:tblCellMar>
            <w:top w:w="0" w:type="dxa"/>
            <w:left w:w="108" w:type="dxa"/>
            <w:bottom w:w="0" w:type="dxa"/>
            <w:right w:w="108" w:type="dxa"/>
          </w:tblCellMar>
        </w:tblPrEx>
        <w:trPr>
          <w:trHeight w:val="392" w:hRule="atLeast"/>
        </w:trPr>
        <w:tc>
          <w:tcPr>
            <w:tcW w:w="509" w:type="pct"/>
            <w:vMerge w:val="restart"/>
            <w:tcBorders>
              <w:top w:val="single" w:color="000000" w:sz="4" w:space="0"/>
              <w:left w:val="single" w:color="000000" w:sz="4" w:space="0"/>
              <w:right w:val="single" w:color="000000" w:sz="4" w:space="0"/>
            </w:tcBorders>
            <w:noWrap/>
            <w:vAlign w:val="center"/>
          </w:tcPr>
          <w:p w14:paraId="598A431D">
            <w:pPr>
              <w:bidi w:val="0"/>
              <w:spacing w:line="240" w:lineRule="auto"/>
              <w:jc w:val="center"/>
              <w:rPr>
                <w:rFonts w:hint="eastAsia"/>
                <w:sz w:val="21"/>
                <w:szCs w:val="21"/>
                <w:lang w:val="en-US" w:eastAsia="zh-CN"/>
              </w:rPr>
            </w:pPr>
            <w:r>
              <w:rPr>
                <w:rFonts w:hint="eastAsia"/>
                <w:sz w:val="21"/>
                <w:szCs w:val="21"/>
                <w:lang w:eastAsia="zh-CN"/>
              </w:rPr>
              <w:t>晶硅太阳能电池</w:t>
            </w:r>
          </w:p>
        </w:tc>
        <w:tc>
          <w:tcPr>
            <w:tcW w:w="786" w:type="pct"/>
            <w:tcBorders>
              <w:top w:val="single" w:color="000000" w:sz="4" w:space="0"/>
              <w:left w:val="single" w:color="000000" w:sz="4" w:space="0"/>
              <w:bottom w:val="single" w:color="000000" w:sz="4" w:space="0"/>
              <w:right w:val="single" w:color="000000" w:sz="4" w:space="0"/>
            </w:tcBorders>
            <w:noWrap/>
            <w:vAlign w:val="center"/>
          </w:tcPr>
          <w:p w14:paraId="146347C8">
            <w:pPr>
              <w:bidi w:val="0"/>
              <w:spacing w:line="240" w:lineRule="auto"/>
              <w:jc w:val="center"/>
              <w:rPr>
                <w:rFonts w:hint="eastAsia"/>
                <w:sz w:val="21"/>
                <w:szCs w:val="21"/>
                <w:lang w:val="en-US" w:eastAsia="zh-CN"/>
              </w:rPr>
            </w:pPr>
            <w:r>
              <w:rPr>
                <w:rFonts w:hint="eastAsia"/>
                <w:sz w:val="21"/>
                <w:szCs w:val="21"/>
                <w:lang w:val="en-US" w:eastAsia="zh-CN"/>
              </w:rPr>
              <w:t>颗粒物</w:t>
            </w:r>
          </w:p>
        </w:tc>
        <w:tc>
          <w:tcPr>
            <w:tcW w:w="2161" w:type="pct"/>
            <w:tcBorders>
              <w:top w:val="single" w:color="000000" w:sz="4" w:space="0"/>
              <w:left w:val="single" w:color="000000" w:sz="4" w:space="0"/>
              <w:bottom w:val="single" w:color="000000" w:sz="4" w:space="0"/>
              <w:right w:val="single" w:color="000000" w:sz="4" w:space="0"/>
            </w:tcBorders>
            <w:noWrap/>
            <w:vAlign w:val="center"/>
          </w:tcPr>
          <w:p w14:paraId="2242D56F">
            <w:pPr>
              <w:bidi w:val="0"/>
              <w:spacing w:line="240" w:lineRule="auto"/>
              <w:jc w:val="center"/>
              <w:rPr>
                <w:rFonts w:hint="eastAsia"/>
                <w:sz w:val="21"/>
                <w:szCs w:val="21"/>
                <w:lang w:val="en-US" w:eastAsia="zh-CN"/>
              </w:rPr>
            </w:pPr>
            <w:r>
              <w:rPr>
                <w:rFonts w:hint="eastAsia"/>
                <w:sz w:val="21"/>
                <w:szCs w:val="21"/>
                <w:lang w:val="en-US" w:eastAsia="zh-CN"/>
              </w:rPr>
              <w:t>袋式除尘；静电除尘；旋风除尘+袋式除尘</w:t>
            </w:r>
          </w:p>
        </w:tc>
        <w:tc>
          <w:tcPr>
            <w:tcW w:w="969" w:type="pct"/>
            <w:tcBorders>
              <w:top w:val="single" w:color="000000" w:sz="4" w:space="0"/>
              <w:left w:val="single" w:color="000000" w:sz="4" w:space="0"/>
              <w:bottom w:val="single" w:color="000000" w:sz="4" w:space="0"/>
              <w:right w:val="single" w:color="000000" w:sz="4" w:space="0"/>
            </w:tcBorders>
            <w:noWrap/>
            <w:vAlign w:val="center"/>
          </w:tcPr>
          <w:p w14:paraId="1A0CD8D3">
            <w:pPr>
              <w:bidi w:val="0"/>
              <w:spacing w:line="240" w:lineRule="auto"/>
              <w:jc w:val="center"/>
              <w:rPr>
                <w:rFonts w:hint="eastAsia"/>
                <w:sz w:val="21"/>
                <w:szCs w:val="21"/>
                <w:lang w:val="en-US" w:eastAsia="zh-CN"/>
              </w:rPr>
            </w:pPr>
            <w:r>
              <w:rPr>
                <w:rFonts w:hint="eastAsia"/>
                <w:sz w:val="21"/>
                <w:szCs w:val="21"/>
                <w:lang w:val="en-US" w:eastAsia="zh-CN"/>
              </w:rPr>
              <w:t>袋式除尘</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3BF036D9">
            <w:pPr>
              <w:bidi w:val="0"/>
              <w:spacing w:line="240" w:lineRule="auto"/>
              <w:jc w:val="center"/>
              <w:rPr>
                <w:rFonts w:hint="eastAsia"/>
                <w:sz w:val="21"/>
                <w:szCs w:val="21"/>
                <w:lang w:val="en-US" w:eastAsia="zh-CN"/>
              </w:rPr>
            </w:pPr>
            <w:r>
              <w:rPr>
                <w:rFonts w:hint="eastAsia"/>
                <w:sz w:val="21"/>
                <w:szCs w:val="21"/>
                <w:lang w:val="en-US" w:eastAsia="zh-CN"/>
              </w:rPr>
              <w:t>符合</w:t>
            </w:r>
          </w:p>
        </w:tc>
      </w:tr>
      <w:tr w14:paraId="0284FB73">
        <w:tblPrEx>
          <w:tblCellMar>
            <w:top w:w="0" w:type="dxa"/>
            <w:left w:w="108" w:type="dxa"/>
            <w:bottom w:w="0" w:type="dxa"/>
            <w:right w:w="108" w:type="dxa"/>
          </w:tblCellMar>
        </w:tblPrEx>
        <w:trPr>
          <w:trHeight w:val="392" w:hRule="atLeast"/>
        </w:trPr>
        <w:tc>
          <w:tcPr>
            <w:tcW w:w="509" w:type="pct"/>
            <w:vMerge w:val="continue"/>
            <w:tcBorders>
              <w:left w:val="single" w:color="000000" w:sz="4" w:space="0"/>
              <w:bottom w:val="single" w:color="000000" w:sz="4" w:space="0"/>
              <w:right w:val="single" w:color="000000" w:sz="4" w:space="0"/>
            </w:tcBorders>
            <w:noWrap/>
            <w:vAlign w:val="center"/>
          </w:tcPr>
          <w:p w14:paraId="2ADA7668">
            <w:pPr>
              <w:bidi w:val="0"/>
              <w:spacing w:line="240" w:lineRule="auto"/>
              <w:jc w:val="center"/>
              <w:rPr>
                <w:rFonts w:hint="eastAsia"/>
                <w:sz w:val="21"/>
                <w:szCs w:val="21"/>
                <w:lang w:val="en-US" w:eastAsia="zh-CN"/>
              </w:rPr>
            </w:pPr>
          </w:p>
        </w:tc>
        <w:tc>
          <w:tcPr>
            <w:tcW w:w="78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6F6EB">
            <w:pPr>
              <w:bidi w:val="0"/>
              <w:spacing w:line="240" w:lineRule="auto"/>
              <w:jc w:val="center"/>
              <w:rPr>
                <w:rFonts w:hint="eastAsia"/>
                <w:sz w:val="21"/>
                <w:szCs w:val="21"/>
                <w:lang w:val="en-US" w:eastAsia="zh-CN"/>
              </w:rPr>
            </w:pPr>
            <w:r>
              <w:rPr>
                <w:rFonts w:hint="eastAsia"/>
                <w:sz w:val="21"/>
                <w:szCs w:val="21"/>
                <w:lang w:eastAsia="zh-CN"/>
              </w:rPr>
              <w:t>非甲烷总烃</w:t>
            </w:r>
          </w:p>
        </w:tc>
        <w:tc>
          <w:tcPr>
            <w:tcW w:w="21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3D31F">
            <w:pPr>
              <w:bidi w:val="0"/>
              <w:spacing w:line="240" w:lineRule="auto"/>
              <w:jc w:val="center"/>
              <w:rPr>
                <w:rFonts w:hint="eastAsia"/>
                <w:sz w:val="21"/>
                <w:szCs w:val="21"/>
                <w:lang w:val="en-US" w:eastAsia="zh-CN"/>
              </w:rPr>
            </w:pPr>
            <w:r>
              <w:rPr>
                <w:rFonts w:hint="eastAsia"/>
                <w:sz w:val="21"/>
                <w:szCs w:val="21"/>
                <w:lang w:eastAsia="zh-CN"/>
              </w:rPr>
              <w:t>活性炭吸附</w:t>
            </w:r>
          </w:p>
        </w:tc>
        <w:tc>
          <w:tcPr>
            <w:tcW w:w="9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B8C7A">
            <w:pPr>
              <w:bidi w:val="0"/>
              <w:spacing w:line="240" w:lineRule="auto"/>
              <w:jc w:val="center"/>
              <w:rPr>
                <w:rFonts w:hint="eastAsia"/>
                <w:sz w:val="21"/>
                <w:szCs w:val="21"/>
                <w:lang w:val="en-US" w:eastAsia="zh-CN"/>
              </w:rPr>
            </w:pPr>
            <w:r>
              <w:rPr>
                <w:rFonts w:hint="eastAsia"/>
                <w:sz w:val="21"/>
                <w:szCs w:val="21"/>
                <w:lang w:eastAsia="zh-CN"/>
              </w:rPr>
              <w:t>燃烧</w:t>
            </w:r>
            <w:r>
              <w:rPr>
                <w:rFonts w:hint="eastAsia"/>
                <w:sz w:val="21"/>
                <w:szCs w:val="21"/>
                <w:lang w:val="en-US" w:eastAsia="zh-CN"/>
              </w:rPr>
              <w:t>+吸附</w:t>
            </w:r>
          </w:p>
        </w:tc>
        <w:tc>
          <w:tcPr>
            <w:tcW w:w="5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DEB08">
            <w:pPr>
              <w:bidi w:val="0"/>
              <w:spacing w:line="240" w:lineRule="auto"/>
              <w:jc w:val="center"/>
              <w:rPr>
                <w:rFonts w:hint="eastAsia"/>
                <w:sz w:val="21"/>
                <w:szCs w:val="21"/>
                <w:lang w:val="en-US" w:eastAsia="zh-CN"/>
              </w:rPr>
            </w:pPr>
            <w:r>
              <w:rPr>
                <w:rFonts w:hint="eastAsia"/>
                <w:sz w:val="21"/>
                <w:szCs w:val="21"/>
                <w:lang w:eastAsia="zh-CN"/>
              </w:rPr>
              <w:t>符合</w:t>
            </w:r>
          </w:p>
        </w:tc>
      </w:tr>
    </w:tbl>
    <w:p w14:paraId="46163288">
      <w:pPr>
        <w:bidi w:val="0"/>
        <w:ind w:firstLine="480" w:firstLineChars="200"/>
        <w:rPr>
          <w:rFonts w:hint="eastAsia"/>
          <w:lang w:val="en-US" w:eastAsia="zh-CN"/>
        </w:rPr>
      </w:pPr>
      <w:r>
        <w:rPr>
          <w:rFonts w:hint="eastAsia"/>
          <w:lang w:val="en-US" w:eastAsia="zh-CN"/>
        </w:rPr>
        <w:t>根据上表对照分析，本项目废气处理措施均为</w:t>
      </w:r>
      <w:r>
        <w:rPr>
          <w:rFonts w:hint="eastAsia"/>
          <w:color w:val="auto"/>
          <w:sz w:val="24"/>
          <w:szCs w:val="24"/>
          <w:lang w:eastAsia="zh-CN"/>
        </w:rPr>
        <w:t>《排污许可证申请与核发技术规范</w:t>
      </w:r>
      <w:r>
        <w:rPr>
          <w:rFonts w:hint="eastAsia"/>
          <w:color w:val="auto"/>
          <w:sz w:val="24"/>
          <w:szCs w:val="24"/>
          <w:lang w:val="en-US" w:eastAsia="zh-CN"/>
        </w:rPr>
        <w:t xml:space="preserve"> 电池行业</w:t>
      </w:r>
      <w:r>
        <w:rPr>
          <w:rFonts w:hint="eastAsia"/>
          <w:color w:val="auto"/>
          <w:sz w:val="24"/>
          <w:szCs w:val="24"/>
          <w:lang w:eastAsia="zh-CN"/>
        </w:rPr>
        <w:t>》（</w:t>
      </w:r>
      <w:r>
        <w:rPr>
          <w:rFonts w:hint="eastAsia"/>
          <w:color w:val="auto"/>
          <w:sz w:val="24"/>
          <w:szCs w:val="24"/>
          <w:lang w:val="en-US" w:eastAsia="zh-CN"/>
        </w:rPr>
        <w:t>HJ 967-2018</w:t>
      </w:r>
      <w:r>
        <w:rPr>
          <w:rFonts w:hint="eastAsia"/>
          <w:color w:val="auto"/>
          <w:sz w:val="24"/>
          <w:szCs w:val="24"/>
          <w:lang w:eastAsia="zh-CN"/>
        </w:rPr>
        <w:t>）</w:t>
      </w:r>
      <w:r>
        <w:rPr>
          <w:rFonts w:hint="eastAsia"/>
          <w:lang w:val="en-US" w:eastAsia="zh-CN"/>
        </w:rPr>
        <w:t>中规定的可行技术。</w:t>
      </w:r>
    </w:p>
    <w:p w14:paraId="32C5F403">
      <w:pPr>
        <w:bidi w:val="0"/>
        <w:rPr>
          <w:rFonts w:hint="default"/>
          <w:b/>
          <w:bCs/>
          <w:lang w:val="en-US" w:eastAsia="zh-CN"/>
        </w:rPr>
      </w:pPr>
      <w:r>
        <w:rPr>
          <w:rFonts w:hint="default"/>
          <w:b/>
          <w:bCs/>
          <w:lang w:val="en-US" w:eastAsia="zh-CN"/>
        </w:rPr>
        <w:t>7.1.4.2 无组织废气处理措施的技术可行性</w:t>
      </w:r>
    </w:p>
    <w:p w14:paraId="1838A0A7">
      <w:pPr>
        <w:bidi w:val="0"/>
        <w:ind w:firstLine="480" w:firstLineChars="200"/>
        <w:rPr>
          <w:rFonts w:hint="default"/>
          <w:lang w:val="en-US" w:eastAsia="zh-CN"/>
        </w:rPr>
      </w:pPr>
      <w:r>
        <w:rPr>
          <w:rFonts w:hint="eastAsia"/>
          <w:b w:val="0"/>
          <w:bCs w:val="0"/>
          <w:color w:val="auto"/>
          <w:sz w:val="24"/>
          <w:szCs w:val="24"/>
          <w:lang w:val="en-US" w:eastAsia="zh-CN"/>
        </w:rPr>
        <w:t>本次技改项目</w:t>
      </w:r>
      <w:r>
        <w:rPr>
          <w:rFonts w:ascii="Times New Roman" w:hAnsi="Times New Roman"/>
          <w:color w:val="auto"/>
          <w:szCs w:val="24"/>
        </w:rPr>
        <w:t>丝网印刷烧结</w:t>
      </w:r>
      <w:r>
        <w:rPr>
          <w:rFonts w:hint="eastAsia"/>
          <w:color w:val="auto"/>
          <w:szCs w:val="24"/>
          <w:lang w:val="en-US" w:eastAsia="zh-CN"/>
        </w:rPr>
        <w:t>和AC（银包铜印刷、固化）设备</w:t>
      </w:r>
      <w:r>
        <w:rPr>
          <w:spacing w:val="-4"/>
        </w:rPr>
        <w:t>全密闭</w:t>
      </w:r>
      <w:r>
        <w:rPr>
          <w:rFonts w:hint="eastAsia"/>
          <w:spacing w:val="-4"/>
          <w:lang w:eastAsia="zh-CN"/>
        </w:rPr>
        <w:t>，</w:t>
      </w:r>
      <w:r>
        <w:rPr>
          <w:rFonts w:hint="eastAsia"/>
          <w:spacing w:val="-4"/>
          <w:lang w:val="en-US" w:eastAsia="zh-CN"/>
        </w:rPr>
        <w:t>有机废气</w:t>
      </w:r>
      <w:r>
        <w:rPr>
          <w:spacing w:val="-4"/>
        </w:rPr>
        <w:t>采用设备内部负压收集，根据经验系数，可实现98%的集气效率</w:t>
      </w:r>
      <w:r>
        <w:rPr>
          <w:rFonts w:hint="eastAsia"/>
          <w:spacing w:val="-4"/>
          <w:lang w:eastAsia="zh-CN"/>
        </w:rPr>
        <w:t>，</w:t>
      </w:r>
      <w:r>
        <w:rPr>
          <w:spacing w:val="-4"/>
        </w:rPr>
        <w:t>未捕集到的无组织废气通过</w:t>
      </w:r>
      <w:r>
        <w:rPr>
          <w:rFonts w:hint="eastAsia"/>
          <w:spacing w:val="-4"/>
          <w:lang w:val="en-US" w:eastAsia="zh-CN"/>
        </w:rPr>
        <w:t>车间换气</w:t>
      </w:r>
      <w:r>
        <w:rPr>
          <w:spacing w:val="-4"/>
        </w:rPr>
        <w:t>系统</w:t>
      </w:r>
      <w:r>
        <w:rPr>
          <w:rFonts w:hint="eastAsia"/>
          <w:spacing w:val="-4"/>
          <w:lang w:val="en-US" w:eastAsia="zh-CN"/>
        </w:rPr>
        <w:t>无组织排放</w:t>
      </w:r>
      <w:r>
        <w:rPr>
          <w:spacing w:val="-4"/>
        </w:rPr>
        <w:t>。</w:t>
      </w:r>
      <w:r>
        <w:rPr>
          <w:rFonts w:hint="eastAsia"/>
          <w:b w:val="0"/>
          <w:bCs w:val="0"/>
          <w:color w:val="auto"/>
          <w:sz w:val="24"/>
          <w:szCs w:val="24"/>
          <w:lang w:val="en-US" w:eastAsia="zh-CN"/>
        </w:rPr>
        <w:t>（激光开模）和激光划片产生的粉尘经设备自带布袋除尘器处理后无组织排放。</w:t>
      </w:r>
    </w:p>
    <w:p w14:paraId="4748FFF8">
      <w:pPr>
        <w:bidi w:val="0"/>
        <w:ind w:firstLine="480" w:firstLineChars="200"/>
        <w:rPr>
          <w:rFonts w:hint="default"/>
          <w:lang w:val="en-US" w:eastAsia="zh-CN"/>
        </w:rPr>
      </w:pPr>
      <w:r>
        <w:rPr>
          <w:rFonts w:hint="default"/>
          <w:lang w:val="en-US" w:eastAsia="zh-CN"/>
        </w:rPr>
        <w:t>通过采取以上措施，并加强各车间的送排风系统维护和管理，能够确保车间及厂界无组织废气达到相关标准要求。</w:t>
      </w:r>
    </w:p>
    <w:p w14:paraId="49E54A56">
      <w:pPr>
        <w:bidi w:val="0"/>
        <w:ind w:firstLine="480" w:firstLineChars="200"/>
        <w:rPr>
          <w:rFonts w:hint="default"/>
          <w:lang w:val="en-US" w:eastAsia="zh-CN"/>
        </w:rPr>
      </w:pPr>
      <w:r>
        <w:rPr>
          <w:rFonts w:hint="default"/>
          <w:lang w:val="en-US" w:eastAsia="zh-CN"/>
        </w:rPr>
        <w:t>对照《挥发性有机物无组织排放控制标准》（GB37822-2019），本项目无VOCs物料储罐，使用的银浆</w:t>
      </w:r>
      <w:r>
        <w:rPr>
          <w:rFonts w:hint="eastAsia"/>
          <w:lang w:val="en-US" w:eastAsia="zh-CN"/>
        </w:rPr>
        <w:t>、银包铜浆料</w:t>
      </w:r>
      <w:r>
        <w:rPr>
          <w:rFonts w:hint="default"/>
          <w:lang w:val="en-US" w:eastAsia="zh-CN"/>
        </w:rPr>
        <w:t>等VOCs物料均储存于密闭的包装桶中，并存放于室内，平时进行加盖、封口，保持密闭，符合VOCs物料储存无组织排放控制要求。本项目VOCs物料在使用过程中均在密闭空间内操作，废气排至VOCs废气收集处理系统处理后外排，产生的含VOCs废料均进行密闭存储，盛装过VOCs物料的废包装容器均加盖密闭，符合工艺过程VOCs无组织排放控制要求。因此，本项目挥发性有机物无组织控制措施符合《挥发性有机物无组织排放控制标准》（GB 37822-2019）要求。</w:t>
      </w:r>
    </w:p>
    <w:p w14:paraId="0F14CF7E">
      <w:pPr>
        <w:bidi w:val="0"/>
        <w:rPr>
          <w:rFonts w:hint="default"/>
          <w:b/>
          <w:bCs/>
          <w:lang w:val="en-US" w:eastAsia="zh-CN"/>
        </w:rPr>
      </w:pPr>
      <w:r>
        <w:rPr>
          <w:rFonts w:hint="default"/>
          <w:b/>
          <w:bCs/>
          <w:lang w:val="en-US" w:eastAsia="zh-CN"/>
        </w:rPr>
        <w:t>7.1.5 经济合理性分析</w:t>
      </w:r>
    </w:p>
    <w:p w14:paraId="7FB07C43">
      <w:pPr>
        <w:bidi w:val="0"/>
        <w:ind w:firstLine="480" w:firstLineChars="200"/>
        <w:rPr>
          <w:rFonts w:hint="default"/>
          <w:lang w:val="en-US" w:eastAsia="zh-CN"/>
        </w:rPr>
      </w:pPr>
      <w:r>
        <w:rPr>
          <w:rFonts w:hint="default"/>
          <w:lang w:val="en-US" w:eastAsia="zh-CN"/>
        </w:rPr>
        <w:t>以上废气处理技术均为成熟技术，运行费用主要来自于电费、仪器的维护等支出；本项目经济效益较好，废气处理措施投资及运行费用均可承受，具有经济可行性</w:t>
      </w:r>
      <w:r>
        <w:rPr>
          <w:rFonts w:hint="eastAsia"/>
          <w:lang w:val="en-US" w:eastAsia="zh-CN"/>
        </w:rPr>
        <w:t>，</w:t>
      </w:r>
      <w:r>
        <w:rPr>
          <w:rFonts w:hint="default"/>
          <w:lang w:val="en-US" w:eastAsia="zh-CN"/>
        </w:rPr>
        <w:t>建设项目废气处理措施技术经济可行。</w:t>
      </w:r>
    </w:p>
    <w:p w14:paraId="056EF503">
      <w:pPr>
        <w:bidi w:val="0"/>
        <w:rPr>
          <w:rFonts w:hint="default"/>
          <w:b/>
          <w:bCs/>
          <w:lang w:val="en-US" w:eastAsia="zh-CN"/>
        </w:rPr>
      </w:pPr>
      <w:r>
        <w:rPr>
          <w:rFonts w:hint="default"/>
          <w:b/>
          <w:bCs/>
          <w:lang w:val="en-US" w:eastAsia="zh-CN"/>
        </w:rPr>
        <w:t>7.1.6 排气筒设置合理性</w:t>
      </w:r>
    </w:p>
    <w:p w14:paraId="5402849F">
      <w:pPr>
        <w:bidi w:val="0"/>
        <w:ind w:firstLine="480" w:firstLineChars="200"/>
        <w:rPr>
          <w:rFonts w:hint="eastAsia"/>
          <w:lang w:val="en-US" w:eastAsia="zh-CN"/>
        </w:rPr>
      </w:pPr>
      <w:r>
        <w:rPr>
          <w:rFonts w:hint="eastAsia"/>
          <w:lang w:val="en-US" w:eastAsia="zh-CN"/>
        </w:rPr>
        <w:t>本次技改项目四分片钝化废气依托现有工程保留的一根排气筒排放；丝网印刷烧结废气新增一根排气筒排放；AC（银包铜印刷、固化）废气依托现有排气筒排放，合计新增一根25m高排气筒（DA023），</w:t>
      </w:r>
      <w:r>
        <w:rPr>
          <w:spacing w:val="-1"/>
        </w:rPr>
        <w:t>本项目排气筒设置合理可行</w:t>
      </w:r>
      <w:r>
        <w:rPr>
          <w:rFonts w:hint="eastAsia"/>
          <w:lang w:val="en-US" w:eastAsia="zh-CN"/>
        </w:rPr>
        <w:t>。</w:t>
      </w:r>
    </w:p>
    <w:p w14:paraId="5257B299">
      <w:pPr>
        <w:bidi w:val="0"/>
        <w:jc w:val="center"/>
        <w:rPr>
          <w:rFonts w:hint="eastAsia"/>
          <w:b/>
          <w:bCs/>
          <w:lang w:val="en-US" w:eastAsia="zh-CN"/>
        </w:rPr>
      </w:pPr>
      <w:r>
        <w:rPr>
          <w:rFonts w:hint="eastAsia"/>
          <w:b/>
          <w:bCs/>
          <w:lang w:val="en-US" w:eastAsia="zh-CN"/>
        </w:rPr>
        <w:t>表7.1.6-1 项目排气筒设置情况</w:t>
      </w:r>
    </w:p>
    <w:tbl>
      <w:tblPr>
        <w:tblStyle w:val="25"/>
        <w:tblW w:w="5000" w:type="pct"/>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910"/>
        <w:gridCol w:w="2099"/>
        <w:gridCol w:w="1452"/>
        <w:gridCol w:w="1454"/>
        <w:gridCol w:w="1445"/>
      </w:tblGrid>
      <w:tr w14:paraId="4EE221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2818" w:type="dxa"/>
            <w:vMerge w:val="restart"/>
            <w:tcBorders>
              <w:bottom w:val="nil"/>
            </w:tcBorders>
            <w:vAlign w:val="center"/>
          </w:tcPr>
          <w:p w14:paraId="006531AE">
            <w:pPr>
              <w:widowControl w:val="0"/>
              <w:bidi w:val="0"/>
              <w:spacing w:line="240" w:lineRule="auto"/>
              <w:jc w:val="center"/>
              <w:rPr>
                <w:b/>
                <w:bCs/>
                <w:sz w:val="21"/>
                <w:szCs w:val="21"/>
              </w:rPr>
            </w:pPr>
            <w:r>
              <w:rPr>
                <w:b/>
                <w:bCs/>
                <w:sz w:val="21"/>
                <w:szCs w:val="21"/>
              </w:rPr>
              <w:t>污染工段</w:t>
            </w:r>
          </w:p>
        </w:tc>
        <w:tc>
          <w:tcPr>
            <w:tcW w:w="2033" w:type="dxa"/>
            <w:vAlign w:val="center"/>
          </w:tcPr>
          <w:p w14:paraId="034AEE84">
            <w:pPr>
              <w:widowControl w:val="0"/>
              <w:bidi w:val="0"/>
              <w:spacing w:line="240" w:lineRule="auto"/>
              <w:jc w:val="center"/>
              <w:rPr>
                <w:b/>
                <w:bCs/>
                <w:sz w:val="21"/>
                <w:szCs w:val="21"/>
              </w:rPr>
            </w:pPr>
            <w:r>
              <w:rPr>
                <w:b/>
                <w:bCs/>
                <w:sz w:val="21"/>
                <w:szCs w:val="21"/>
              </w:rPr>
              <w:t>废气排放量</w:t>
            </w:r>
          </w:p>
        </w:tc>
        <w:tc>
          <w:tcPr>
            <w:tcW w:w="1406" w:type="dxa"/>
            <w:vMerge w:val="restart"/>
            <w:tcBorders>
              <w:bottom w:val="nil"/>
            </w:tcBorders>
            <w:vAlign w:val="center"/>
          </w:tcPr>
          <w:p w14:paraId="783C2A53">
            <w:pPr>
              <w:widowControl w:val="0"/>
              <w:bidi w:val="0"/>
              <w:spacing w:line="240" w:lineRule="auto"/>
              <w:jc w:val="center"/>
              <w:rPr>
                <w:b/>
                <w:bCs/>
                <w:sz w:val="21"/>
                <w:szCs w:val="21"/>
              </w:rPr>
            </w:pPr>
            <w:r>
              <w:rPr>
                <w:b/>
                <w:bCs/>
                <w:sz w:val="21"/>
                <w:szCs w:val="21"/>
              </w:rPr>
              <w:t>排气筒编号</w:t>
            </w:r>
          </w:p>
        </w:tc>
        <w:tc>
          <w:tcPr>
            <w:tcW w:w="1408" w:type="dxa"/>
            <w:vAlign w:val="center"/>
          </w:tcPr>
          <w:p w14:paraId="2D5219D2">
            <w:pPr>
              <w:widowControl w:val="0"/>
              <w:bidi w:val="0"/>
              <w:spacing w:line="240" w:lineRule="auto"/>
              <w:jc w:val="center"/>
              <w:rPr>
                <w:b/>
                <w:bCs/>
                <w:sz w:val="21"/>
                <w:szCs w:val="21"/>
              </w:rPr>
            </w:pPr>
            <w:r>
              <w:rPr>
                <w:b/>
                <w:bCs/>
                <w:sz w:val="21"/>
                <w:szCs w:val="21"/>
              </w:rPr>
              <w:t>排放源参数</w:t>
            </w:r>
          </w:p>
        </w:tc>
        <w:tc>
          <w:tcPr>
            <w:tcW w:w="1399" w:type="dxa"/>
            <w:vMerge w:val="restart"/>
            <w:tcBorders>
              <w:bottom w:val="nil"/>
            </w:tcBorders>
            <w:vAlign w:val="center"/>
          </w:tcPr>
          <w:p w14:paraId="7F1CD24D">
            <w:pPr>
              <w:widowControl w:val="0"/>
              <w:bidi w:val="0"/>
              <w:spacing w:line="240" w:lineRule="auto"/>
              <w:jc w:val="center"/>
              <w:rPr>
                <w:rFonts w:hint="eastAsia" w:eastAsia="宋体"/>
                <w:sz w:val="21"/>
                <w:szCs w:val="21"/>
                <w:lang w:eastAsia="zh-CN"/>
              </w:rPr>
            </w:pPr>
            <w:r>
              <w:rPr>
                <w:rFonts w:hint="eastAsia"/>
                <w:b/>
                <w:bCs/>
                <w:sz w:val="21"/>
                <w:szCs w:val="21"/>
                <w:lang w:val="en-US" w:eastAsia="zh-CN"/>
              </w:rPr>
              <w:t>备注</w:t>
            </w:r>
          </w:p>
        </w:tc>
      </w:tr>
      <w:tr w14:paraId="28A5DC4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8" w:hRule="atLeast"/>
        </w:trPr>
        <w:tc>
          <w:tcPr>
            <w:tcW w:w="2818" w:type="dxa"/>
            <w:vMerge w:val="continue"/>
            <w:tcBorders>
              <w:top w:val="nil"/>
            </w:tcBorders>
            <w:vAlign w:val="center"/>
          </w:tcPr>
          <w:p w14:paraId="260A443D">
            <w:pPr>
              <w:widowControl w:val="0"/>
              <w:bidi w:val="0"/>
              <w:spacing w:line="240" w:lineRule="auto"/>
              <w:jc w:val="center"/>
              <w:rPr>
                <w:b/>
                <w:bCs/>
                <w:sz w:val="21"/>
                <w:szCs w:val="21"/>
              </w:rPr>
            </w:pPr>
          </w:p>
        </w:tc>
        <w:tc>
          <w:tcPr>
            <w:tcW w:w="2033" w:type="dxa"/>
            <w:vAlign w:val="center"/>
          </w:tcPr>
          <w:p w14:paraId="5CFB913B">
            <w:pPr>
              <w:widowControl w:val="0"/>
              <w:bidi w:val="0"/>
              <w:spacing w:line="240" w:lineRule="auto"/>
              <w:jc w:val="center"/>
              <w:rPr>
                <w:b/>
                <w:bCs/>
                <w:sz w:val="21"/>
                <w:szCs w:val="21"/>
              </w:rPr>
            </w:pPr>
            <w:r>
              <w:rPr>
                <w:b/>
                <w:bCs/>
                <w:sz w:val="21"/>
                <w:szCs w:val="21"/>
              </w:rPr>
              <w:t>m</w:t>
            </w:r>
            <w:r>
              <w:rPr>
                <w:b/>
                <w:bCs/>
                <w:sz w:val="21"/>
                <w:szCs w:val="21"/>
                <w:vertAlign w:val="superscript"/>
              </w:rPr>
              <w:t>3</w:t>
            </w:r>
            <w:r>
              <w:rPr>
                <w:b/>
                <w:bCs/>
                <w:sz w:val="21"/>
                <w:szCs w:val="21"/>
              </w:rPr>
              <w:t>/h</w:t>
            </w:r>
          </w:p>
        </w:tc>
        <w:tc>
          <w:tcPr>
            <w:tcW w:w="1406" w:type="dxa"/>
            <w:vMerge w:val="continue"/>
            <w:tcBorders>
              <w:top w:val="nil"/>
            </w:tcBorders>
            <w:vAlign w:val="center"/>
          </w:tcPr>
          <w:p w14:paraId="0B399A30">
            <w:pPr>
              <w:widowControl w:val="0"/>
              <w:bidi w:val="0"/>
              <w:spacing w:line="240" w:lineRule="auto"/>
              <w:jc w:val="center"/>
              <w:rPr>
                <w:b/>
                <w:bCs/>
                <w:sz w:val="21"/>
                <w:szCs w:val="21"/>
              </w:rPr>
            </w:pPr>
          </w:p>
        </w:tc>
        <w:tc>
          <w:tcPr>
            <w:tcW w:w="1408" w:type="dxa"/>
            <w:vAlign w:val="center"/>
          </w:tcPr>
          <w:p w14:paraId="1DB4961E">
            <w:pPr>
              <w:widowControl w:val="0"/>
              <w:bidi w:val="0"/>
              <w:spacing w:line="240" w:lineRule="auto"/>
              <w:jc w:val="center"/>
              <w:rPr>
                <w:b/>
                <w:bCs/>
                <w:sz w:val="21"/>
                <w:szCs w:val="21"/>
              </w:rPr>
            </w:pPr>
            <w:r>
              <w:rPr>
                <w:b/>
                <w:bCs/>
                <w:sz w:val="21"/>
                <w:szCs w:val="21"/>
              </w:rPr>
              <w:t>内径（m）</w:t>
            </w:r>
          </w:p>
        </w:tc>
        <w:tc>
          <w:tcPr>
            <w:tcW w:w="1399" w:type="dxa"/>
            <w:vMerge w:val="continue"/>
            <w:tcBorders>
              <w:top w:val="nil"/>
            </w:tcBorders>
            <w:vAlign w:val="center"/>
          </w:tcPr>
          <w:p w14:paraId="05DCD3C5">
            <w:pPr>
              <w:widowControl w:val="0"/>
              <w:bidi w:val="0"/>
              <w:spacing w:line="240" w:lineRule="auto"/>
              <w:jc w:val="center"/>
              <w:rPr>
                <w:sz w:val="21"/>
                <w:szCs w:val="21"/>
              </w:rPr>
            </w:pPr>
          </w:p>
        </w:tc>
      </w:tr>
      <w:tr w14:paraId="4061B6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9" w:hRule="atLeast"/>
        </w:trPr>
        <w:tc>
          <w:tcPr>
            <w:tcW w:w="2818" w:type="dxa"/>
            <w:vAlign w:val="center"/>
          </w:tcPr>
          <w:p w14:paraId="35167B23">
            <w:pPr>
              <w:widowControl w:val="0"/>
              <w:bidi w:val="0"/>
              <w:spacing w:line="240" w:lineRule="auto"/>
              <w:jc w:val="center"/>
              <w:rPr>
                <w:sz w:val="21"/>
                <w:szCs w:val="21"/>
              </w:rPr>
            </w:pPr>
            <w:r>
              <w:rPr>
                <w:rFonts w:hint="eastAsia"/>
                <w:sz w:val="21"/>
                <w:szCs w:val="21"/>
                <w:lang w:val="en-US" w:eastAsia="zh-CN"/>
              </w:rPr>
              <w:t>四分片钝化</w:t>
            </w:r>
          </w:p>
        </w:tc>
        <w:tc>
          <w:tcPr>
            <w:tcW w:w="2033" w:type="dxa"/>
            <w:vAlign w:val="center"/>
          </w:tcPr>
          <w:p w14:paraId="32A5A02E">
            <w:pPr>
              <w:widowControl w:val="0"/>
              <w:bidi w:val="0"/>
              <w:spacing w:line="240" w:lineRule="auto"/>
              <w:jc w:val="center"/>
              <w:rPr>
                <w:sz w:val="21"/>
                <w:szCs w:val="21"/>
              </w:rPr>
            </w:pPr>
            <w:r>
              <w:rPr>
                <w:rFonts w:hint="eastAsia"/>
                <w:sz w:val="21"/>
                <w:szCs w:val="21"/>
                <w:lang w:val="en-US" w:eastAsia="zh-CN"/>
              </w:rPr>
              <w:t>25</w:t>
            </w:r>
            <w:r>
              <w:rPr>
                <w:sz w:val="21"/>
                <w:szCs w:val="21"/>
              </w:rPr>
              <w:t>000</w:t>
            </w:r>
          </w:p>
        </w:tc>
        <w:tc>
          <w:tcPr>
            <w:tcW w:w="1406" w:type="dxa"/>
            <w:vAlign w:val="center"/>
          </w:tcPr>
          <w:p w14:paraId="0A444D28">
            <w:pPr>
              <w:widowControl w:val="0"/>
              <w:bidi w:val="0"/>
              <w:spacing w:line="240" w:lineRule="auto"/>
              <w:jc w:val="center"/>
              <w:rPr>
                <w:rFonts w:hint="default" w:eastAsia="宋体"/>
                <w:sz w:val="21"/>
                <w:szCs w:val="21"/>
                <w:lang w:val="en-US" w:eastAsia="zh-CN"/>
              </w:rPr>
            </w:pPr>
            <w:r>
              <w:rPr>
                <w:sz w:val="21"/>
                <w:szCs w:val="21"/>
              </w:rPr>
              <w:t>DA0</w:t>
            </w:r>
            <w:r>
              <w:rPr>
                <w:rFonts w:hint="eastAsia"/>
                <w:sz w:val="21"/>
                <w:szCs w:val="21"/>
                <w:lang w:val="en-US" w:eastAsia="zh-CN"/>
              </w:rPr>
              <w:t>08</w:t>
            </w:r>
          </w:p>
        </w:tc>
        <w:tc>
          <w:tcPr>
            <w:tcW w:w="1408" w:type="dxa"/>
            <w:vAlign w:val="center"/>
          </w:tcPr>
          <w:p w14:paraId="4D8C4450">
            <w:pPr>
              <w:widowControl w:val="0"/>
              <w:bidi w:val="0"/>
              <w:spacing w:line="240" w:lineRule="auto"/>
              <w:jc w:val="center"/>
              <w:rPr>
                <w:rFonts w:hint="default" w:eastAsia="宋体"/>
                <w:sz w:val="21"/>
                <w:szCs w:val="21"/>
                <w:lang w:val="en-US" w:eastAsia="zh-CN"/>
              </w:rPr>
            </w:pPr>
            <w:r>
              <w:rPr>
                <w:rFonts w:hint="eastAsia"/>
                <w:sz w:val="21"/>
                <w:szCs w:val="21"/>
                <w:lang w:val="en-US" w:eastAsia="zh-CN"/>
              </w:rPr>
              <w:t>2.4</w:t>
            </w:r>
          </w:p>
        </w:tc>
        <w:tc>
          <w:tcPr>
            <w:tcW w:w="1399" w:type="dxa"/>
            <w:vAlign w:val="center"/>
          </w:tcPr>
          <w:p w14:paraId="7BE6F041">
            <w:pPr>
              <w:widowControl w:val="0"/>
              <w:bidi w:val="0"/>
              <w:spacing w:line="240" w:lineRule="auto"/>
              <w:jc w:val="center"/>
              <w:rPr>
                <w:rFonts w:hint="eastAsia" w:eastAsia="宋体"/>
                <w:sz w:val="21"/>
                <w:szCs w:val="21"/>
                <w:lang w:val="en-US" w:eastAsia="zh-CN"/>
              </w:rPr>
            </w:pPr>
            <w:r>
              <w:rPr>
                <w:rFonts w:hint="eastAsia"/>
                <w:sz w:val="21"/>
                <w:szCs w:val="21"/>
                <w:lang w:val="en-US" w:eastAsia="zh-CN"/>
              </w:rPr>
              <w:t>新增</w:t>
            </w:r>
          </w:p>
        </w:tc>
      </w:tr>
      <w:tr w14:paraId="270DF7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2818" w:type="dxa"/>
            <w:vAlign w:val="center"/>
          </w:tcPr>
          <w:p w14:paraId="5E55677B">
            <w:pPr>
              <w:widowControl w:val="0"/>
              <w:bidi w:val="0"/>
              <w:spacing w:line="240" w:lineRule="auto"/>
              <w:jc w:val="center"/>
              <w:rPr>
                <w:sz w:val="21"/>
                <w:szCs w:val="21"/>
              </w:rPr>
            </w:pPr>
            <w:r>
              <w:rPr>
                <w:rFonts w:hint="eastAsia"/>
                <w:sz w:val="21"/>
                <w:szCs w:val="21"/>
                <w:lang w:val="en-US" w:eastAsia="zh-CN"/>
              </w:rPr>
              <w:t>丝网印刷烧结</w:t>
            </w:r>
          </w:p>
        </w:tc>
        <w:tc>
          <w:tcPr>
            <w:tcW w:w="2033" w:type="dxa"/>
            <w:vAlign w:val="center"/>
          </w:tcPr>
          <w:p w14:paraId="07421AC0">
            <w:pPr>
              <w:widowControl w:val="0"/>
              <w:bidi w:val="0"/>
              <w:spacing w:line="240" w:lineRule="auto"/>
              <w:jc w:val="center"/>
              <w:rPr>
                <w:sz w:val="21"/>
                <w:szCs w:val="21"/>
              </w:rPr>
            </w:pPr>
            <w:r>
              <w:rPr>
                <w:rFonts w:hint="eastAsia"/>
                <w:sz w:val="21"/>
                <w:szCs w:val="21"/>
                <w:lang w:val="en-US" w:eastAsia="zh-CN"/>
              </w:rPr>
              <w:t>135</w:t>
            </w:r>
            <w:r>
              <w:rPr>
                <w:sz w:val="21"/>
                <w:szCs w:val="21"/>
              </w:rPr>
              <w:t>000</w:t>
            </w:r>
          </w:p>
        </w:tc>
        <w:tc>
          <w:tcPr>
            <w:tcW w:w="1406" w:type="dxa"/>
            <w:vAlign w:val="center"/>
          </w:tcPr>
          <w:p w14:paraId="4A96D7BF">
            <w:pPr>
              <w:widowControl w:val="0"/>
              <w:bidi w:val="0"/>
              <w:spacing w:line="240" w:lineRule="auto"/>
              <w:jc w:val="center"/>
              <w:rPr>
                <w:rFonts w:hint="eastAsia" w:eastAsia="宋体"/>
                <w:sz w:val="21"/>
                <w:szCs w:val="21"/>
                <w:lang w:eastAsia="zh-CN"/>
              </w:rPr>
            </w:pPr>
            <w:r>
              <w:rPr>
                <w:sz w:val="21"/>
                <w:szCs w:val="21"/>
              </w:rPr>
              <w:t>DA02</w:t>
            </w:r>
            <w:r>
              <w:rPr>
                <w:rFonts w:hint="eastAsia"/>
                <w:sz w:val="21"/>
                <w:szCs w:val="21"/>
                <w:lang w:val="en-US" w:eastAsia="zh-CN"/>
              </w:rPr>
              <w:t>3</w:t>
            </w:r>
          </w:p>
        </w:tc>
        <w:tc>
          <w:tcPr>
            <w:tcW w:w="1408" w:type="dxa"/>
            <w:vAlign w:val="center"/>
          </w:tcPr>
          <w:p w14:paraId="2B850E2A">
            <w:pPr>
              <w:widowControl w:val="0"/>
              <w:bidi w:val="0"/>
              <w:spacing w:line="240" w:lineRule="auto"/>
              <w:jc w:val="center"/>
              <w:rPr>
                <w:sz w:val="21"/>
                <w:szCs w:val="21"/>
              </w:rPr>
            </w:pPr>
            <w:r>
              <w:rPr>
                <w:rFonts w:hint="eastAsia"/>
                <w:sz w:val="21"/>
                <w:szCs w:val="21"/>
                <w:lang w:val="en-US" w:eastAsia="zh-CN"/>
              </w:rPr>
              <w:t>2.4</w:t>
            </w:r>
          </w:p>
        </w:tc>
        <w:tc>
          <w:tcPr>
            <w:tcW w:w="1399" w:type="dxa"/>
            <w:vAlign w:val="center"/>
          </w:tcPr>
          <w:p w14:paraId="7AB66805">
            <w:pPr>
              <w:widowControl w:val="0"/>
              <w:bidi w:val="0"/>
              <w:spacing w:line="240" w:lineRule="auto"/>
              <w:jc w:val="center"/>
              <w:rPr>
                <w:rFonts w:hint="eastAsia" w:eastAsia="宋体"/>
                <w:sz w:val="21"/>
                <w:szCs w:val="21"/>
                <w:lang w:val="en-US" w:eastAsia="zh-CN"/>
              </w:rPr>
            </w:pPr>
            <w:r>
              <w:rPr>
                <w:rFonts w:hint="eastAsia"/>
                <w:sz w:val="21"/>
                <w:szCs w:val="21"/>
                <w:lang w:val="en-US" w:eastAsia="zh-CN"/>
              </w:rPr>
              <w:t>依托</w:t>
            </w:r>
          </w:p>
        </w:tc>
      </w:tr>
      <w:tr w14:paraId="3D5ECE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1" w:hRule="atLeast"/>
        </w:trPr>
        <w:tc>
          <w:tcPr>
            <w:tcW w:w="2818" w:type="dxa"/>
            <w:vAlign w:val="center"/>
          </w:tcPr>
          <w:p w14:paraId="1131943B">
            <w:pPr>
              <w:widowControl w:val="0"/>
              <w:bidi w:val="0"/>
              <w:spacing w:line="240" w:lineRule="auto"/>
              <w:jc w:val="center"/>
              <w:rPr>
                <w:rFonts w:hint="eastAsia"/>
                <w:sz w:val="21"/>
                <w:szCs w:val="21"/>
                <w:lang w:val="en-US" w:eastAsia="zh-CN"/>
              </w:rPr>
            </w:pPr>
            <w:r>
              <w:rPr>
                <w:rFonts w:hint="eastAsia"/>
                <w:sz w:val="21"/>
                <w:szCs w:val="21"/>
                <w:lang w:val="en-US" w:eastAsia="zh-CN"/>
              </w:rPr>
              <w:t>AC（银包铜印刷、固化）</w:t>
            </w:r>
          </w:p>
        </w:tc>
        <w:tc>
          <w:tcPr>
            <w:tcW w:w="2033" w:type="dxa"/>
            <w:vAlign w:val="center"/>
          </w:tcPr>
          <w:p w14:paraId="7DCB432E">
            <w:pPr>
              <w:widowControl w:val="0"/>
              <w:bidi w:val="0"/>
              <w:spacing w:line="240" w:lineRule="auto"/>
              <w:jc w:val="center"/>
              <w:rPr>
                <w:sz w:val="21"/>
                <w:szCs w:val="21"/>
              </w:rPr>
            </w:pPr>
            <w:r>
              <w:rPr>
                <w:rFonts w:hint="eastAsia"/>
                <w:sz w:val="21"/>
                <w:szCs w:val="21"/>
                <w:lang w:val="en-US" w:eastAsia="zh-CN"/>
              </w:rPr>
              <w:t>145</w:t>
            </w:r>
            <w:r>
              <w:rPr>
                <w:sz w:val="21"/>
                <w:szCs w:val="21"/>
              </w:rPr>
              <w:t>000</w:t>
            </w:r>
          </w:p>
        </w:tc>
        <w:tc>
          <w:tcPr>
            <w:tcW w:w="1406" w:type="dxa"/>
            <w:vAlign w:val="center"/>
          </w:tcPr>
          <w:p w14:paraId="15A2DCBD">
            <w:pPr>
              <w:widowControl w:val="0"/>
              <w:bidi w:val="0"/>
              <w:spacing w:line="240" w:lineRule="auto"/>
              <w:jc w:val="center"/>
              <w:rPr>
                <w:rFonts w:hint="default" w:eastAsia="宋体"/>
                <w:sz w:val="21"/>
                <w:szCs w:val="21"/>
                <w:lang w:val="en-US" w:eastAsia="zh-CN"/>
              </w:rPr>
            </w:pPr>
            <w:r>
              <w:rPr>
                <w:sz w:val="21"/>
                <w:szCs w:val="21"/>
              </w:rPr>
              <w:t>DA0</w:t>
            </w:r>
            <w:r>
              <w:rPr>
                <w:rFonts w:hint="eastAsia"/>
                <w:sz w:val="21"/>
                <w:szCs w:val="21"/>
                <w:lang w:val="en-US" w:eastAsia="zh-CN"/>
              </w:rPr>
              <w:t>04</w:t>
            </w:r>
          </w:p>
        </w:tc>
        <w:tc>
          <w:tcPr>
            <w:tcW w:w="1408" w:type="dxa"/>
            <w:vAlign w:val="center"/>
          </w:tcPr>
          <w:p w14:paraId="41454C8C">
            <w:pPr>
              <w:widowControl w:val="0"/>
              <w:bidi w:val="0"/>
              <w:spacing w:line="240" w:lineRule="auto"/>
              <w:jc w:val="center"/>
              <w:rPr>
                <w:sz w:val="21"/>
                <w:szCs w:val="21"/>
              </w:rPr>
            </w:pPr>
            <w:r>
              <w:rPr>
                <w:rFonts w:hint="eastAsia"/>
                <w:sz w:val="21"/>
                <w:szCs w:val="21"/>
                <w:lang w:val="en-US" w:eastAsia="zh-CN"/>
              </w:rPr>
              <w:t>2.4</w:t>
            </w:r>
          </w:p>
        </w:tc>
        <w:tc>
          <w:tcPr>
            <w:tcW w:w="1399" w:type="dxa"/>
            <w:vAlign w:val="center"/>
          </w:tcPr>
          <w:p w14:paraId="6388CE9A">
            <w:pPr>
              <w:widowControl w:val="0"/>
              <w:bidi w:val="0"/>
              <w:spacing w:line="240" w:lineRule="auto"/>
              <w:jc w:val="center"/>
              <w:rPr>
                <w:sz w:val="21"/>
                <w:szCs w:val="21"/>
              </w:rPr>
            </w:pPr>
            <w:r>
              <w:rPr>
                <w:rFonts w:hint="eastAsia"/>
                <w:sz w:val="21"/>
                <w:szCs w:val="21"/>
                <w:lang w:val="en-US" w:eastAsia="zh-CN"/>
              </w:rPr>
              <w:t>依托</w:t>
            </w:r>
          </w:p>
        </w:tc>
      </w:tr>
    </w:tbl>
    <w:p w14:paraId="06B39DA9">
      <w:pPr>
        <w:pStyle w:val="2"/>
        <w:bidi w:val="0"/>
        <w:rPr>
          <w:rFonts w:hint="default"/>
          <w:lang w:val="en-US" w:eastAsia="zh-CN"/>
        </w:rPr>
      </w:pPr>
      <w:bookmarkStart w:id="99" w:name="_Toc11649"/>
      <w:bookmarkStart w:id="100" w:name="_Toc30925"/>
      <w:r>
        <w:rPr>
          <w:rFonts w:hint="default"/>
          <w:lang w:val="en-US" w:eastAsia="zh-CN"/>
        </w:rPr>
        <w:t>7.2 废水污染防治措施</w:t>
      </w:r>
      <w:bookmarkEnd w:id="99"/>
      <w:bookmarkEnd w:id="100"/>
    </w:p>
    <w:p w14:paraId="7EE9803F">
      <w:pPr>
        <w:bidi w:val="0"/>
        <w:rPr>
          <w:rFonts w:hint="default"/>
          <w:b/>
          <w:bCs/>
          <w:lang w:val="en-US" w:eastAsia="zh-CN"/>
        </w:rPr>
      </w:pPr>
      <w:bookmarkStart w:id="101" w:name="_Toc327774699"/>
      <w:bookmarkStart w:id="102" w:name="_Toc326604417"/>
      <w:bookmarkStart w:id="103" w:name="_Toc329596437"/>
      <w:bookmarkStart w:id="104" w:name="_Toc326606149"/>
      <w:bookmarkStart w:id="105" w:name="_Toc326841966"/>
      <w:bookmarkStart w:id="106" w:name="_Toc326604952"/>
      <w:r>
        <w:rPr>
          <w:rFonts w:hint="default"/>
          <w:b/>
          <w:bCs/>
          <w:lang w:val="en-US" w:eastAsia="zh-CN"/>
        </w:rPr>
        <w:t>7.2.1 废水源强分析</w:t>
      </w:r>
      <w:bookmarkEnd w:id="101"/>
      <w:bookmarkEnd w:id="102"/>
      <w:bookmarkEnd w:id="103"/>
      <w:bookmarkEnd w:id="104"/>
      <w:bookmarkEnd w:id="105"/>
      <w:bookmarkEnd w:id="106"/>
    </w:p>
    <w:p w14:paraId="57B01E1B">
      <w:pPr>
        <w:bidi w:val="0"/>
        <w:ind w:firstLine="480" w:firstLineChars="200"/>
        <w:rPr>
          <w:rFonts w:hint="default"/>
          <w:lang w:val="en-US" w:eastAsia="zh-CN"/>
        </w:rPr>
      </w:pPr>
      <w:r>
        <w:rPr>
          <w:rFonts w:hint="default"/>
          <w:lang w:val="en-US" w:eastAsia="zh-CN"/>
        </w:rPr>
        <w:t>本次技改项目新增废水主要有铝舟及周托清洗废水、激光划片废水、纯水制备浓水、废气治理设施废水等。其中铝舟及周托清洗废水进入浓碱废水收集池；激光划片废水和废气治理设施废水进入稀碱废水收集池；依托厂区现有除氟系统处理后，与纯水制备浓水一起排入市政污水管网接入合肥循环经济示范园第二污水处理厂集中处理。本次技改项目废水产生源强见表4.3.2-3</w:t>
      </w:r>
    </w:p>
    <w:p w14:paraId="684F2CA6">
      <w:pPr>
        <w:bidi w:val="0"/>
        <w:rPr>
          <w:rFonts w:hint="default"/>
          <w:b/>
          <w:bCs/>
          <w:lang w:val="en-US" w:eastAsia="zh-CN"/>
        </w:rPr>
      </w:pPr>
      <w:r>
        <w:rPr>
          <w:rFonts w:hint="default"/>
          <w:b/>
          <w:bCs/>
          <w:lang w:val="en-US" w:eastAsia="zh-CN"/>
        </w:rPr>
        <w:t xml:space="preserve">7.2.2 </w:t>
      </w:r>
      <w:r>
        <w:rPr>
          <w:rFonts w:hint="eastAsia"/>
          <w:b/>
          <w:bCs/>
          <w:lang w:val="en-US" w:eastAsia="zh-CN"/>
        </w:rPr>
        <w:t>厂区</w:t>
      </w:r>
      <w:r>
        <w:rPr>
          <w:rFonts w:hint="default"/>
          <w:b/>
          <w:bCs/>
          <w:lang w:val="en-US" w:eastAsia="zh-CN"/>
        </w:rPr>
        <w:t>污水站预处理可行性分析</w:t>
      </w:r>
    </w:p>
    <w:p w14:paraId="5518AB5C">
      <w:pPr>
        <w:bidi w:val="0"/>
        <w:rPr>
          <w:rFonts w:hint="default"/>
          <w:b/>
          <w:bCs/>
          <w:lang w:val="en-US" w:eastAsia="zh-CN"/>
        </w:rPr>
      </w:pPr>
      <w:r>
        <w:rPr>
          <w:rFonts w:hint="default"/>
          <w:b/>
          <w:bCs/>
          <w:lang w:val="en-US" w:eastAsia="zh-CN"/>
        </w:rPr>
        <w:t>7.2.2.1 雨、污分流</w:t>
      </w:r>
    </w:p>
    <w:p w14:paraId="4FC71D30">
      <w:pPr>
        <w:bidi w:val="0"/>
        <w:ind w:firstLine="480" w:firstLineChars="200"/>
        <w:rPr>
          <w:rFonts w:hint="default"/>
          <w:lang w:val="en-US" w:eastAsia="zh-CN"/>
        </w:rPr>
      </w:pPr>
      <w:r>
        <w:rPr>
          <w:rFonts w:hint="default"/>
          <w:lang w:val="en-US" w:eastAsia="zh-CN"/>
        </w:rPr>
        <w:t>本项目厂区内</w:t>
      </w:r>
      <w:r>
        <w:rPr>
          <w:rFonts w:hint="eastAsia"/>
          <w:lang w:val="en-US" w:eastAsia="zh-CN"/>
        </w:rPr>
        <w:t>现有工程</w:t>
      </w:r>
      <w:r>
        <w:rPr>
          <w:rFonts w:hint="default"/>
          <w:lang w:val="en-US" w:eastAsia="zh-CN"/>
        </w:rPr>
        <w:t>排水管网已采取雨、污分流制，废水分类收集，分质处理。厂区内设置了初期雨水收集池和事故应急池，并设置了切断措施。</w:t>
      </w:r>
    </w:p>
    <w:p w14:paraId="229FB909">
      <w:pPr>
        <w:bidi w:val="0"/>
        <w:rPr>
          <w:rFonts w:hint="default"/>
          <w:b/>
          <w:bCs/>
          <w:lang w:val="en-US" w:eastAsia="zh-CN"/>
        </w:rPr>
      </w:pPr>
      <w:r>
        <w:rPr>
          <w:rFonts w:hint="default"/>
          <w:b/>
          <w:bCs/>
          <w:lang w:val="en-US" w:eastAsia="zh-CN"/>
        </w:rPr>
        <w:t>7.2.2.2 废水达标可行性分析</w:t>
      </w:r>
    </w:p>
    <w:p w14:paraId="052ED58B">
      <w:pPr>
        <w:bidi w:val="0"/>
        <w:ind w:firstLine="480" w:firstLineChars="200"/>
        <w:rPr>
          <w:rFonts w:hint="default"/>
          <w:lang w:val="en-US" w:eastAsia="zh-CN"/>
        </w:rPr>
      </w:pPr>
      <w:r>
        <w:rPr>
          <w:rFonts w:hint="default"/>
          <w:lang w:val="en-US" w:eastAsia="zh-CN"/>
        </w:rPr>
        <w:t>（1）废水处理工艺流程</w:t>
      </w:r>
    </w:p>
    <w:p w14:paraId="45B304CA">
      <w:pPr>
        <w:bidi w:val="0"/>
        <w:ind w:firstLine="480" w:firstLineChars="200"/>
        <w:rPr>
          <w:rFonts w:hint="default"/>
          <w:lang w:val="en-US" w:eastAsia="zh-CN"/>
        </w:rPr>
      </w:pPr>
      <w:r>
        <w:rPr>
          <w:rFonts w:hint="eastAsia"/>
          <w:lang w:val="en-US" w:eastAsia="zh-CN"/>
        </w:rPr>
        <w:t>厂区现有工程</w:t>
      </w:r>
      <w:r>
        <w:rPr>
          <w:rFonts w:hint="default"/>
          <w:lang w:val="en-US" w:eastAsia="zh-CN"/>
        </w:rPr>
        <w:t>脱氟系统采用</w:t>
      </w:r>
      <w:r>
        <w:rPr>
          <w:rFonts w:hint="eastAsia"/>
          <w:lang w:val="en-US" w:eastAsia="zh-CN"/>
        </w:rPr>
        <w:t>“</w:t>
      </w:r>
      <w:r>
        <w:rPr>
          <w:rFonts w:hint="default"/>
          <w:lang w:val="en-US" w:eastAsia="zh-CN"/>
        </w:rPr>
        <w:t>两套两级钙盐+除氟剂组合沉淀法</w:t>
      </w:r>
      <w:r>
        <w:rPr>
          <w:rFonts w:hint="eastAsia"/>
          <w:lang w:val="en-US" w:eastAsia="zh-CN"/>
        </w:rPr>
        <w:t>”</w:t>
      </w:r>
      <w:r>
        <w:rPr>
          <w:rFonts w:hint="default"/>
          <w:lang w:val="en-US" w:eastAsia="zh-CN"/>
        </w:rPr>
        <w:t>除氟；生化系统采用“枭龙-安奇脱氮工艺作为主处理工艺，同时结合传统A/O生化工艺。</w:t>
      </w:r>
    </w:p>
    <w:p w14:paraId="4CB2A3E9">
      <w:pPr>
        <w:bidi w:val="0"/>
        <w:ind w:firstLine="480" w:firstLineChars="200"/>
        <w:rPr>
          <w:rFonts w:hint="default"/>
          <w:lang w:val="en-US" w:eastAsia="zh-CN"/>
        </w:rPr>
      </w:pPr>
      <w:r>
        <w:rPr>
          <w:rFonts w:hint="default" w:ascii="Times New Roman" w:hAnsi="Times New Roman" w:cs="Times New Roman"/>
          <w:lang w:val="en-US" w:eastAsia="zh-CN"/>
        </w:rPr>
        <w:t>①</w:t>
      </w:r>
      <w:r>
        <w:rPr>
          <w:rFonts w:hint="default"/>
          <w:lang w:val="en-US" w:eastAsia="zh-CN"/>
        </w:rPr>
        <w:t>除氟系统：采用以石灰+氯化钙为主要除氟药剂的除氟工艺，同时配套硫酸投加系统辅助进行pH中和，配套除氟剂投加系统深度除氟。</w:t>
      </w:r>
    </w:p>
    <w:p w14:paraId="21AD8027">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在一级除氟系统加入石灰和氯化钙进行除氟处理，备用硫酸系统，利用可溶性Ca</w:t>
      </w:r>
      <w:r>
        <w:rPr>
          <w:rFonts w:hint="default"/>
          <w:vertAlign w:val="superscript"/>
          <w:lang w:val="en-US" w:eastAsia="zh-CN"/>
        </w:rPr>
        <w:t>2+</w:t>
      </w:r>
      <w:r>
        <w:rPr>
          <w:rFonts w:hint="default"/>
          <w:lang w:val="en-US" w:eastAsia="zh-CN"/>
        </w:rPr>
        <w:t>与水中的F</w:t>
      </w:r>
      <w:r>
        <w:rPr>
          <w:rFonts w:hint="default"/>
          <w:vertAlign w:val="superscript"/>
          <w:lang w:val="en-US" w:eastAsia="zh-CN"/>
        </w:rPr>
        <w:t>-</w:t>
      </w:r>
      <w:r>
        <w:rPr>
          <w:rFonts w:hint="default"/>
          <w:lang w:val="en-US" w:eastAsia="zh-CN"/>
        </w:rPr>
        <w:t>反应生成难溶的氟化钙沉淀而将水中的F</w:t>
      </w:r>
      <w:r>
        <w:rPr>
          <w:rFonts w:hint="default"/>
          <w:vertAlign w:val="superscript"/>
          <w:lang w:val="en-US" w:eastAsia="zh-CN"/>
        </w:rPr>
        <w:t>-</w:t>
      </w:r>
      <w:r>
        <w:rPr>
          <w:rFonts w:hint="default"/>
          <w:lang w:val="en-US" w:eastAsia="zh-CN"/>
        </w:rPr>
        <w:t>除去。污泥在一级沉淀池进行泥水分离后，通过污泥泵输送至污泥储池，出水自流至二级除氟反应系统。</w:t>
      </w:r>
    </w:p>
    <w:p w14:paraId="1115054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二级除氟系统补充投加钙盐，用于进行一级除氟反应系统出水的深度去除，保证废水的达标排放。同时一级除氟系统故障时，调节池废水可超越至二级除氟系统。二级除氟出水氟离子超标时，通过应急管道进入应急池。</w:t>
      </w:r>
    </w:p>
    <w:p w14:paraId="3390877E">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为了保障除氟系统出水口水质能够满足项目排水需求，投加对低浓度氟离子去除效率更高的除氟剂，利用高效除氟剂的有效组分强极性电子云杂化轨道，与废水中的氟元素形成多齿配体的强力化学键，以达到去除氟的效果，所形成的氟化物比一般的配合物更稳定，可有效地将氟化物从废水中分离。</w:t>
      </w:r>
    </w:p>
    <w:p w14:paraId="3F56796A">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一级除氟系统和二级除氟系统产生的污泥泵至污泥压滤机进行压滤，经脱水后的污泥外运至无害化处理中心进行集中处理。</w:t>
      </w:r>
    </w:p>
    <w:p w14:paraId="4579A73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采用CaCl</w:t>
      </w:r>
      <w:r>
        <w:rPr>
          <w:rFonts w:hint="default"/>
          <w:vertAlign w:val="subscript"/>
          <w:lang w:val="en-US" w:eastAsia="zh-CN"/>
        </w:rPr>
        <w:t>2</w:t>
      </w:r>
      <w:r>
        <w:rPr>
          <w:rFonts w:hint="default"/>
          <w:lang w:val="en-US" w:eastAsia="zh-CN"/>
        </w:rPr>
        <w:t>和Ca（OH）</w:t>
      </w:r>
      <w:r>
        <w:rPr>
          <w:rFonts w:hint="default"/>
          <w:vertAlign w:val="subscript"/>
          <w:lang w:val="en-US" w:eastAsia="zh-CN"/>
        </w:rPr>
        <w:t>2</w:t>
      </w:r>
      <w:r>
        <w:rPr>
          <w:rFonts w:hint="default"/>
          <w:lang w:val="en-US" w:eastAsia="zh-CN"/>
        </w:rPr>
        <w:t>二级钙盐沉淀法进行除氟，且在二级除氟反应池出水端投加除氟剂进行三级除氟，满足《电子工业水污染防治可行技术指南（征求意见稿）》中的要求（含氟废水污染防治可行技术为化学沉淀法）。</w:t>
      </w:r>
    </w:p>
    <w:p w14:paraId="7B382C4F">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ascii="Times New Roman" w:hAnsi="Times New Roman" w:cs="Times New Roman"/>
          <w:lang w:val="en-US" w:eastAsia="zh-CN"/>
        </w:rPr>
        <w:t>②</w:t>
      </w:r>
      <w:r>
        <w:rPr>
          <w:rFonts w:hint="default"/>
          <w:lang w:val="en-US" w:eastAsia="zh-CN"/>
        </w:rPr>
        <w:t>生化系统：生物脱氮工艺采用“枭龙-安奇”脱氮工艺作为主处理工艺，同时结合传统 A/O生化工艺，实现废水中氮污染物的达标处理。</w:t>
      </w:r>
    </w:p>
    <w:p w14:paraId="72580DB9">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高氨废水进入枭龙-安奇脱氮系统中，短程硝化菌在生物反应池中将废水中的一半NH</w:t>
      </w:r>
      <w:r>
        <w:rPr>
          <w:rFonts w:hint="default"/>
          <w:vertAlign w:val="superscript"/>
          <w:lang w:val="en-US" w:eastAsia="zh-CN"/>
        </w:rPr>
        <w:t>4+</w:t>
      </w:r>
      <w:r>
        <w:rPr>
          <w:rFonts w:hint="default"/>
          <w:lang w:val="en-US" w:eastAsia="zh-CN"/>
        </w:rPr>
        <w:t>-N转化为NO</w:t>
      </w:r>
      <w:r>
        <w:rPr>
          <w:rFonts w:hint="default"/>
          <w:vertAlign w:val="superscript"/>
          <w:lang w:val="en-US" w:eastAsia="zh-CN"/>
        </w:rPr>
        <w:t>2</w:t>
      </w:r>
      <w:r>
        <w:rPr>
          <w:rFonts w:hint="default"/>
          <w:lang w:val="en-US" w:eastAsia="zh-CN"/>
        </w:rPr>
        <w:t>-N，用作厌氧氨氧化的电子受体，把另一半NH</w:t>
      </w:r>
      <w:r>
        <w:rPr>
          <w:rFonts w:hint="default"/>
          <w:vertAlign w:val="superscript"/>
          <w:lang w:val="en-US" w:eastAsia="zh-CN"/>
        </w:rPr>
        <w:t>4+</w:t>
      </w:r>
      <w:r>
        <w:rPr>
          <w:rFonts w:hint="default"/>
          <w:lang w:val="en-US" w:eastAsia="zh-CN"/>
        </w:rPr>
        <w:t>-N直接用作厌氧氨氧化的电子供体。然后出水进入安奇调配池，之后泵至安奇，在安奇塔内发生厌氧氨氧化反应，通过厌氧氨氧化去除NH</w:t>
      </w:r>
      <w:r>
        <w:rPr>
          <w:rFonts w:hint="default"/>
          <w:vertAlign w:val="superscript"/>
          <w:lang w:val="en-US" w:eastAsia="zh-CN"/>
        </w:rPr>
        <w:t>4+</w:t>
      </w:r>
      <w:r>
        <w:rPr>
          <w:rFonts w:hint="default"/>
          <w:lang w:val="en-US" w:eastAsia="zh-CN"/>
        </w:rPr>
        <w:t>-N和NO</w:t>
      </w:r>
      <w:r>
        <w:rPr>
          <w:rFonts w:hint="default"/>
          <w:vertAlign w:val="superscript"/>
          <w:lang w:val="en-US" w:eastAsia="zh-CN"/>
        </w:rPr>
        <w:t>2</w:t>
      </w:r>
      <w:r>
        <w:rPr>
          <w:rFonts w:hint="default"/>
          <w:lang w:val="en-US" w:eastAsia="zh-CN"/>
        </w:rPr>
        <w:t>-N，去除大部分的总氮之后自流进入A/O系统进行深度脱氮处理，缺氧池添加碳源，设置搅拌机确保泥水混合均匀。好氧池配套曝气系统，氨氮在好氧池内经氨氧化菌的作用转化成亚硝氮和硝氮。好氧池设回流泵，混合液回流至缺氧池，根据氨氮含量调整回流量。A/O系统出水经生化二沉池泥水分离后自流进入生化出水收集池，再与除氟出水混合后进入排放池达标排放标。二沉池剩余污泥排至生化污泥储池，经污泥浓缩后与物化污泥混合后一并进行脱水压滤。</w:t>
      </w:r>
    </w:p>
    <w:p w14:paraId="2AFF4B4A">
      <w:pPr>
        <w:bidi w:val="0"/>
        <w:ind w:firstLine="480" w:firstLineChars="200"/>
        <w:rPr>
          <w:rFonts w:hint="default"/>
          <w:lang w:val="en-US" w:eastAsia="zh-CN"/>
        </w:rPr>
      </w:pPr>
      <w:r>
        <w:rPr>
          <w:rFonts w:hint="default"/>
          <w:lang w:val="en-US" w:eastAsia="zh-CN"/>
        </w:rPr>
        <w:t>本项目采用枭龙-安奇脱氮+传统A/O生化工艺，满足《电子工业水污染防治可行技术指南（征求意见稿）》中的要求（有机废水污染防治可行技术为生化处理法）。</w:t>
      </w:r>
    </w:p>
    <w:p w14:paraId="6E25B131">
      <w:pPr>
        <w:bidi w:val="0"/>
      </w:pPr>
      <w:r>
        <w:drawing>
          <wp:inline distT="0" distB="0" distL="0" distR="0">
            <wp:extent cx="6010910" cy="6278245"/>
            <wp:effectExtent l="0" t="0" r="8890" b="8255"/>
            <wp:docPr id="46" name="IM 40"/>
            <wp:cNvGraphicFramePr/>
            <a:graphic xmlns:a="http://schemas.openxmlformats.org/drawingml/2006/main">
              <a:graphicData uri="http://schemas.openxmlformats.org/drawingml/2006/picture">
                <pic:pic xmlns:pic="http://schemas.openxmlformats.org/drawingml/2006/picture">
                  <pic:nvPicPr>
                    <pic:cNvPr id="46" name="IM 40"/>
                    <pic:cNvPicPr/>
                  </pic:nvPicPr>
                  <pic:blipFill>
                    <a:blip r:embed="rId41"/>
                    <a:stretch>
                      <a:fillRect/>
                    </a:stretch>
                  </pic:blipFill>
                  <pic:spPr>
                    <a:xfrm>
                      <a:off x="0" y="0"/>
                      <a:ext cx="6010910" cy="6278245"/>
                    </a:xfrm>
                    <a:prstGeom prst="rect">
                      <a:avLst/>
                    </a:prstGeom>
                  </pic:spPr>
                </pic:pic>
              </a:graphicData>
            </a:graphic>
          </wp:inline>
        </w:drawing>
      </w:r>
    </w:p>
    <w:p w14:paraId="03FB4C0E">
      <w:pPr>
        <w:bidi w:val="0"/>
        <w:jc w:val="center"/>
        <w:rPr>
          <w:rFonts w:hint="default"/>
          <w:b/>
          <w:bCs/>
          <w:lang w:val="en-US" w:eastAsia="zh-CN"/>
        </w:rPr>
      </w:pPr>
      <w:r>
        <w:rPr>
          <w:rFonts w:hint="default"/>
          <w:b/>
          <w:bCs/>
          <w:lang w:val="en-US" w:eastAsia="zh-CN"/>
        </w:rPr>
        <w:t>图</w:t>
      </w:r>
      <w:r>
        <w:rPr>
          <w:rFonts w:hint="eastAsia"/>
          <w:b/>
          <w:bCs/>
          <w:lang w:val="en-US" w:eastAsia="zh-CN"/>
        </w:rPr>
        <w:t>7.2.2-1</w:t>
      </w:r>
      <w:r>
        <w:rPr>
          <w:rFonts w:hint="default"/>
          <w:b/>
          <w:bCs/>
          <w:lang w:val="en-US" w:eastAsia="zh-CN"/>
        </w:rPr>
        <w:t xml:space="preserve"> 除氟系统废水处理工艺流程示意图</w:t>
      </w:r>
    </w:p>
    <w:p w14:paraId="71BD6FA4">
      <w:pPr>
        <w:bidi w:val="0"/>
        <w:jc w:val="center"/>
        <w:rPr>
          <w:rFonts w:hint="default"/>
          <w:lang w:val="en-US" w:eastAsia="zh-CN"/>
        </w:rPr>
      </w:pPr>
      <w:r>
        <w:rPr>
          <w:position w:val="-240"/>
        </w:rPr>
        <w:drawing>
          <wp:inline distT="0" distB="0" distL="0" distR="0">
            <wp:extent cx="4320540" cy="7647305"/>
            <wp:effectExtent l="0" t="0" r="3810" b="10795"/>
            <wp:docPr id="47" name="IM 42"/>
            <wp:cNvGraphicFramePr/>
            <a:graphic xmlns:a="http://schemas.openxmlformats.org/drawingml/2006/main">
              <a:graphicData uri="http://schemas.openxmlformats.org/drawingml/2006/picture">
                <pic:pic xmlns:pic="http://schemas.openxmlformats.org/drawingml/2006/picture">
                  <pic:nvPicPr>
                    <pic:cNvPr id="47" name="IM 42"/>
                    <pic:cNvPicPr/>
                  </pic:nvPicPr>
                  <pic:blipFill>
                    <a:blip r:embed="rId42"/>
                    <a:stretch>
                      <a:fillRect/>
                    </a:stretch>
                  </pic:blipFill>
                  <pic:spPr>
                    <a:xfrm>
                      <a:off x="0" y="0"/>
                      <a:ext cx="4320540" cy="7647431"/>
                    </a:xfrm>
                    <a:prstGeom prst="rect">
                      <a:avLst/>
                    </a:prstGeom>
                  </pic:spPr>
                </pic:pic>
              </a:graphicData>
            </a:graphic>
          </wp:inline>
        </w:drawing>
      </w:r>
    </w:p>
    <w:p w14:paraId="61C58C85">
      <w:pPr>
        <w:bidi w:val="0"/>
        <w:jc w:val="center"/>
        <w:rPr>
          <w:rFonts w:hint="default"/>
          <w:b/>
          <w:bCs/>
          <w:lang w:val="en-US" w:eastAsia="zh-CN"/>
        </w:rPr>
      </w:pPr>
      <w:r>
        <w:rPr>
          <w:rFonts w:hint="default"/>
          <w:b/>
          <w:bCs/>
          <w:lang w:val="en-US" w:eastAsia="zh-CN"/>
        </w:rPr>
        <w:t>图</w:t>
      </w:r>
      <w:r>
        <w:rPr>
          <w:rFonts w:hint="eastAsia"/>
          <w:b/>
          <w:bCs/>
          <w:lang w:val="en-US" w:eastAsia="zh-CN"/>
        </w:rPr>
        <w:t>7.2.2-2</w:t>
      </w:r>
      <w:r>
        <w:rPr>
          <w:rFonts w:hint="default"/>
          <w:b/>
          <w:bCs/>
          <w:lang w:val="en-US" w:eastAsia="zh-CN"/>
        </w:rPr>
        <w:t xml:space="preserve"> 生化系统废水处理工艺流程示意图</w:t>
      </w:r>
    </w:p>
    <w:p w14:paraId="443D7412">
      <w:pPr>
        <w:numPr>
          <w:ilvl w:val="0"/>
          <w:numId w:val="0"/>
        </w:numPr>
        <w:bidi w:val="0"/>
        <w:ind w:firstLine="480" w:firstLineChars="200"/>
        <w:rPr>
          <w:rFonts w:hint="eastAsia"/>
          <w:lang w:val="en-US" w:eastAsia="zh-CN"/>
        </w:rPr>
      </w:pPr>
      <w:r>
        <w:rPr>
          <w:rFonts w:hint="eastAsia" w:ascii="Times New Roman" w:hAnsi="Times New Roman" w:eastAsia="宋体" w:cs="宋体"/>
          <w:sz w:val="24"/>
          <w:szCs w:val="24"/>
          <w:lang w:val="en-US" w:eastAsia="zh-CN" w:bidi="ar-SA"/>
        </w:rPr>
        <w:t>（2）</w:t>
      </w:r>
      <w:r>
        <w:rPr>
          <w:rFonts w:hint="eastAsia"/>
          <w:lang w:val="en-US" w:eastAsia="zh-CN"/>
        </w:rPr>
        <w:t>废水处理工艺可行性</w:t>
      </w:r>
    </w:p>
    <w:p w14:paraId="2AB36BEE">
      <w:pPr>
        <w:numPr>
          <w:ilvl w:val="0"/>
          <w:numId w:val="0"/>
        </w:numPr>
        <w:bidi w:val="0"/>
        <w:spacing w:line="360" w:lineRule="auto"/>
        <w:ind w:firstLine="480" w:firstLineChars="200"/>
        <w:jc w:val="both"/>
        <w:rPr>
          <w:rFonts w:hint="default"/>
          <w:lang w:val="en-US" w:eastAsia="zh-CN"/>
        </w:rPr>
      </w:pPr>
      <w:r>
        <w:rPr>
          <w:rFonts w:hint="default"/>
          <w:lang w:val="en-US" w:eastAsia="zh-CN"/>
        </w:rPr>
        <w:t>对照《排污许可证申请与核发技术规范 电池工业》（HJ967-2018）中要求对废水治理方案，判定项目废水治理措施的可行性。具体分析见下表。</w:t>
      </w:r>
    </w:p>
    <w:p w14:paraId="1C0D7835">
      <w:pPr>
        <w:bidi w:val="0"/>
        <w:jc w:val="center"/>
        <w:rPr>
          <w:b/>
          <w:bCs/>
        </w:rPr>
      </w:pPr>
      <w:r>
        <w:rPr>
          <w:b/>
          <w:bCs/>
        </w:rPr>
        <w:t>表</w:t>
      </w:r>
      <w:r>
        <w:rPr>
          <w:rFonts w:hint="eastAsia"/>
          <w:b/>
          <w:bCs/>
          <w:lang w:val="en-US" w:eastAsia="zh-CN"/>
        </w:rPr>
        <w:t>7.2.2-1</w:t>
      </w:r>
      <w:r>
        <w:rPr>
          <w:b/>
          <w:bCs/>
        </w:rPr>
        <w:t xml:space="preserve"> 项目废水处理工艺可行性判定</w:t>
      </w:r>
    </w:p>
    <w:p w14:paraId="6F3F8B2B">
      <w:pPr>
        <w:spacing w:line="21" w:lineRule="exact"/>
      </w:pPr>
    </w:p>
    <w:tbl>
      <w:tblPr>
        <w:tblStyle w:val="25"/>
        <w:tblW w:w="9028" w:type="dxa"/>
        <w:tblInd w:w="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89"/>
        <w:gridCol w:w="3608"/>
        <w:gridCol w:w="3535"/>
        <w:gridCol w:w="696"/>
      </w:tblGrid>
      <w:tr w14:paraId="4E6E6A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 w:hRule="atLeast"/>
        </w:trPr>
        <w:tc>
          <w:tcPr>
            <w:tcW w:w="1189" w:type="dxa"/>
            <w:vAlign w:val="center"/>
          </w:tcPr>
          <w:p w14:paraId="4A22C9C1">
            <w:pPr>
              <w:widowControl w:val="0"/>
              <w:bidi w:val="0"/>
              <w:spacing w:line="240" w:lineRule="auto"/>
              <w:jc w:val="center"/>
              <w:rPr>
                <w:b/>
                <w:bCs/>
                <w:sz w:val="21"/>
                <w:szCs w:val="21"/>
              </w:rPr>
            </w:pPr>
            <w:r>
              <w:rPr>
                <w:b/>
                <w:bCs/>
                <w:sz w:val="21"/>
                <w:szCs w:val="21"/>
              </w:rPr>
              <w:t>废水种类</w:t>
            </w:r>
          </w:p>
        </w:tc>
        <w:tc>
          <w:tcPr>
            <w:tcW w:w="3608" w:type="dxa"/>
            <w:vAlign w:val="center"/>
          </w:tcPr>
          <w:p w14:paraId="2B4F4ACF">
            <w:pPr>
              <w:widowControl w:val="0"/>
              <w:bidi w:val="0"/>
              <w:spacing w:line="240" w:lineRule="auto"/>
              <w:jc w:val="center"/>
              <w:rPr>
                <w:b/>
                <w:bCs/>
                <w:sz w:val="21"/>
                <w:szCs w:val="21"/>
              </w:rPr>
            </w:pPr>
            <w:r>
              <w:rPr>
                <w:b/>
                <w:bCs/>
                <w:sz w:val="21"/>
                <w:szCs w:val="21"/>
              </w:rPr>
              <w:t>《排污许可证申请与核发技术规范 电池工业》（HJ967-2018）推荐工艺</w:t>
            </w:r>
          </w:p>
        </w:tc>
        <w:tc>
          <w:tcPr>
            <w:tcW w:w="3535" w:type="dxa"/>
            <w:vAlign w:val="center"/>
          </w:tcPr>
          <w:p w14:paraId="5E2C07CB">
            <w:pPr>
              <w:widowControl w:val="0"/>
              <w:bidi w:val="0"/>
              <w:spacing w:line="240" w:lineRule="auto"/>
              <w:jc w:val="center"/>
              <w:rPr>
                <w:b/>
                <w:bCs/>
                <w:sz w:val="21"/>
                <w:szCs w:val="21"/>
              </w:rPr>
            </w:pPr>
            <w:r>
              <w:rPr>
                <w:b/>
                <w:bCs/>
                <w:sz w:val="21"/>
                <w:szCs w:val="21"/>
              </w:rPr>
              <w:t>拟建项目采用工艺</w:t>
            </w:r>
          </w:p>
        </w:tc>
        <w:tc>
          <w:tcPr>
            <w:tcW w:w="696" w:type="dxa"/>
            <w:vAlign w:val="center"/>
          </w:tcPr>
          <w:p w14:paraId="31E58A1A">
            <w:pPr>
              <w:widowControl w:val="0"/>
              <w:bidi w:val="0"/>
              <w:spacing w:line="240" w:lineRule="auto"/>
              <w:jc w:val="center"/>
              <w:rPr>
                <w:b/>
                <w:bCs/>
                <w:sz w:val="21"/>
                <w:szCs w:val="21"/>
              </w:rPr>
            </w:pPr>
            <w:r>
              <w:rPr>
                <w:b/>
                <w:bCs/>
                <w:sz w:val="21"/>
                <w:szCs w:val="21"/>
              </w:rPr>
              <w:t>是否可行</w:t>
            </w:r>
          </w:p>
        </w:tc>
      </w:tr>
      <w:tr w14:paraId="174653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6" w:hRule="atLeast"/>
        </w:trPr>
        <w:tc>
          <w:tcPr>
            <w:tcW w:w="1189" w:type="dxa"/>
            <w:vAlign w:val="center"/>
          </w:tcPr>
          <w:p w14:paraId="288548F7">
            <w:pPr>
              <w:widowControl w:val="0"/>
              <w:bidi w:val="0"/>
              <w:spacing w:line="240" w:lineRule="auto"/>
              <w:jc w:val="center"/>
              <w:rPr>
                <w:sz w:val="21"/>
                <w:szCs w:val="21"/>
              </w:rPr>
            </w:pPr>
            <w:r>
              <w:rPr>
                <w:sz w:val="21"/>
                <w:szCs w:val="21"/>
              </w:rPr>
              <w:t>含氟废水（氟</w:t>
            </w:r>
          </w:p>
          <w:p w14:paraId="362BB7B6">
            <w:pPr>
              <w:widowControl w:val="0"/>
              <w:bidi w:val="0"/>
              <w:spacing w:line="240" w:lineRule="auto"/>
              <w:jc w:val="center"/>
              <w:rPr>
                <w:sz w:val="21"/>
                <w:szCs w:val="21"/>
              </w:rPr>
            </w:pPr>
            <w:r>
              <w:rPr>
                <w:sz w:val="21"/>
                <w:szCs w:val="21"/>
              </w:rPr>
              <w:t>化物）</w:t>
            </w:r>
          </w:p>
        </w:tc>
        <w:tc>
          <w:tcPr>
            <w:tcW w:w="3608" w:type="dxa"/>
            <w:vAlign w:val="center"/>
          </w:tcPr>
          <w:p w14:paraId="79116C82">
            <w:pPr>
              <w:widowControl w:val="0"/>
              <w:bidi w:val="0"/>
              <w:spacing w:line="240" w:lineRule="auto"/>
              <w:jc w:val="center"/>
              <w:rPr>
                <w:sz w:val="21"/>
                <w:szCs w:val="21"/>
              </w:rPr>
            </w:pPr>
            <w:r>
              <w:rPr>
                <w:sz w:val="21"/>
                <w:szCs w:val="21"/>
              </w:rPr>
              <w:t>CaCl</w:t>
            </w:r>
            <w:r>
              <w:rPr>
                <w:sz w:val="21"/>
                <w:szCs w:val="21"/>
                <w:vertAlign w:val="subscript"/>
              </w:rPr>
              <w:t>2</w:t>
            </w:r>
            <w:r>
              <w:rPr>
                <w:sz w:val="21"/>
                <w:szCs w:val="21"/>
              </w:rPr>
              <w:t>和Ca（OH）</w:t>
            </w:r>
            <w:r>
              <w:rPr>
                <w:sz w:val="21"/>
                <w:szCs w:val="21"/>
                <w:vertAlign w:val="subscript"/>
              </w:rPr>
              <w:t>2</w:t>
            </w:r>
            <w:r>
              <w:rPr>
                <w:sz w:val="21"/>
                <w:szCs w:val="21"/>
              </w:rPr>
              <w:t>二级或三级沉淀</w:t>
            </w:r>
          </w:p>
        </w:tc>
        <w:tc>
          <w:tcPr>
            <w:tcW w:w="3535" w:type="dxa"/>
            <w:vAlign w:val="center"/>
          </w:tcPr>
          <w:p w14:paraId="4BA40481">
            <w:pPr>
              <w:widowControl w:val="0"/>
              <w:bidi w:val="0"/>
              <w:spacing w:line="240" w:lineRule="auto"/>
              <w:jc w:val="center"/>
              <w:rPr>
                <w:sz w:val="21"/>
                <w:szCs w:val="21"/>
              </w:rPr>
            </w:pPr>
            <w:r>
              <w:rPr>
                <w:sz w:val="21"/>
                <w:szCs w:val="21"/>
              </w:rPr>
              <w:t>采用CaCl</w:t>
            </w:r>
            <w:r>
              <w:rPr>
                <w:sz w:val="21"/>
                <w:szCs w:val="21"/>
                <w:vertAlign w:val="subscript"/>
              </w:rPr>
              <w:t>2</w:t>
            </w:r>
            <w:r>
              <w:rPr>
                <w:sz w:val="21"/>
                <w:szCs w:val="21"/>
              </w:rPr>
              <w:t>和Ca（OH）</w:t>
            </w:r>
            <w:r>
              <w:rPr>
                <w:sz w:val="21"/>
                <w:szCs w:val="21"/>
                <w:vertAlign w:val="subscript"/>
              </w:rPr>
              <w:t>2</w:t>
            </w:r>
            <w:r>
              <w:rPr>
                <w:sz w:val="21"/>
                <w:szCs w:val="21"/>
              </w:rPr>
              <w:t>两级钙盐沉淀法进行除氟，且在二级除氟反应池出水</w:t>
            </w:r>
          </w:p>
          <w:p w14:paraId="58CE2606">
            <w:pPr>
              <w:widowControl w:val="0"/>
              <w:bidi w:val="0"/>
              <w:spacing w:line="240" w:lineRule="auto"/>
              <w:jc w:val="center"/>
              <w:rPr>
                <w:sz w:val="21"/>
                <w:szCs w:val="21"/>
              </w:rPr>
            </w:pPr>
            <w:r>
              <w:rPr>
                <w:sz w:val="21"/>
                <w:szCs w:val="21"/>
              </w:rPr>
              <w:t>端投加除氟剂进行三级除氟</w:t>
            </w:r>
          </w:p>
        </w:tc>
        <w:tc>
          <w:tcPr>
            <w:tcW w:w="696" w:type="dxa"/>
            <w:vAlign w:val="center"/>
          </w:tcPr>
          <w:p w14:paraId="6E80145E">
            <w:pPr>
              <w:widowControl w:val="0"/>
              <w:bidi w:val="0"/>
              <w:spacing w:line="240" w:lineRule="auto"/>
              <w:jc w:val="center"/>
              <w:rPr>
                <w:sz w:val="21"/>
                <w:szCs w:val="21"/>
              </w:rPr>
            </w:pPr>
            <w:r>
              <w:rPr>
                <w:sz w:val="21"/>
                <w:szCs w:val="21"/>
              </w:rPr>
              <w:t>可行</w:t>
            </w:r>
          </w:p>
        </w:tc>
      </w:tr>
      <w:tr w14:paraId="7AF186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56" w:hRule="atLeast"/>
        </w:trPr>
        <w:tc>
          <w:tcPr>
            <w:tcW w:w="1189" w:type="dxa"/>
            <w:vAlign w:val="center"/>
          </w:tcPr>
          <w:p w14:paraId="11F5D1D3">
            <w:pPr>
              <w:widowControl w:val="0"/>
              <w:bidi w:val="0"/>
              <w:spacing w:line="240" w:lineRule="auto"/>
              <w:jc w:val="center"/>
              <w:rPr>
                <w:sz w:val="21"/>
                <w:szCs w:val="21"/>
              </w:rPr>
            </w:pPr>
            <w:r>
              <w:rPr>
                <w:sz w:val="21"/>
                <w:szCs w:val="21"/>
              </w:rPr>
              <w:t>综合废水（氨</w:t>
            </w:r>
          </w:p>
          <w:p w14:paraId="2C712A81">
            <w:pPr>
              <w:widowControl w:val="0"/>
              <w:bidi w:val="0"/>
              <w:spacing w:line="240" w:lineRule="auto"/>
              <w:jc w:val="center"/>
              <w:rPr>
                <w:sz w:val="21"/>
                <w:szCs w:val="21"/>
              </w:rPr>
            </w:pPr>
            <w:r>
              <w:rPr>
                <w:sz w:val="21"/>
                <w:szCs w:val="21"/>
              </w:rPr>
              <w:t>氮）</w:t>
            </w:r>
          </w:p>
        </w:tc>
        <w:tc>
          <w:tcPr>
            <w:tcW w:w="3608" w:type="dxa"/>
            <w:vAlign w:val="center"/>
          </w:tcPr>
          <w:p w14:paraId="4B73908A">
            <w:pPr>
              <w:widowControl w:val="0"/>
              <w:bidi w:val="0"/>
              <w:spacing w:line="240" w:lineRule="auto"/>
              <w:jc w:val="center"/>
              <w:rPr>
                <w:sz w:val="21"/>
                <w:szCs w:val="21"/>
              </w:rPr>
            </w:pPr>
            <w:r>
              <w:rPr>
                <w:sz w:val="21"/>
                <w:szCs w:val="21"/>
              </w:rPr>
              <w:t>1）预处理：粗格栅；除油；沉淀；过滤；</w:t>
            </w:r>
          </w:p>
          <w:p w14:paraId="2EB41596">
            <w:pPr>
              <w:widowControl w:val="0"/>
              <w:bidi w:val="0"/>
              <w:spacing w:line="240" w:lineRule="auto"/>
              <w:jc w:val="center"/>
              <w:rPr>
                <w:sz w:val="21"/>
                <w:szCs w:val="21"/>
              </w:rPr>
            </w:pPr>
            <w:r>
              <w:rPr>
                <w:sz w:val="21"/>
                <w:szCs w:val="21"/>
              </w:rPr>
              <w:t>2）生化法处理：活性污泥法；升流式厌</w:t>
            </w:r>
          </w:p>
          <w:p w14:paraId="2847B54D">
            <w:pPr>
              <w:widowControl w:val="0"/>
              <w:bidi w:val="0"/>
              <w:spacing w:line="240" w:lineRule="auto"/>
              <w:jc w:val="center"/>
              <w:rPr>
                <w:sz w:val="21"/>
                <w:szCs w:val="21"/>
              </w:rPr>
            </w:pPr>
            <w:r>
              <w:rPr>
                <w:sz w:val="21"/>
                <w:szCs w:val="21"/>
              </w:rPr>
              <w:t>氧污泥床（UASB）；厌氧反应器+缺氧</w:t>
            </w:r>
          </w:p>
          <w:p w14:paraId="7B1C9364">
            <w:pPr>
              <w:widowControl w:val="0"/>
              <w:bidi w:val="0"/>
              <w:spacing w:line="240" w:lineRule="auto"/>
              <w:jc w:val="center"/>
              <w:rPr>
                <w:sz w:val="21"/>
                <w:szCs w:val="21"/>
              </w:rPr>
            </w:pPr>
            <w:r>
              <w:rPr>
                <w:sz w:val="21"/>
                <w:szCs w:val="21"/>
              </w:rPr>
              <w:t>/好氧活性污泥法（A/O）；膜生物反应</w:t>
            </w:r>
          </w:p>
          <w:p w14:paraId="37C7E223">
            <w:pPr>
              <w:widowControl w:val="0"/>
              <w:bidi w:val="0"/>
              <w:spacing w:line="240" w:lineRule="auto"/>
              <w:jc w:val="center"/>
              <w:rPr>
                <w:sz w:val="21"/>
                <w:szCs w:val="21"/>
              </w:rPr>
            </w:pPr>
            <w:r>
              <w:rPr>
                <w:sz w:val="21"/>
                <w:szCs w:val="21"/>
              </w:rPr>
              <w:t>器法</w:t>
            </w:r>
          </w:p>
        </w:tc>
        <w:tc>
          <w:tcPr>
            <w:tcW w:w="3535" w:type="dxa"/>
            <w:vAlign w:val="center"/>
          </w:tcPr>
          <w:p w14:paraId="2240934F">
            <w:pPr>
              <w:widowControl w:val="0"/>
              <w:bidi w:val="0"/>
              <w:spacing w:line="240" w:lineRule="auto"/>
              <w:jc w:val="center"/>
              <w:rPr>
                <w:sz w:val="21"/>
                <w:szCs w:val="21"/>
              </w:rPr>
            </w:pPr>
            <w:r>
              <w:rPr>
                <w:sz w:val="21"/>
                <w:szCs w:val="21"/>
              </w:rPr>
              <w:t>高氨废水采用“枭龙-安奇脱氮+传统A/O 生化工艺” ；其中安奇塔属于厌氧脱氮。满足生化法处理的工艺要求。</w:t>
            </w:r>
          </w:p>
        </w:tc>
        <w:tc>
          <w:tcPr>
            <w:tcW w:w="696" w:type="dxa"/>
            <w:vAlign w:val="center"/>
          </w:tcPr>
          <w:p w14:paraId="7C5034FA">
            <w:pPr>
              <w:widowControl w:val="0"/>
              <w:bidi w:val="0"/>
              <w:spacing w:line="240" w:lineRule="auto"/>
              <w:jc w:val="center"/>
              <w:rPr>
                <w:sz w:val="21"/>
                <w:szCs w:val="21"/>
              </w:rPr>
            </w:pPr>
            <w:r>
              <w:rPr>
                <w:sz w:val="21"/>
                <w:szCs w:val="21"/>
              </w:rPr>
              <w:t>可行</w:t>
            </w:r>
          </w:p>
        </w:tc>
      </w:tr>
    </w:tbl>
    <w:p w14:paraId="65B4FE02">
      <w:pPr>
        <w:numPr>
          <w:ilvl w:val="0"/>
          <w:numId w:val="0"/>
        </w:numPr>
        <w:bidi w:val="0"/>
        <w:spacing w:line="360" w:lineRule="auto"/>
        <w:ind w:left="0" w:leftChars="0" w:firstLine="480" w:firstLineChars="200"/>
        <w:jc w:val="both"/>
        <w:rPr>
          <w:rFonts w:hint="default" w:ascii="Times New Roman" w:hAnsi="Times New Roman" w:eastAsia="宋体" w:cs="宋体"/>
          <w:sz w:val="24"/>
          <w:szCs w:val="24"/>
          <w:lang w:val="en-US" w:eastAsia="zh-CN" w:bidi="ar-SA"/>
        </w:rPr>
      </w:pPr>
      <w:r>
        <w:rPr>
          <w:rFonts w:hint="eastAsia" w:cs="宋体"/>
          <w:sz w:val="24"/>
          <w:szCs w:val="24"/>
          <w:lang w:val="en-US" w:eastAsia="zh-CN" w:bidi="ar-SA"/>
        </w:rPr>
        <w:t>综上所述，现有工程废水处理工艺满足《排污许可证申请与核发技术规范 电池工业》（HJ967-2018）中可行技术要求。</w:t>
      </w:r>
    </w:p>
    <w:p w14:paraId="234CF8A0">
      <w:pPr>
        <w:numPr>
          <w:ilvl w:val="0"/>
          <w:numId w:val="0"/>
        </w:numPr>
        <w:bidi w:val="0"/>
        <w:spacing w:line="360" w:lineRule="auto"/>
        <w:ind w:left="0" w:leftChars="0" w:firstLine="480" w:firstLineChars="200"/>
        <w:jc w:val="both"/>
        <w:rPr>
          <w:rFonts w:hint="eastAsia"/>
          <w:lang w:val="en-US" w:eastAsia="zh-CN"/>
        </w:rPr>
      </w:pPr>
      <w:r>
        <w:rPr>
          <w:rFonts w:hint="eastAsia" w:ascii="Times New Roman" w:hAnsi="Times New Roman" w:eastAsia="宋体" w:cs="宋体"/>
          <w:sz w:val="24"/>
          <w:szCs w:val="24"/>
          <w:lang w:val="en-US" w:eastAsia="zh-CN" w:bidi="ar-SA"/>
        </w:rPr>
        <w:t>（3）</w:t>
      </w:r>
      <w:r>
        <w:rPr>
          <w:rFonts w:hint="eastAsia"/>
          <w:lang w:val="en-US" w:eastAsia="zh-CN"/>
        </w:rPr>
        <w:t>废水处理工艺依托可行性分析</w:t>
      </w:r>
    </w:p>
    <w:p w14:paraId="67BEBB1D">
      <w:pPr>
        <w:numPr>
          <w:ilvl w:val="0"/>
          <w:numId w:val="0"/>
        </w:numPr>
        <w:bidi w:val="0"/>
        <w:spacing w:line="360" w:lineRule="auto"/>
        <w:ind w:left="0" w:leftChars="0" w:firstLine="480" w:firstLineChars="200"/>
        <w:jc w:val="both"/>
        <w:rPr>
          <w:rFonts w:hint="default" w:ascii="Times New Roman" w:hAnsi="Times New Roman" w:eastAsia="宋体" w:cs="宋体"/>
          <w:sz w:val="24"/>
          <w:szCs w:val="24"/>
          <w:lang w:val="en-US" w:eastAsia="zh-CN" w:bidi="ar-SA"/>
        </w:rPr>
      </w:pPr>
      <w:r>
        <w:rPr>
          <w:rFonts w:hint="default"/>
          <w:lang w:val="en-US" w:eastAsia="zh-CN"/>
        </w:rPr>
        <w:t>本次技改项目新增废水主要有铝舟及周托清洗废水、激光划片废水、纯水制备浓水、废气治理设施废水等。其中铝舟及周托清洗废水进入浓碱废水收集池；激光划片废水和废气治理设施废水进入稀碱废水收集池；依托厂区现有除氟系统处理后，与纯水制备浓水一起排入市政污水管网接入合肥循环经济示范园第二污水处理厂集中处理。</w:t>
      </w:r>
      <w:r>
        <w:rPr>
          <w:rFonts w:hint="eastAsia"/>
          <w:lang w:val="en-US" w:eastAsia="zh-CN"/>
        </w:rPr>
        <w:t>新增废水水质较为简单，涉及的废水污染因子主要为pH、SS，依托厂区现有污水处理站是可行的。</w:t>
      </w:r>
    </w:p>
    <w:p w14:paraId="52B24CD1">
      <w:pPr>
        <w:numPr>
          <w:ilvl w:val="0"/>
          <w:numId w:val="0"/>
        </w:numPr>
        <w:bidi w:val="0"/>
        <w:spacing w:line="360" w:lineRule="auto"/>
        <w:ind w:left="0" w:leftChars="0" w:firstLine="480" w:firstLineChars="200"/>
        <w:jc w:val="both"/>
        <w:rPr>
          <w:rFonts w:hint="default"/>
          <w:lang w:val="en-US" w:eastAsia="zh-CN"/>
        </w:rPr>
      </w:pPr>
      <w:r>
        <w:rPr>
          <w:rFonts w:hint="default" w:ascii="Times New Roman" w:hAnsi="Times New Roman" w:eastAsia="宋体" w:cs="宋体"/>
          <w:sz w:val="24"/>
          <w:szCs w:val="24"/>
          <w:lang w:val="en-US" w:eastAsia="zh-CN" w:bidi="ar-SA"/>
        </w:rPr>
        <w:t>（4）</w:t>
      </w:r>
      <w:r>
        <w:rPr>
          <w:rFonts w:hint="default"/>
          <w:lang w:val="en-US" w:eastAsia="zh-CN"/>
        </w:rPr>
        <w:t>处理规模可行性分析</w:t>
      </w:r>
    </w:p>
    <w:p w14:paraId="222A5700">
      <w:pPr>
        <w:numPr>
          <w:ilvl w:val="0"/>
          <w:numId w:val="0"/>
        </w:numPr>
        <w:bidi w:val="0"/>
        <w:spacing w:line="360" w:lineRule="auto"/>
        <w:ind w:firstLine="480" w:firstLineChars="200"/>
        <w:jc w:val="both"/>
        <w:rPr>
          <w:rFonts w:hint="default"/>
          <w:lang w:val="en-US" w:eastAsia="zh-CN"/>
        </w:rPr>
      </w:pPr>
      <w:r>
        <w:rPr>
          <w:rFonts w:hint="eastAsia"/>
          <w:lang w:val="en-US" w:eastAsia="zh-CN"/>
        </w:rPr>
        <w:t>项目现有工程</w:t>
      </w:r>
      <w:r>
        <w:rPr>
          <w:rFonts w:hint="default"/>
          <w:lang w:val="en-US" w:eastAsia="zh-CN"/>
        </w:rPr>
        <w:t>一期污水处理站（脱氟系统2套，单套处理能力为6000t/d，采用</w:t>
      </w:r>
      <w:r>
        <w:rPr>
          <w:rFonts w:hint="eastAsia"/>
          <w:lang w:val="en-US" w:eastAsia="zh-CN"/>
        </w:rPr>
        <w:t>“</w:t>
      </w:r>
      <w:r>
        <w:rPr>
          <w:rFonts w:hint="default"/>
          <w:lang w:val="en-US" w:eastAsia="zh-CN"/>
        </w:rPr>
        <w:t>两套两级钙盐+除氟剂组合沉淀法</w:t>
      </w:r>
      <w:r>
        <w:rPr>
          <w:rFonts w:hint="eastAsia"/>
          <w:lang w:val="en-US" w:eastAsia="zh-CN"/>
        </w:rPr>
        <w:t>”</w:t>
      </w:r>
      <w:r>
        <w:rPr>
          <w:rFonts w:hint="default"/>
          <w:lang w:val="en-US" w:eastAsia="zh-CN"/>
        </w:rPr>
        <w:t>除氟；</w:t>
      </w:r>
      <w:r>
        <w:rPr>
          <w:rFonts w:hint="eastAsia"/>
          <w:lang w:val="en-US" w:eastAsia="zh-CN"/>
        </w:rPr>
        <w:t>备用</w:t>
      </w:r>
      <w:r>
        <w:rPr>
          <w:rFonts w:hint="default"/>
          <w:lang w:val="en-US" w:eastAsia="zh-CN"/>
        </w:rPr>
        <w:t>生化系统设计处理能力为1800t/d，采用“枭龙-安奇脱氮工艺作为主处理工艺，同时结合传统A/O生化工艺”）；二期污水处理站（脱氟系统2套，单套处理能力为6000t/d，采用“两套两级钙盐+ 除氟剂组合沉淀法”除氟；生化系统设计处理能力为700t/d，采用“枭龙-安奇脱氮工艺作为主处理工艺，同时结合传统A/O生化工艺”）。</w:t>
      </w:r>
    </w:p>
    <w:p w14:paraId="6235F8CC">
      <w:pPr>
        <w:numPr>
          <w:ilvl w:val="0"/>
          <w:numId w:val="0"/>
        </w:numPr>
        <w:bidi w:val="0"/>
        <w:spacing w:line="360" w:lineRule="auto"/>
        <w:ind w:firstLine="480" w:firstLineChars="200"/>
        <w:jc w:val="both"/>
        <w:rPr>
          <w:rFonts w:hint="default"/>
          <w:lang w:val="en-US" w:eastAsia="zh-CN"/>
        </w:rPr>
      </w:pPr>
      <w:r>
        <w:rPr>
          <w:rFonts w:hint="eastAsia"/>
          <w:color w:val="auto"/>
          <w:lang w:eastAsia="zh-CN"/>
        </w:rPr>
        <w:t>同期</w:t>
      </w:r>
      <w:r>
        <w:rPr>
          <w:rFonts w:hint="eastAsia"/>
          <w:color w:val="auto"/>
          <w:lang w:val="en-US" w:eastAsia="zh-CN"/>
        </w:rPr>
        <w:t>拟建项目“高效太阳能电池片213升级改造项目”和“高效太阳能电池片MAX改造项目”建成后全厂需进入</w:t>
      </w:r>
      <w:r>
        <w:rPr>
          <w:rFonts w:hint="default"/>
          <w:lang w:val="en-US" w:eastAsia="zh-CN"/>
        </w:rPr>
        <w:t>生化系统</w:t>
      </w:r>
      <w:r>
        <w:rPr>
          <w:rFonts w:hint="eastAsia"/>
          <w:lang w:val="en-US" w:eastAsia="zh-CN"/>
        </w:rPr>
        <w:t>的</w:t>
      </w:r>
      <w:r>
        <w:rPr>
          <w:rFonts w:hint="default"/>
          <w:lang w:val="en-US" w:eastAsia="zh-CN"/>
        </w:rPr>
        <w:t>废水</w:t>
      </w:r>
      <w:r>
        <w:rPr>
          <w:rFonts w:hint="eastAsia"/>
          <w:lang w:val="en-US" w:eastAsia="zh-CN"/>
        </w:rPr>
        <w:t>量为9.81</w:t>
      </w:r>
      <w:r>
        <w:rPr>
          <w:rFonts w:hint="default"/>
          <w:lang w:val="en-US" w:eastAsia="zh-CN"/>
        </w:rPr>
        <w:t>t/d</w:t>
      </w:r>
      <w:r>
        <w:rPr>
          <w:rFonts w:hint="eastAsia"/>
          <w:lang w:val="en-US" w:eastAsia="zh-CN"/>
        </w:rPr>
        <w:t>；</w:t>
      </w:r>
      <w:r>
        <w:rPr>
          <w:rFonts w:hint="eastAsia"/>
          <w:color w:val="auto"/>
          <w:lang w:val="en-US" w:eastAsia="zh-CN"/>
        </w:rPr>
        <w:t>需进入</w:t>
      </w:r>
      <w:r>
        <w:rPr>
          <w:rFonts w:hint="default"/>
          <w:lang w:val="en-US" w:eastAsia="zh-CN"/>
        </w:rPr>
        <w:t>除氟系统</w:t>
      </w:r>
      <w:r>
        <w:rPr>
          <w:rFonts w:hint="eastAsia"/>
          <w:lang w:val="en-US" w:eastAsia="zh-CN"/>
        </w:rPr>
        <w:t>的</w:t>
      </w:r>
      <w:r>
        <w:rPr>
          <w:rFonts w:hint="default"/>
          <w:lang w:val="en-US" w:eastAsia="zh-CN"/>
        </w:rPr>
        <w:t>废水</w:t>
      </w:r>
      <w:r>
        <w:rPr>
          <w:rFonts w:hint="eastAsia"/>
          <w:lang w:val="en-US" w:eastAsia="zh-CN"/>
        </w:rPr>
        <w:t>量为15256.9134</w:t>
      </w:r>
      <w:r>
        <w:rPr>
          <w:rFonts w:hint="default"/>
          <w:lang w:val="en-US" w:eastAsia="zh-CN"/>
        </w:rPr>
        <w:t>t/d</w:t>
      </w:r>
      <w:r>
        <w:rPr>
          <w:rFonts w:hint="eastAsia"/>
          <w:lang w:val="en-US" w:eastAsia="zh-CN"/>
        </w:rPr>
        <w:t>。本次技改项目新增</w:t>
      </w:r>
      <w:r>
        <w:rPr>
          <w:rFonts w:hint="default"/>
          <w:lang w:val="en-US" w:eastAsia="zh-CN"/>
        </w:rPr>
        <w:t>废水</w:t>
      </w:r>
      <w:r>
        <w:rPr>
          <w:rFonts w:hint="eastAsia"/>
          <w:lang w:val="en-US" w:eastAsia="zh-CN"/>
        </w:rPr>
        <w:t>量为2.759</w:t>
      </w:r>
      <w:r>
        <w:rPr>
          <w:rFonts w:hint="default"/>
          <w:lang w:val="en-US" w:eastAsia="zh-CN"/>
        </w:rPr>
        <w:t>t/d</w:t>
      </w:r>
      <w:r>
        <w:rPr>
          <w:rFonts w:hint="eastAsia"/>
          <w:lang w:val="en-US" w:eastAsia="zh-CN"/>
        </w:rPr>
        <w:t>，依托现有</w:t>
      </w:r>
      <w:r>
        <w:rPr>
          <w:rFonts w:hint="default"/>
          <w:lang w:val="en-US" w:eastAsia="zh-CN"/>
        </w:rPr>
        <w:t>除氟系统</w:t>
      </w:r>
      <w:r>
        <w:rPr>
          <w:rFonts w:hint="eastAsia"/>
          <w:lang w:val="en-US" w:eastAsia="zh-CN"/>
        </w:rPr>
        <w:t>处理不会对其造成冲击，</w:t>
      </w:r>
      <w:r>
        <w:rPr>
          <w:rFonts w:hint="default"/>
          <w:lang w:val="en-US" w:eastAsia="zh-CN"/>
        </w:rPr>
        <w:t>依托</w:t>
      </w:r>
      <w:r>
        <w:rPr>
          <w:rFonts w:hint="eastAsia"/>
          <w:lang w:val="en-US" w:eastAsia="zh-CN"/>
        </w:rPr>
        <w:t>厂区</w:t>
      </w:r>
      <w:r>
        <w:rPr>
          <w:rFonts w:hint="default"/>
          <w:lang w:val="en-US" w:eastAsia="zh-CN"/>
        </w:rPr>
        <w:t>现有污水处理站可行。</w:t>
      </w:r>
    </w:p>
    <w:p w14:paraId="6BA86C5F">
      <w:pPr>
        <w:numPr>
          <w:ilvl w:val="0"/>
          <w:numId w:val="0"/>
        </w:numPr>
        <w:bidi w:val="0"/>
        <w:spacing w:line="360" w:lineRule="auto"/>
        <w:jc w:val="both"/>
        <w:rPr>
          <w:rFonts w:hint="default"/>
          <w:lang w:val="en-US" w:eastAsia="zh-CN"/>
        </w:rPr>
      </w:pPr>
      <w:r>
        <w:rPr>
          <w:rFonts w:hint="default"/>
          <w:b/>
          <w:bCs/>
          <w:lang w:val="en-US" w:eastAsia="zh-CN"/>
        </w:rPr>
        <w:t>7.2.</w:t>
      </w:r>
      <w:r>
        <w:rPr>
          <w:rFonts w:hint="eastAsia"/>
          <w:b/>
          <w:bCs/>
          <w:lang w:val="en-US" w:eastAsia="zh-CN"/>
        </w:rPr>
        <w:t>3</w:t>
      </w:r>
      <w:r>
        <w:rPr>
          <w:rFonts w:hint="default"/>
          <w:b/>
          <w:bCs/>
          <w:lang w:val="en-US" w:eastAsia="zh-CN"/>
        </w:rPr>
        <w:t xml:space="preserve"> 废水接管可行性分析</w:t>
      </w:r>
    </w:p>
    <w:p w14:paraId="06DCAAE5">
      <w:pPr>
        <w:numPr>
          <w:ilvl w:val="0"/>
          <w:numId w:val="0"/>
        </w:numPr>
        <w:bidi w:val="0"/>
        <w:spacing w:line="360" w:lineRule="auto"/>
        <w:ind w:firstLine="480" w:firstLineChars="200"/>
        <w:jc w:val="both"/>
        <w:rPr>
          <w:rFonts w:hint="eastAsia"/>
          <w:lang w:val="en-US" w:eastAsia="zh-CN"/>
        </w:rPr>
      </w:pPr>
      <w:r>
        <w:rPr>
          <w:rFonts w:hint="eastAsia"/>
          <w:lang w:val="en-US" w:eastAsia="zh-CN"/>
        </w:rPr>
        <w:t>（1）合肥循环经济示范园第二污水处理厂简介</w:t>
      </w:r>
    </w:p>
    <w:p w14:paraId="2AE5AE06">
      <w:pPr>
        <w:numPr>
          <w:ilvl w:val="0"/>
          <w:numId w:val="0"/>
        </w:numPr>
        <w:bidi w:val="0"/>
        <w:spacing w:line="360" w:lineRule="auto"/>
        <w:ind w:firstLine="480" w:firstLineChars="200"/>
        <w:jc w:val="both"/>
        <w:rPr>
          <w:rFonts w:hint="eastAsia"/>
          <w:lang w:val="en-US" w:eastAsia="zh-CN"/>
        </w:rPr>
      </w:pPr>
      <w:r>
        <w:rPr>
          <w:rFonts w:hint="eastAsia"/>
          <w:lang w:val="en-US" w:eastAsia="zh-CN"/>
        </w:rPr>
        <w:t>合肥循环经济示范园第二污水处理厂位于合肥市循环经济示范园长山路与丰草路交口西南侧，项目总用地面积66882.76m</w:t>
      </w:r>
      <w:r>
        <w:rPr>
          <w:rFonts w:hint="eastAsia"/>
          <w:vertAlign w:val="superscript"/>
          <w:lang w:val="en-US" w:eastAsia="zh-CN"/>
        </w:rPr>
        <w:t>2</w:t>
      </w:r>
      <w:r>
        <w:rPr>
          <w:rFonts w:hint="eastAsia"/>
          <w:lang w:val="en-US" w:eastAsia="zh-CN"/>
        </w:rPr>
        <w:t>，污水设计处理规模40000m</w:t>
      </w:r>
      <w:r>
        <w:rPr>
          <w:rFonts w:hint="eastAsia"/>
          <w:vertAlign w:val="superscript"/>
          <w:lang w:val="en-US" w:eastAsia="zh-CN"/>
        </w:rPr>
        <w:t>3</w:t>
      </w:r>
      <w:r>
        <w:rPr>
          <w:rFonts w:hint="eastAsia"/>
          <w:lang w:val="en-US" w:eastAsia="zh-CN"/>
        </w:rPr>
        <w:t>/d（除氟系统26000m</w:t>
      </w:r>
      <w:r>
        <w:rPr>
          <w:rFonts w:hint="eastAsia"/>
          <w:vertAlign w:val="superscript"/>
          <w:lang w:val="en-US" w:eastAsia="zh-CN"/>
        </w:rPr>
        <w:t>3</w:t>
      </w:r>
      <w:r>
        <w:rPr>
          <w:rFonts w:hint="eastAsia"/>
          <w:lang w:val="en-US" w:eastAsia="zh-CN"/>
        </w:rPr>
        <w:t>/d），配套附属工程建设，配套建设收集服务范围内污水管网19km。本工程服务范围内工业企业废水分两股进入污水处理厂，来自晶科能源股份有限公司工业废水进入除氟沉淀池，其他工业企业废水则先进入粗格栅及提升泵站+细格栅及沉砂池，两股污水经预处理后汇合，再通过均质调节-芬顿絮凝-水解酸化-A/O生化-臭氧氧化-曝气生物滤池-滤布滤池-消毒，最终出水达标排放。于2023年5月6日取得合肥市生态环境局以环建审[</w:t>
      </w:r>
      <w:r>
        <w:rPr>
          <w:rFonts w:hint="eastAsia"/>
          <w:lang w:val="en-US" w:eastAsia="zh-CN"/>
        </w:rPr>
        <w:fldChar w:fldCharType="begin"/>
      </w:r>
      <w:r>
        <w:rPr>
          <w:rFonts w:hint="eastAsia"/>
          <w:lang w:val="en-US" w:eastAsia="zh-CN"/>
        </w:rPr>
        <w:instrText xml:space="preserve"> HYPERLINK \l "bookmark5" </w:instrText>
      </w:r>
      <w:r>
        <w:rPr>
          <w:rFonts w:hint="eastAsia"/>
          <w:lang w:val="en-US" w:eastAsia="zh-CN"/>
        </w:rPr>
        <w:fldChar w:fldCharType="separate"/>
      </w:r>
      <w:r>
        <w:rPr>
          <w:rFonts w:hint="eastAsia"/>
          <w:lang w:val="en-US" w:eastAsia="zh-CN"/>
        </w:rPr>
        <w:t>2023</w:t>
      </w:r>
      <w:r>
        <w:rPr>
          <w:rFonts w:hint="eastAsia"/>
          <w:lang w:val="en-US" w:eastAsia="zh-CN"/>
        </w:rPr>
        <w:fldChar w:fldCharType="end"/>
      </w:r>
      <w:r>
        <w:rPr>
          <w:rFonts w:hint="eastAsia"/>
          <w:lang w:val="en-US" w:eastAsia="zh-CN"/>
        </w:rPr>
        <w:t>]26号文审批，2023年6月21日申请排污许可，排污许可证编号：11340122784918708K001V。于2023年6月完成自主竣工环保验收，并稳定运行中。</w:t>
      </w:r>
    </w:p>
    <w:p w14:paraId="291051CE">
      <w:pPr>
        <w:numPr>
          <w:ilvl w:val="0"/>
          <w:numId w:val="0"/>
        </w:numPr>
        <w:bidi w:val="0"/>
        <w:spacing w:line="360" w:lineRule="auto"/>
        <w:ind w:firstLine="480" w:firstLineChars="200"/>
        <w:jc w:val="both"/>
        <w:rPr>
          <w:rFonts w:hint="default"/>
          <w:lang w:val="en-US" w:eastAsia="zh-CN"/>
        </w:rPr>
      </w:pPr>
      <w:r>
        <w:rPr>
          <w:rFonts w:hint="eastAsia"/>
          <w:lang w:val="en-US" w:eastAsia="zh-CN"/>
        </w:rPr>
        <w:t>合肥循环经济示范园第二污水处理厂处理工艺为：预处理区：粗格栅及提升泵站、细格栅及沉砂池、除氟沉淀池、均质调节池、芬顿絮凝池、水解酸化池；二级生化处理区：A/O、二沉池；深度处理区：臭氧催化氧化、曝气生物滤池；末端过滤区：滤布滤池；消毒区：次氯酸钠消毒工艺；污泥处理区：机械浓缩+板框压滤机组合工艺。</w:t>
      </w:r>
    </w:p>
    <w:p w14:paraId="3F18E7A6">
      <w:pPr>
        <w:numPr>
          <w:ilvl w:val="0"/>
          <w:numId w:val="0"/>
        </w:numPr>
        <w:bidi w:val="0"/>
        <w:spacing w:line="360" w:lineRule="auto"/>
        <w:jc w:val="center"/>
        <w:rPr>
          <w:rFonts w:hint="default"/>
          <w:lang w:val="en-US" w:eastAsia="zh-CN"/>
        </w:rPr>
      </w:pPr>
      <w:r>
        <w:rPr>
          <w:position w:val="-253"/>
        </w:rPr>
        <w:drawing>
          <wp:inline distT="0" distB="0" distL="0" distR="0">
            <wp:extent cx="4965065" cy="8052435"/>
            <wp:effectExtent l="0" t="0" r="6985" b="5715"/>
            <wp:docPr id="48" name="IM 44"/>
            <wp:cNvGraphicFramePr/>
            <a:graphic xmlns:a="http://schemas.openxmlformats.org/drawingml/2006/main">
              <a:graphicData uri="http://schemas.openxmlformats.org/drawingml/2006/picture">
                <pic:pic xmlns:pic="http://schemas.openxmlformats.org/drawingml/2006/picture">
                  <pic:nvPicPr>
                    <pic:cNvPr id="48" name="IM 44"/>
                    <pic:cNvPicPr/>
                  </pic:nvPicPr>
                  <pic:blipFill>
                    <a:blip r:embed="rId43"/>
                    <a:stretch>
                      <a:fillRect/>
                    </a:stretch>
                  </pic:blipFill>
                  <pic:spPr>
                    <a:xfrm>
                      <a:off x="0" y="0"/>
                      <a:ext cx="4965191" cy="8052435"/>
                    </a:xfrm>
                    <a:prstGeom prst="rect">
                      <a:avLst/>
                    </a:prstGeom>
                  </pic:spPr>
                </pic:pic>
              </a:graphicData>
            </a:graphic>
          </wp:inline>
        </w:drawing>
      </w:r>
    </w:p>
    <w:p w14:paraId="2C9F6FF0">
      <w:pPr>
        <w:numPr>
          <w:ilvl w:val="0"/>
          <w:numId w:val="0"/>
        </w:numPr>
        <w:bidi w:val="0"/>
        <w:spacing w:line="360" w:lineRule="auto"/>
        <w:jc w:val="center"/>
        <w:rPr>
          <w:rFonts w:hint="default"/>
          <w:b/>
          <w:bCs/>
          <w:lang w:val="en-US" w:eastAsia="zh-CN"/>
        </w:rPr>
      </w:pPr>
      <w:r>
        <w:rPr>
          <w:rFonts w:hint="default"/>
          <w:b/>
          <w:bCs/>
          <w:lang w:val="en-US" w:eastAsia="zh-CN"/>
        </w:rPr>
        <w:t>图7.2.</w:t>
      </w:r>
      <w:r>
        <w:rPr>
          <w:rFonts w:hint="eastAsia"/>
          <w:b/>
          <w:bCs/>
          <w:lang w:val="en-US" w:eastAsia="zh-CN"/>
        </w:rPr>
        <w:t>3-1</w:t>
      </w:r>
      <w:r>
        <w:rPr>
          <w:rFonts w:hint="default"/>
          <w:b/>
          <w:bCs/>
          <w:lang w:val="en-US" w:eastAsia="zh-CN"/>
        </w:rPr>
        <w:t xml:space="preserve"> 合肥循环经济示范园第二污水处理厂污水处理工艺流程图</w:t>
      </w:r>
    </w:p>
    <w:p w14:paraId="1C5F340A">
      <w:pPr>
        <w:numPr>
          <w:ilvl w:val="0"/>
          <w:numId w:val="0"/>
        </w:numPr>
        <w:bidi w:val="0"/>
        <w:spacing w:line="360" w:lineRule="auto"/>
        <w:ind w:firstLine="480" w:firstLineChars="200"/>
        <w:jc w:val="both"/>
        <w:rPr>
          <w:rFonts w:hint="eastAsia"/>
          <w:lang w:val="en-US" w:eastAsia="zh-CN"/>
        </w:rPr>
      </w:pPr>
      <w:r>
        <w:rPr>
          <w:rFonts w:hint="eastAsia"/>
          <w:lang w:val="en-US" w:eastAsia="zh-CN"/>
        </w:rPr>
        <w:t>（2）接管范围可行性</w:t>
      </w:r>
    </w:p>
    <w:p w14:paraId="0D0132DA">
      <w:pPr>
        <w:numPr>
          <w:ilvl w:val="0"/>
          <w:numId w:val="0"/>
        </w:numPr>
        <w:bidi w:val="0"/>
        <w:spacing w:line="360" w:lineRule="auto"/>
        <w:ind w:firstLine="480" w:firstLineChars="200"/>
        <w:jc w:val="both"/>
        <w:rPr>
          <w:rFonts w:hint="eastAsia"/>
          <w:lang w:val="en-US" w:eastAsia="zh-CN"/>
        </w:rPr>
      </w:pPr>
      <w:r>
        <w:rPr>
          <w:rFonts w:hint="eastAsia"/>
          <w:lang w:val="en-US" w:eastAsia="zh-CN"/>
        </w:rPr>
        <w:t>合肥循环经济示范园第二污水处理厂服务范围北至乳泉路，南至锦绣大道，西至长山路，东至裕溪路，另包含晶科能源股份有限公司建设用地，总服务面积约9km</w:t>
      </w:r>
      <w:r>
        <w:rPr>
          <w:rFonts w:hint="eastAsia"/>
          <w:vertAlign w:val="superscript"/>
          <w:lang w:val="en-US" w:eastAsia="zh-CN"/>
        </w:rPr>
        <w:t>2</w:t>
      </w:r>
      <w:r>
        <w:rPr>
          <w:rFonts w:hint="eastAsia"/>
          <w:lang w:val="en-US" w:eastAsia="zh-CN"/>
        </w:rPr>
        <w:t>。</w:t>
      </w:r>
    </w:p>
    <w:p w14:paraId="314A5576">
      <w:pPr>
        <w:numPr>
          <w:ilvl w:val="0"/>
          <w:numId w:val="0"/>
        </w:numPr>
        <w:bidi w:val="0"/>
        <w:spacing w:line="360" w:lineRule="auto"/>
        <w:ind w:firstLine="480" w:firstLineChars="200"/>
        <w:jc w:val="both"/>
        <w:rPr>
          <w:rFonts w:hint="eastAsia"/>
          <w:lang w:val="en-US" w:eastAsia="zh-CN"/>
        </w:rPr>
      </w:pPr>
      <w:r>
        <w:rPr>
          <w:rFonts w:hint="eastAsia"/>
          <w:lang w:val="en-US" w:eastAsia="zh-CN"/>
        </w:rPr>
        <w:t>（3）接管水质可行性</w:t>
      </w:r>
    </w:p>
    <w:p w14:paraId="73B89991">
      <w:pPr>
        <w:numPr>
          <w:ilvl w:val="0"/>
          <w:numId w:val="0"/>
        </w:numPr>
        <w:bidi w:val="0"/>
        <w:spacing w:line="360" w:lineRule="auto"/>
        <w:ind w:firstLine="480" w:firstLineChars="200"/>
        <w:jc w:val="both"/>
        <w:rPr>
          <w:rFonts w:hint="eastAsia"/>
          <w:lang w:val="en-US" w:eastAsia="zh-CN"/>
        </w:rPr>
      </w:pPr>
      <w:r>
        <w:rPr>
          <w:rFonts w:hint="eastAsia"/>
          <w:lang w:val="en-US" w:eastAsia="zh-CN"/>
        </w:rPr>
        <w:t>合肥循环经济示范园第二污水处理厂废水处理达到《巢湖流域城镇污水处理厂和工业行业主要水污染物排放限值》（DB34/2710-2016）中表2城镇污水处理厂排放限值及《城镇污水处理厂污染物排放标准》（GB18918-2002）一级A标准，氟化物参照《地表水环境质量标准》（GB3838-2002）III类标准后，尾水排入店埠河。</w:t>
      </w:r>
    </w:p>
    <w:p w14:paraId="2F6CC789">
      <w:pPr>
        <w:bidi w:val="0"/>
        <w:jc w:val="center"/>
        <w:rPr>
          <w:rFonts w:hint="eastAsia"/>
          <w:b/>
          <w:bCs/>
          <w:lang w:val="en-US" w:eastAsia="zh-CN"/>
        </w:rPr>
      </w:pPr>
      <w:r>
        <w:rPr>
          <w:rFonts w:hint="eastAsia"/>
          <w:b/>
          <w:bCs/>
          <w:lang w:val="en-US" w:eastAsia="zh-CN"/>
        </w:rPr>
        <w:t>表</w:t>
      </w:r>
      <w:r>
        <w:rPr>
          <w:rFonts w:hint="default"/>
          <w:b/>
          <w:bCs/>
          <w:lang w:val="en-US" w:eastAsia="zh-CN"/>
        </w:rPr>
        <w:t>7.2.</w:t>
      </w:r>
      <w:r>
        <w:rPr>
          <w:rFonts w:hint="eastAsia"/>
          <w:b/>
          <w:bCs/>
          <w:lang w:val="en-US" w:eastAsia="zh-CN"/>
        </w:rPr>
        <w:t>3-1 排放情况一览表（单位：mg/L）</w:t>
      </w:r>
    </w:p>
    <w:tbl>
      <w:tblPr>
        <w:tblStyle w:val="25"/>
        <w:tblW w:w="922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25"/>
        <w:gridCol w:w="782"/>
        <w:gridCol w:w="867"/>
        <w:gridCol w:w="840"/>
        <w:gridCol w:w="796"/>
        <w:gridCol w:w="854"/>
        <w:gridCol w:w="740"/>
        <w:gridCol w:w="683"/>
        <w:gridCol w:w="944"/>
        <w:gridCol w:w="852"/>
        <w:gridCol w:w="746"/>
      </w:tblGrid>
      <w:tr w14:paraId="64EBCF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125" w:type="dxa"/>
            <w:vAlign w:val="center"/>
          </w:tcPr>
          <w:p w14:paraId="5E03CAE7">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名称</w:t>
            </w:r>
          </w:p>
        </w:tc>
        <w:tc>
          <w:tcPr>
            <w:tcW w:w="782" w:type="dxa"/>
            <w:vAlign w:val="center"/>
          </w:tcPr>
          <w:p w14:paraId="08D25D9B">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pH</w:t>
            </w:r>
          </w:p>
        </w:tc>
        <w:tc>
          <w:tcPr>
            <w:tcW w:w="867" w:type="dxa"/>
            <w:vAlign w:val="center"/>
          </w:tcPr>
          <w:p w14:paraId="7EB05958">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COD</w:t>
            </w:r>
          </w:p>
        </w:tc>
        <w:tc>
          <w:tcPr>
            <w:tcW w:w="840" w:type="dxa"/>
            <w:vAlign w:val="center"/>
          </w:tcPr>
          <w:p w14:paraId="18C3C432">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BOD</w:t>
            </w:r>
            <w:r>
              <w:rPr>
                <w:rFonts w:hint="eastAsia"/>
                <w:b/>
                <w:bCs/>
                <w:sz w:val="21"/>
                <w:szCs w:val="21"/>
                <w:vertAlign w:val="subscript"/>
                <w:lang w:val="en-US" w:eastAsia="zh-CN"/>
              </w:rPr>
              <w:t>5</w:t>
            </w:r>
          </w:p>
        </w:tc>
        <w:tc>
          <w:tcPr>
            <w:tcW w:w="796" w:type="dxa"/>
            <w:vAlign w:val="center"/>
          </w:tcPr>
          <w:p w14:paraId="0DFF504B">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SS</w:t>
            </w:r>
          </w:p>
        </w:tc>
        <w:tc>
          <w:tcPr>
            <w:tcW w:w="854" w:type="dxa"/>
            <w:vAlign w:val="center"/>
          </w:tcPr>
          <w:p w14:paraId="67E74BA1">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NH</w:t>
            </w:r>
            <w:r>
              <w:rPr>
                <w:rFonts w:hint="eastAsia"/>
                <w:b/>
                <w:bCs/>
                <w:sz w:val="21"/>
                <w:szCs w:val="21"/>
                <w:vertAlign w:val="subscript"/>
                <w:lang w:val="en-US" w:eastAsia="zh-CN"/>
              </w:rPr>
              <w:t>3</w:t>
            </w:r>
            <w:r>
              <w:rPr>
                <w:rFonts w:hint="eastAsia"/>
                <w:b/>
                <w:bCs/>
                <w:sz w:val="21"/>
                <w:szCs w:val="21"/>
                <w:lang w:val="en-US" w:eastAsia="zh-CN"/>
              </w:rPr>
              <w:t>-N</w:t>
            </w:r>
          </w:p>
        </w:tc>
        <w:tc>
          <w:tcPr>
            <w:tcW w:w="740" w:type="dxa"/>
            <w:vAlign w:val="center"/>
          </w:tcPr>
          <w:p w14:paraId="6A5736D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TP</w:t>
            </w:r>
          </w:p>
        </w:tc>
        <w:tc>
          <w:tcPr>
            <w:tcW w:w="683" w:type="dxa"/>
            <w:vAlign w:val="center"/>
          </w:tcPr>
          <w:p w14:paraId="4CEF0A4F">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TN</w:t>
            </w:r>
          </w:p>
        </w:tc>
        <w:tc>
          <w:tcPr>
            <w:tcW w:w="944" w:type="dxa"/>
            <w:vAlign w:val="center"/>
          </w:tcPr>
          <w:p w14:paraId="6B88CE9C">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氟化物</w:t>
            </w:r>
          </w:p>
        </w:tc>
        <w:tc>
          <w:tcPr>
            <w:tcW w:w="852" w:type="dxa"/>
            <w:vAlign w:val="center"/>
          </w:tcPr>
          <w:p w14:paraId="4FDFB7C0">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氯化物</w:t>
            </w:r>
          </w:p>
        </w:tc>
        <w:tc>
          <w:tcPr>
            <w:tcW w:w="746" w:type="dxa"/>
            <w:vAlign w:val="center"/>
          </w:tcPr>
          <w:p w14:paraId="7618F69C">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b/>
                <w:bCs/>
                <w:sz w:val="21"/>
                <w:szCs w:val="21"/>
                <w:lang w:val="en-US" w:eastAsia="zh-CN"/>
              </w:rPr>
            </w:pPr>
            <w:r>
              <w:rPr>
                <w:rFonts w:hint="eastAsia"/>
                <w:b/>
                <w:bCs/>
                <w:sz w:val="21"/>
                <w:szCs w:val="21"/>
                <w:lang w:val="en-US" w:eastAsia="zh-CN"/>
              </w:rPr>
              <w:t>TDS</w:t>
            </w:r>
          </w:p>
        </w:tc>
      </w:tr>
      <w:tr w14:paraId="45AC23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1125" w:type="dxa"/>
            <w:vAlign w:val="center"/>
          </w:tcPr>
          <w:p w14:paraId="4DD0B7C2">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接管水质</w:t>
            </w:r>
          </w:p>
        </w:tc>
        <w:tc>
          <w:tcPr>
            <w:tcW w:w="782" w:type="dxa"/>
            <w:vAlign w:val="center"/>
          </w:tcPr>
          <w:p w14:paraId="2E0576CB">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6-9</w:t>
            </w:r>
          </w:p>
        </w:tc>
        <w:tc>
          <w:tcPr>
            <w:tcW w:w="867" w:type="dxa"/>
            <w:vAlign w:val="center"/>
          </w:tcPr>
          <w:p w14:paraId="575C6C8A">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≤150</w:t>
            </w:r>
          </w:p>
        </w:tc>
        <w:tc>
          <w:tcPr>
            <w:tcW w:w="840" w:type="dxa"/>
            <w:vAlign w:val="center"/>
          </w:tcPr>
          <w:p w14:paraId="12D77B2B">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w:t>
            </w:r>
          </w:p>
        </w:tc>
        <w:tc>
          <w:tcPr>
            <w:tcW w:w="796" w:type="dxa"/>
            <w:vAlign w:val="center"/>
          </w:tcPr>
          <w:p w14:paraId="0403B477">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≤140</w:t>
            </w:r>
          </w:p>
        </w:tc>
        <w:tc>
          <w:tcPr>
            <w:tcW w:w="854" w:type="dxa"/>
            <w:vAlign w:val="center"/>
          </w:tcPr>
          <w:p w14:paraId="02195661">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≤30</w:t>
            </w:r>
          </w:p>
        </w:tc>
        <w:tc>
          <w:tcPr>
            <w:tcW w:w="740" w:type="dxa"/>
            <w:vAlign w:val="center"/>
          </w:tcPr>
          <w:p w14:paraId="7FF0D51C">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≤2</w:t>
            </w:r>
          </w:p>
        </w:tc>
        <w:tc>
          <w:tcPr>
            <w:tcW w:w="683" w:type="dxa"/>
            <w:vAlign w:val="center"/>
          </w:tcPr>
          <w:p w14:paraId="7E8F536C">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≤40</w:t>
            </w:r>
          </w:p>
        </w:tc>
        <w:tc>
          <w:tcPr>
            <w:tcW w:w="944" w:type="dxa"/>
            <w:vAlign w:val="center"/>
          </w:tcPr>
          <w:p w14:paraId="1F40F269">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≤8</w:t>
            </w:r>
          </w:p>
        </w:tc>
        <w:tc>
          <w:tcPr>
            <w:tcW w:w="852" w:type="dxa"/>
            <w:vAlign w:val="center"/>
          </w:tcPr>
          <w:p w14:paraId="10FD30E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≤3000</w:t>
            </w:r>
          </w:p>
        </w:tc>
        <w:tc>
          <w:tcPr>
            <w:tcW w:w="746" w:type="dxa"/>
            <w:vAlign w:val="center"/>
          </w:tcPr>
          <w:p w14:paraId="3F36538D">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≤800</w:t>
            </w:r>
          </w:p>
          <w:p w14:paraId="41F2C11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0</w:t>
            </w:r>
          </w:p>
        </w:tc>
      </w:tr>
      <w:tr w14:paraId="32D5A3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1125" w:type="dxa"/>
            <w:vAlign w:val="center"/>
          </w:tcPr>
          <w:p w14:paraId="79F62FF7">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出水水质</w:t>
            </w:r>
          </w:p>
        </w:tc>
        <w:tc>
          <w:tcPr>
            <w:tcW w:w="782" w:type="dxa"/>
            <w:vAlign w:val="center"/>
          </w:tcPr>
          <w:p w14:paraId="772093C7">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6-9</w:t>
            </w:r>
          </w:p>
        </w:tc>
        <w:tc>
          <w:tcPr>
            <w:tcW w:w="867" w:type="dxa"/>
            <w:vAlign w:val="center"/>
          </w:tcPr>
          <w:p w14:paraId="6F3B7D08">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≤40</w:t>
            </w:r>
          </w:p>
        </w:tc>
        <w:tc>
          <w:tcPr>
            <w:tcW w:w="840" w:type="dxa"/>
            <w:vAlign w:val="center"/>
          </w:tcPr>
          <w:p w14:paraId="5C5D9FBF">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≤10</w:t>
            </w:r>
          </w:p>
        </w:tc>
        <w:tc>
          <w:tcPr>
            <w:tcW w:w="796" w:type="dxa"/>
            <w:vAlign w:val="center"/>
          </w:tcPr>
          <w:p w14:paraId="6D3458FC">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≤10</w:t>
            </w:r>
          </w:p>
        </w:tc>
        <w:tc>
          <w:tcPr>
            <w:tcW w:w="854" w:type="dxa"/>
            <w:vAlign w:val="center"/>
          </w:tcPr>
          <w:p w14:paraId="61C3715F">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≤2.0</w:t>
            </w:r>
          </w:p>
        </w:tc>
        <w:tc>
          <w:tcPr>
            <w:tcW w:w="740" w:type="dxa"/>
            <w:vAlign w:val="center"/>
          </w:tcPr>
          <w:p w14:paraId="5A28B359">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≤0.3</w:t>
            </w:r>
          </w:p>
        </w:tc>
        <w:tc>
          <w:tcPr>
            <w:tcW w:w="683" w:type="dxa"/>
            <w:vAlign w:val="center"/>
          </w:tcPr>
          <w:p w14:paraId="2D17526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≤10</w:t>
            </w:r>
          </w:p>
        </w:tc>
        <w:tc>
          <w:tcPr>
            <w:tcW w:w="944" w:type="dxa"/>
            <w:vAlign w:val="center"/>
          </w:tcPr>
          <w:p w14:paraId="1A539C3B">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≤1.0</w:t>
            </w:r>
          </w:p>
        </w:tc>
        <w:tc>
          <w:tcPr>
            <w:tcW w:w="852" w:type="dxa"/>
            <w:vAlign w:val="center"/>
          </w:tcPr>
          <w:p w14:paraId="21CC72C4">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w:t>
            </w:r>
          </w:p>
        </w:tc>
        <w:tc>
          <w:tcPr>
            <w:tcW w:w="746" w:type="dxa"/>
            <w:vAlign w:val="center"/>
          </w:tcPr>
          <w:p w14:paraId="58B1750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auto"/>
              <w:rPr>
                <w:rFonts w:hint="eastAsia"/>
                <w:sz w:val="21"/>
                <w:szCs w:val="21"/>
                <w:lang w:val="en-US" w:eastAsia="zh-CN"/>
              </w:rPr>
            </w:pPr>
            <w:r>
              <w:rPr>
                <w:rFonts w:hint="eastAsia"/>
                <w:sz w:val="21"/>
                <w:szCs w:val="21"/>
                <w:lang w:val="en-US" w:eastAsia="zh-CN"/>
              </w:rPr>
              <w:t>/</w:t>
            </w:r>
          </w:p>
        </w:tc>
      </w:tr>
    </w:tbl>
    <w:p w14:paraId="68D3E0B7">
      <w:pPr>
        <w:numPr>
          <w:ilvl w:val="0"/>
          <w:numId w:val="0"/>
        </w:numPr>
        <w:bidi w:val="0"/>
        <w:spacing w:line="360" w:lineRule="auto"/>
        <w:ind w:firstLine="480" w:firstLineChars="200"/>
        <w:jc w:val="both"/>
        <w:rPr>
          <w:rFonts w:hint="eastAsia"/>
          <w:lang w:val="en-US" w:eastAsia="zh-CN"/>
        </w:rPr>
      </w:pPr>
      <w:r>
        <w:rPr>
          <w:rFonts w:hint="eastAsia"/>
          <w:lang w:val="en-US" w:eastAsia="zh-CN"/>
        </w:rPr>
        <w:t>本项目新增废水污染物浓度能够满足合肥循环经济示范园第二污水处理厂接管限值要求，则废水排入合肥循环经济示范园第二污水处理厂可行。</w:t>
      </w:r>
    </w:p>
    <w:p w14:paraId="75EAF087">
      <w:pPr>
        <w:numPr>
          <w:ilvl w:val="0"/>
          <w:numId w:val="0"/>
        </w:numPr>
        <w:bidi w:val="0"/>
        <w:spacing w:line="360" w:lineRule="auto"/>
        <w:ind w:firstLine="480" w:firstLineChars="200"/>
        <w:jc w:val="both"/>
        <w:rPr>
          <w:rFonts w:hint="eastAsia"/>
          <w:lang w:val="en-US" w:eastAsia="zh-CN"/>
        </w:rPr>
      </w:pPr>
      <w:r>
        <w:rPr>
          <w:rFonts w:hint="eastAsia"/>
          <w:lang w:val="en-US" w:eastAsia="zh-CN"/>
        </w:rPr>
        <w:t>（4）接管水量可行性</w:t>
      </w:r>
    </w:p>
    <w:p w14:paraId="1522D969">
      <w:pPr>
        <w:numPr>
          <w:ilvl w:val="0"/>
          <w:numId w:val="0"/>
        </w:numPr>
        <w:bidi w:val="0"/>
        <w:spacing w:line="360" w:lineRule="auto"/>
        <w:ind w:firstLine="480" w:firstLineChars="200"/>
        <w:jc w:val="both"/>
        <w:rPr>
          <w:rFonts w:hint="eastAsia"/>
          <w:lang w:val="en-US" w:eastAsia="zh-CN"/>
        </w:rPr>
      </w:pPr>
      <w:r>
        <w:rPr>
          <w:rFonts w:hint="eastAsia"/>
          <w:color w:val="auto"/>
          <w:lang w:eastAsia="zh-CN"/>
        </w:rPr>
        <w:t>同期</w:t>
      </w:r>
      <w:r>
        <w:rPr>
          <w:rFonts w:hint="eastAsia"/>
          <w:color w:val="auto"/>
          <w:lang w:val="en-US" w:eastAsia="zh-CN"/>
        </w:rPr>
        <w:t>拟建项目“高效太阳能电池片213升级改造项目”和“高效太阳能电池片MAX改造项目”建成后全厂</w:t>
      </w:r>
      <w:r>
        <w:rPr>
          <w:rFonts w:hint="default"/>
          <w:lang w:val="en-US" w:eastAsia="zh-CN"/>
        </w:rPr>
        <w:t>废水</w:t>
      </w:r>
      <w:r>
        <w:rPr>
          <w:rFonts w:hint="eastAsia"/>
          <w:lang w:val="en-US" w:eastAsia="zh-CN"/>
        </w:rPr>
        <w:t>量为18296.0249</w:t>
      </w:r>
      <w:r>
        <w:rPr>
          <w:rFonts w:hint="default"/>
          <w:lang w:val="en-US" w:eastAsia="zh-CN"/>
        </w:rPr>
        <w:t>t/d</w:t>
      </w:r>
      <w:r>
        <w:rPr>
          <w:rFonts w:hint="eastAsia"/>
          <w:lang w:val="en-US" w:eastAsia="zh-CN"/>
        </w:rPr>
        <w:t>、采暖季，本次技改项目新增</w:t>
      </w:r>
      <w:r>
        <w:rPr>
          <w:rFonts w:hint="default"/>
          <w:lang w:val="en-US" w:eastAsia="zh-CN"/>
        </w:rPr>
        <w:t>废水</w:t>
      </w:r>
      <w:r>
        <w:rPr>
          <w:rFonts w:hint="eastAsia"/>
          <w:lang w:val="en-US" w:eastAsia="zh-CN"/>
        </w:rPr>
        <w:t>量为2.986</w:t>
      </w:r>
      <w:r>
        <w:rPr>
          <w:rFonts w:hint="default"/>
          <w:lang w:val="en-US" w:eastAsia="zh-CN"/>
        </w:rPr>
        <w:t>t/d</w:t>
      </w:r>
      <w:r>
        <w:rPr>
          <w:rFonts w:hint="eastAsia"/>
          <w:lang w:val="en-US" w:eastAsia="zh-CN"/>
        </w:rPr>
        <w:t>，不会对其处理能力造成冲击，在其设计考虑处理范围内，接管水量是可行的。</w:t>
      </w:r>
    </w:p>
    <w:p w14:paraId="52E9EACE">
      <w:pPr>
        <w:numPr>
          <w:ilvl w:val="0"/>
          <w:numId w:val="0"/>
        </w:numPr>
        <w:bidi w:val="0"/>
        <w:spacing w:line="360" w:lineRule="auto"/>
        <w:ind w:firstLine="480" w:firstLineChars="200"/>
        <w:jc w:val="both"/>
        <w:rPr>
          <w:rFonts w:hint="eastAsia"/>
          <w:lang w:val="en-US" w:eastAsia="zh-CN"/>
        </w:rPr>
      </w:pPr>
      <w:r>
        <w:rPr>
          <w:rFonts w:hint="eastAsia"/>
          <w:lang w:val="en-US" w:eastAsia="zh-CN"/>
        </w:rPr>
        <w:t>综上，从环境角度及技术可行性等项目废水处理方案可行。</w:t>
      </w:r>
    </w:p>
    <w:p w14:paraId="54B4C273">
      <w:pPr>
        <w:pStyle w:val="2"/>
        <w:bidi w:val="0"/>
        <w:rPr>
          <w:rFonts w:hint="eastAsia"/>
          <w:lang w:val="en-US" w:eastAsia="zh-CN"/>
        </w:rPr>
      </w:pPr>
      <w:bookmarkStart w:id="107" w:name="_Toc31626"/>
      <w:r>
        <w:rPr>
          <w:rFonts w:hint="eastAsia"/>
          <w:lang w:val="en-US" w:eastAsia="zh-CN"/>
        </w:rPr>
        <w:t>7.3</w:t>
      </w:r>
      <w:r>
        <w:rPr>
          <w:rFonts w:hint="default"/>
          <w:lang w:val="en-US" w:eastAsia="zh-CN"/>
        </w:rPr>
        <w:t xml:space="preserve"> 噪声污染防治</w:t>
      </w:r>
      <w:r>
        <w:rPr>
          <w:rFonts w:hint="eastAsia"/>
          <w:lang w:val="en-US" w:eastAsia="zh-CN"/>
        </w:rPr>
        <w:t>措施</w:t>
      </w:r>
      <w:bookmarkEnd w:id="107"/>
    </w:p>
    <w:p w14:paraId="3165EEC6">
      <w:pPr>
        <w:bidi w:val="0"/>
        <w:rPr>
          <w:rFonts w:hint="eastAsia"/>
          <w:b/>
          <w:bCs/>
          <w:lang w:val="en-US" w:eastAsia="zh-CN"/>
        </w:rPr>
      </w:pPr>
      <w:r>
        <w:rPr>
          <w:rFonts w:hint="eastAsia"/>
          <w:b/>
          <w:bCs/>
          <w:lang w:val="en-US" w:eastAsia="zh-CN"/>
        </w:rPr>
        <w:t>7.3.1 从噪声源采取的治理措施</w:t>
      </w:r>
    </w:p>
    <w:p w14:paraId="4F3E07D5">
      <w:pPr>
        <w:bidi w:val="0"/>
        <w:ind w:firstLine="480" w:firstLineChars="200"/>
        <w:rPr>
          <w:rFonts w:hint="eastAsia"/>
          <w:lang w:val="en-US" w:eastAsia="zh-CN"/>
        </w:rPr>
      </w:pPr>
      <w:r>
        <w:rPr>
          <w:rFonts w:hint="eastAsia"/>
          <w:lang w:val="en-US" w:eastAsia="zh-CN"/>
        </w:rPr>
        <w:t xml:space="preserve">本项目产生的噪声主要来自四分片钝化设备、风机、AC印刷、喷砂清洗机等，其声压级在65～85dB（A）之间。为减轻噪声对环境的影响，应从声源、传播途径等方面采取相应的措施。在进行平面总体布局时，将声源集中布置在厂房远离厂界的一侧，利用距离衰减降低噪声影响；在订购主要生产设备时应向生产厂家提出明确的限噪要求；在安装调试阶段应严格把关，提高安装精度；对声源上无法防治的噪声应采取有效的隔声、吸声和减振措施，对声功率级较强的生产设备加装隔声罩或消声器；对各种汽、水、通风管道应进行合理设计布置，考虑采取隔振和减振等措施来降低空气动力性噪声。 </w:t>
      </w:r>
    </w:p>
    <w:p w14:paraId="29DCAFF6">
      <w:pPr>
        <w:bidi w:val="0"/>
        <w:ind w:firstLine="480" w:firstLineChars="200"/>
        <w:rPr>
          <w:rFonts w:hint="eastAsia"/>
          <w:lang w:val="en-US" w:eastAsia="zh-CN"/>
        </w:rPr>
      </w:pPr>
      <w:r>
        <w:rPr>
          <w:rFonts w:hint="eastAsia"/>
          <w:lang w:val="en-US" w:eastAsia="zh-CN"/>
        </w:rPr>
        <w:t>本项目采取的具体的噪声污染防治措施如下：</w:t>
      </w:r>
    </w:p>
    <w:p w14:paraId="4B0DA66F">
      <w:pPr>
        <w:bidi w:val="0"/>
        <w:ind w:firstLine="480" w:firstLineChars="200"/>
        <w:rPr>
          <w:rFonts w:hint="eastAsia"/>
          <w:lang w:val="en-US" w:eastAsia="zh-CN"/>
        </w:rPr>
      </w:pPr>
      <w:r>
        <w:rPr>
          <w:rFonts w:hint="eastAsia"/>
          <w:lang w:val="en-US" w:eastAsia="zh-CN"/>
        </w:rPr>
        <w:t>（1）从声源上降低噪声</w:t>
      </w:r>
    </w:p>
    <w:p w14:paraId="4AEE0463">
      <w:pPr>
        <w:bidi w:val="0"/>
        <w:ind w:firstLine="480" w:firstLineChars="200"/>
        <w:rPr>
          <w:rFonts w:hint="eastAsia"/>
          <w:lang w:val="en-US" w:eastAsia="zh-CN"/>
        </w:rPr>
      </w:pPr>
      <w:r>
        <w:rPr>
          <w:rFonts w:hint="eastAsia"/>
          <w:lang w:val="en-US" w:eastAsia="zh-CN"/>
        </w:rPr>
        <w:t>①尽量选用低噪音的设备，做到合理选型，对供货厂商的设备产噪声和降噪水平要提出具体的限制；</w:t>
      </w:r>
    </w:p>
    <w:p w14:paraId="5FA8EBCD">
      <w:pPr>
        <w:bidi w:val="0"/>
        <w:ind w:firstLine="480" w:firstLineChars="200"/>
        <w:rPr>
          <w:rFonts w:hint="eastAsia"/>
          <w:lang w:val="en-US" w:eastAsia="zh-CN"/>
        </w:rPr>
      </w:pPr>
      <w:r>
        <w:rPr>
          <w:rFonts w:hint="eastAsia"/>
          <w:lang w:val="en-US" w:eastAsia="zh-CN"/>
        </w:rPr>
        <w:t>②改进机械设计以降低噪声，如改进设备的结构和形状，在设计中选用低噪声设备等；</w:t>
      </w:r>
    </w:p>
    <w:p w14:paraId="56CF5923">
      <w:pPr>
        <w:bidi w:val="0"/>
        <w:rPr>
          <w:rFonts w:hint="eastAsia"/>
          <w:b w:val="0"/>
          <w:bCs w:val="0"/>
          <w:lang w:val="en-US" w:eastAsia="zh-CN"/>
        </w:rPr>
      </w:pPr>
      <w:r>
        <w:rPr>
          <w:rFonts w:hint="eastAsia"/>
          <w:b w:val="0"/>
          <w:bCs w:val="0"/>
          <w:lang w:val="en-US" w:eastAsia="zh-CN"/>
        </w:rPr>
        <w:t>③强化生产管理，维持设备处于良好的运转状态，因设备运转不正常时噪声往往增高。</w:t>
      </w:r>
    </w:p>
    <w:p w14:paraId="5B08B558">
      <w:pPr>
        <w:bidi w:val="0"/>
        <w:ind w:firstLine="480" w:firstLineChars="200"/>
        <w:rPr>
          <w:rFonts w:hint="eastAsia"/>
          <w:b w:val="0"/>
          <w:bCs w:val="0"/>
          <w:lang w:val="en-US" w:eastAsia="zh-CN"/>
        </w:rPr>
      </w:pPr>
      <w:r>
        <w:rPr>
          <w:rFonts w:hint="eastAsia"/>
          <w:b w:val="0"/>
          <w:bCs w:val="0"/>
          <w:lang w:val="en-US" w:eastAsia="zh-CN"/>
        </w:rPr>
        <w:t>（2）在噪声传播途径上降低噪声</w:t>
      </w:r>
    </w:p>
    <w:p w14:paraId="364A08AB">
      <w:pPr>
        <w:bidi w:val="0"/>
        <w:ind w:firstLine="480" w:firstLineChars="200"/>
        <w:rPr>
          <w:rFonts w:hint="eastAsia"/>
          <w:b w:val="0"/>
          <w:bCs w:val="0"/>
          <w:lang w:val="en-US" w:eastAsia="zh-CN"/>
        </w:rPr>
      </w:pPr>
      <w:r>
        <w:rPr>
          <w:rFonts w:hint="eastAsia"/>
          <w:b w:val="0"/>
          <w:bCs w:val="0"/>
          <w:lang w:val="en-US" w:eastAsia="zh-CN"/>
        </w:rPr>
        <w:t>①在总图布置上采用“ 闹静分开”和“合理布局” 的设计原则，将高噪声设备尽可能远离噪声敏感区。</w:t>
      </w:r>
    </w:p>
    <w:p w14:paraId="7981EBD1">
      <w:pPr>
        <w:bidi w:val="0"/>
        <w:ind w:firstLine="480" w:firstLineChars="200"/>
        <w:rPr>
          <w:rFonts w:hint="eastAsia"/>
          <w:b w:val="0"/>
          <w:bCs w:val="0"/>
          <w:lang w:val="en-US" w:eastAsia="zh-CN"/>
        </w:rPr>
      </w:pPr>
      <w:r>
        <w:rPr>
          <w:rFonts w:hint="eastAsia"/>
          <w:b w:val="0"/>
          <w:bCs w:val="0"/>
          <w:lang w:val="en-US" w:eastAsia="zh-CN"/>
        </w:rPr>
        <w:t>②噪声控制措施</w:t>
      </w:r>
    </w:p>
    <w:p w14:paraId="1E19A9DA">
      <w:pPr>
        <w:bidi w:val="0"/>
        <w:ind w:firstLine="480" w:firstLineChars="200"/>
        <w:rPr>
          <w:rFonts w:hint="eastAsia"/>
          <w:b w:val="0"/>
          <w:bCs w:val="0"/>
          <w:lang w:val="en-US" w:eastAsia="zh-CN"/>
        </w:rPr>
      </w:pPr>
      <w:r>
        <w:rPr>
          <w:rFonts w:hint="eastAsia"/>
          <w:b w:val="0"/>
          <w:bCs w:val="0"/>
          <w:lang w:val="en-US" w:eastAsia="zh-CN"/>
        </w:rPr>
        <w:t>根据不同设备声源，采用消声、隔声和减振措施减少设备噪声对外环境影响。</w:t>
      </w:r>
    </w:p>
    <w:p w14:paraId="4E8964BF">
      <w:pPr>
        <w:bidi w:val="0"/>
        <w:rPr>
          <w:rFonts w:hint="eastAsia"/>
          <w:b/>
          <w:bCs/>
          <w:lang w:val="en-US" w:eastAsia="zh-CN"/>
        </w:rPr>
      </w:pPr>
      <w:r>
        <w:rPr>
          <w:rFonts w:hint="eastAsia"/>
          <w:b/>
          <w:bCs/>
          <w:lang w:val="en-US" w:eastAsia="zh-CN"/>
        </w:rPr>
        <w:t>7.3.2 从噪声传播途径上采取的治理措施</w:t>
      </w:r>
    </w:p>
    <w:p w14:paraId="52988D48">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（1）采用“闹静分开”和合理布局的设施原则，尽量将高噪声源远离厂界布置。</w:t>
      </w:r>
    </w:p>
    <w:p w14:paraId="05EE03CC">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（2）在满足工艺流程要求的前提下，高噪声设备宜相对集中，并尽量布置在厂房内。</w:t>
      </w:r>
    </w:p>
    <w:p w14:paraId="17F8920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（3）设备布置时，充分考虑其配用的噪声控制专用设备的安装和维修空间。</w:t>
      </w:r>
    </w:p>
    <w:p w14:paraId="3DCB744C">
      <w:pPr>
        <w:bidi w:val="0"/>
        <w:rPr>
          <w:rFonts w:hint="eastAsia"/>
          <w:b/>
          <w:bCs/>
          <w:lang w:val="en-US" w:eastAsia="zh-CN"/>
        </w:rPr>
      </w:pPr>
      <w:r>
        <w:rPr>
          <w:rFonts w:hint="eastAsia"/>
          <w:b/>
          <w:bCs/>
          <w:lang w:val="en-US" w:eastAsia="zh-CN"/>
        </w:rPr>
        <w:t>7.3.3 其他治理措施</w:t>
      </w:r>
    </w:p>
    <w:p w14:paraId="6A033B28">
      <w:pPr>
        <w:bidi w:val="0"/>
        <w:ind w:firstLine="480" w:firstLineChars="200"/>
        <w:rPr>
          <w:rFonts w:hint="eastAsia"/>
          <w:lang w:val="en-US" w:eastAsia="zh-CN"/>
        </w:rPr>
      </w:pPr>
      <w:r>
        <w:rPr>
          <w:rFonts w:hint="eastAsia"/>
          <w:lang w:val="en-US" w:eastAsia="zh-CN"/>
        </w:rPr>
        <w:t>（1）厂区加强绿化，在厂界四周设置绿化带以起到降噪的作用；</w:t>
      </w:r>
    </w:p>
    <w:p w14:paraId="35E2244B">
      <w:pPr>
        <w:bidi w:val="0"/>
        <w:ind w:firstLine="480" w:firstLineChars="200"/>
        <w:rPr>
          <w:rFonts w:hint="eastAsia"/>
          <w:lang w:val="en-US" w:eastAsia="zh-CN"/>
        </w:rPr>
      </w:pPr>
      <w:r>
        <w:rPr>
          <w:rFonts w:hint="eastAsia"/>
          <w:lang w:val="en-US" w:eastAsia="zh-CN"/>
        </w:rPr>
        <w:t>（2）加强设备维护，确保设备处于良好的运转状态，杜绝因设备不正常运转时产生的高噪声现象。</w:t>
      </w:r>
    </w:p>
    <w:p w14:paraId="0565F7EB">
      <w:pPr>
        <w:bidi w:val="0"/>
        <w:ind w:firstLine="480" w:firstLineChars="200"/>
        <w:rPr>
          <w:rFonts w:hint="eastAsia"/>
          <w:lang w:val="en-US" w:eastAsia="zh-CN"/>
        </w:rPr>
      </w:pPr>
      <w:r>
        <w:rPr>
          <w:rFonts w:hint="eastAsia"/>
          <w:lang w:val="en-US" w:eastAsia="zh-CN"/>
        </w:rPr>
        <w:t>声环境影响预测结果表明，本项目采取以上噪声防治措施后，运营期各厂界的噪声值可以达到《工业企业厂界环境噪声排放标准》（GB12348-2008）中3类标准的限值要求。因此，本项目拟采取的噪声防治措施是可行的。</w:t>
      </w:r>
    </w:p>
    <w:p w14:paraId="429C06DD">
      <w:pPr>
        <w:numPr>
          <w:ilvl w:val="0"/>
          <w:numId w:val="0"/>
        </w:numPr>
        <w:bidi w:val="0"/>
        <w:spacing w:line="360" w:lineRule="auto"/>
        <w:ind w:firstLine="480" w:firstLineChars="200"/>
        <w:jc w:val="both"/>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76C0A270">
      <w:pPr>
        <w:pStyle w:val="2"/>
        <w:bidi w:val="0"/>
        <w:rPr>
          <w:rFonts w:hint="default"/>
          <w:lang w:val="en-US" w:eastAsia="zh-CN"/>
        </w:rPr>
      </w:pPr>
      <w:bookmarkStart w:id="108" w:name="_Toc249852994"/>
      <w:bookmarkStart w:id="109" w:name="_Toc326604958"/>
      <w:bookmarkStart w:id="110" w:name="_Toc16193"/>
      <w:bookmarkStart w:id="111" w:name="_Toc326606155"/>
      <w:bookmarkStart w:id="112" w:name="_Toc252347681"/>
      <w:bookmarkStart w:id="113" w:name="_Toc2229"/>
      <w:bookmarkStart w:id="114" w:name="_Toc326604423"/>
      <w:bookmarkStart w:id="115" w:name="_Toc326606491"/>
      <w:r>
        <w:rPr>
          <w:rFonts w:hint="default"/>
          <w:lang w:val="en-US" w:eastAsia="zh-CN"/>
        </w:rPr>
        <w:t>7.4 固废污染防治</w:t>
      </w:r>
      <w:bookmarkEnd w:id="108"/>
      <w:r>
        <w:rPr>
          <w:rFonts w:hint="default"/>
          <w:lang w:val="en-US" w:eastAsia="zh-CN"/>
        </w:rPr>
        <w:t>措施</w:t>
      </w:r>
      <w:bookmarkEnd w:id="109"/>
      <w:bookmarkEnd w:id="110"/>
      <w:bookmarkEnd w:id="111"/>
      <w:bookmarkEnd w:id="112"/>
      <w:bookmarkEnd w:id="113"/>
      <w:bookmarkEnd w:id="114"/>
      <w:bookmarkEnd w:id="115"/>
    </w:p>
    <w:p w14:paraId="1AF64A94">
      <w:pPr>
        <w:numPr>
          <w:ilvl w:val="0"/>
          <w:numId w:val="0"/>
        </w:numPr>
        <w:bidi w:val="0"/>
        <w:spacing w:line="360" w:lineRule="auto"/>
        <w:ind w:firstLine="480" w:firstLineChars="200"/>
        <w:jc w:val="both"/>
        <w:rPr>
          <w:rFonts w:hint="default"/>
          <w:lang w:val="en-US" w:eastAsia="zh-CN"/>
        </w:rPr>
      </w:pPr>
      <w:r>
        <w:rPr>
          <w:rFonts w:hint="eastAsia"/>
          <w:b w:val="0"/>
          <w:bCs w:val="0"/>
          <w:color w:val="auto"/>
          <w:lang w:val="en-US" w:eastAsia="zh-CN"/>
        </w:rPr>
        <w:t>本次技改项目营运期新增的固体废物主要包括碎电池片、喷砂碎屑、废玻璃砂、废布袋、布袋除尘器收集到的粉尘、废包装桶、废印刷网版、废活性炭等，</w:t>
      </w:r>
      <w:r>
        <w:rPr>
          <w:rFonts w:hint="default"/>
          <w:lang w:val="en-US" w:eastAsia="zh-CN"/>
        </w:rPr>
        <w:t>运营期间固废产生情况见下表。</w:t>
      </w:r>
    </w:p>
    <w:p w14:paraId="0E462461">
      <w:pPr>
        <w:bidi w:val="0"/>
        <w:jc w:val="center"/>
        <w:rPr>
          <w:rFonts w:hint="default"/>
          <w:b/>
          <w:bCs/>
          <w:lang w:val="en-US" w:eastAsia="zh-CN"/>
        </w:rPr>
      </w:pPr>
      <w:r>
        <w:rPr>
          <w:rFonts w:hint="default"/>
          <w:b/>
          <w:bCs/>
          <w:lang w:val="en-US" w:eastAsia="zh-CN"/>
        </w:rPr>
        <w:t>表</w:t>
      </w:r>
      <w:r>
        <w:rPr>
          <w:rFonts w:hint="eastAsia"/>
          <w:b/>
          <w:bCs/>
          <w:lang w:val="en-US" w:eastAsia="zh-CN"/>
        </w:rPr>
        <w:t>7.4-</w:t>
      </w:r>
      <w:r>
        <w:rPr>
          <w:rFonts w:hint="default"/>
          <w:b/>
          <w:bCs/>
          <w:lang w:val="en-US" w:eastAsia="zh-CN"/>
        </w:rPr>
        <w:t>1 本项目固废产生及处置情况</w:t>
      </w:r>
    </w:p>
    <w:tbl>
      <w:tblPr>
        <w:tblStyle w:val="17"/>
        <w:tblW w:w="5082" w:type="pct"/>
        <w:tblInd w:w="0" w:type="dxa"/>
        <w:tblLayout w:type="fixed"/>
        <w:tblCellMar>
          <w:top w:w="0" w:type="dxa"/>
          <w:left w:w="0" w:type="dxa"/>
          <w:bottom w:w="0" w:type="dxa"/>
          <w:right w:w="0" w:type="dxa"/>
        </w:tblCellMar>
      </w:tblPr>
      <w:tblGrid>
        <w:gridCol w:w="475"/>
        <w:gridCol w:w="1010"/>
        <w:gridCol w:w="970"/>
        <w:gridCol w:w="949"/>
        <w:gridCol w:w="514"/>
        <w:gridCol w:w="824"/>
        <w:gridCol w:w="800"/>
        <w:gridCol w:w="450"/>
        <w:gridCol w:w="594"/>
        <w:gridCol w:w="596"/>
        <w:gridCol w:w="544"/>
        <w:gridCol w:w="1270"/>
        <w:gridCol w:w="537"/>
      </w:tblGrid>
      <w:tr w14:paraId="14D29263">
        <w:tblPrEx>
          <w:tblCellMar>
            <w:top w:w="0" w:type="dxa"/>
            <w:left w:w="0" w:type="dxa"/>
            <w:bottom w:w="0" w:type="dxa"/>
            <w:right w:w="0" w:type="dxa"/>
          </w:tblCellMar>
        </w:tblPrEx>
        <w:trPr>
          <w:trHeight w:val="871"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2BCCBF1">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序号</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588CCF2">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产生环节</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57C202D">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固体废</w:t>
            </w:r>
          </w:p>
          <w:p w14:paraId="02B13D29">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物名称</w:t>
            </w:r>
          </w:p>
        </w:tc>
        <w:tc>
          <w:tcPr>
            <w:tcW w:w="142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FA005E8">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固体废</w:t>
            </w:r>
          </w:p>
          <w:p w14:paraId="5A77D5DF">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物属性</w:t>
            </w: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5341B61">
            <w:pPr>
              <w:widowControl/>
              <w:spacing w:line="240" w:lineRule="auto"/>
              <w:jc w:val="center"/>
              <w:textAlignment w:val="center"/>
              <w:rPr>
                <w:rFonts w:hint="default" w:ascii="Times New Roman" w:hAnsi="Times New Roman" w:cs="Times New Roman"/>
                <w:b/>
                <w:bCs/>
                <w:color w:val="auto"/>
                <w:kern w:val="0"/>
                <w:sz w:val="21"/>
                <w:szCs w:val="21"/>
                <w:lang w:eastAsia="zh-CN" w:bidi="ar"/>
              </w:rPr>
            </w:pPr>
            <w:r>
              <w:rPr>
                <w:rFonts w:hint="default" w:ascii="Times New Roman" w:hAnsi="Times New Roman" w:cs="Times New Roman"/>
                <w:b/>
                <w:bCs/>
                <w:color w:val="auto"/>
                <w:kern w:val="0"/>
                <w:sz w:val="21"/>
                <w:szCs w:val="21"/>
                <w:lang w:eastAsia="zh-CN" w:bidi="ar"/>
              </w:rPr>
              <w:t>废物</w:t>
            </w:r>
          </w:p>
          <w:p w14:paraId="420BC167">
            <w:pPr>
              <w:widowControl/>
              <w:spacing w:line="240" w:lineRule="auto"/>
              <w:jc w:val="center"/>
              <w:textAlignment w:val="center"/>
              <w:rPr>
                <w:rFonts w:hint="default" w:ascii="Times New Roman" w:hAnsi="Times New Roman" w:eastAsia="宋体" w:cs="Times New Roman"/>
                <w:b/>
                <w:bCs/>
                <w:color w:val="auto"/>
                <w:kern w:val="0"/>
                <w:sz w:val="21"/>
                <w:szCs w:val="21"/>
                <w:lang w:eastAsia="zh-CN" w:bidi="ar"/>
              </w:rPr>
            </w:pPr>
            <w:r>
              <w:rPr>
                <w:rFonts w:hint="default" w:ascii="Times New Roman" w:hAnsi="Times New Roman" w:cs="Times New Roman"/>
                <w:b/>
                <w:bCs/>
                <w:color w:val="auto"/>
                <w:kern w:val="0"/>
                <w:sz w:val="21"/>
                <w:szCs w:val="21"/>
                <w:lang w:eastAsia="zh-CN" w:bidi="ar"/>
              </w:rPr>
              <w:t>类别</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C85D582">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固废代码</w:t>
            </w:r>
          </w:p>
        </w:tc>
        <w:tc>
          <w:tcPr>
            <w:tcW w:w="120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8BA4814">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主要有毒</w:t>
            </w:r>
          </w:p>
          <w:p w14:paraId="75BDCC5D">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有害物质</w:t>
            </w:r>
          </w:p>
        </w:tc>
        <w:tc>
          <w:tcPr>
            <w:tcW w:w="67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AA29780">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物理</w:t>
            </w:r>
          </w:p>
          <w:p w14:paraId="29B7E026">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性状</w:t>
            </w:r>
          </w:p>
        </w:tc>
        <w:tc>
          <w:tcPr>
            <w:tcW w:w="892" w:type="dxa"/>
            <w:tcBorders>
              <w:top w:val="single" w:color="000000" w:sz="4" w:space="0"/>
              <w:left w:val="single" w:color="auto" w:sz="4" w:space="0"/>
              <w:bottom w:val="single" w:color="000000" w:sz="4" w:space="0"/>
              <w:right w:val="single" w:color="000000" w:sz="4" w:space="0"/>
            </w:tcBorders>
            <w:noWrap w:val="0"/>
            <w:tcMar>
              <w:top w:w="12" w:type="dxa"/>
              <w:left w:w="12" w:type="dxa"/>
              <w:right w:w="12" w:type="dxa"/>
            </w:tcMar>
            <w:vAlign w:val="center"/>
          </w:tcPr>
          <w:p w14:paraId="307F4AF6">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环境</w:t>
            </w:r>
          </w:p>
          <w:p w14:paraId="70792330">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危险性</w:t>
            </w:r>
          </w:p>
        </w:tc>
        <w:tc>
          <w:tcPr>
            <w:tcW w:w="89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3F98E27F">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产生量（t/a）</w:t>
            </w:r>
          </w:p>
        </w:tc>
        <w:tc>
          <w:tcPr>
            <w:tcW w:w="817"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43CCC7F5">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贮存</w:t>
            </w:r>
          </w:p>
          <w:p w14:paraId="4E54318C">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方式</w:t>
            </w:r>
          </w:p>
        </w:tc>
        <w:tc>
          <w:tcPr>
            <w:tcW w:w="19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243A5CA7">
            <w:pPr>
              <w:widowControl/>
              <w:spacing w:line="240" w:lineRule="auto"/>
              <w:jc w:val="center"/>
              <w:textAlignment w:val="center"/>
              <w:rPr>
                <w:rFonts w:hint="default" w:ascii="Times New Roman" w:hAnsi="Times New Roman" w:cs="Times New Roman"/>
                <w:b/>
                <w:bCs/>
                <w:color w:val="auto"/>
                <w:kern w:val="0"/>
                <w:sz w:val="21"/>
                <w:szCs w:val="21"/>
                <w:lang w:bidi="ar"/>
              </w:rPr>
            </w:pPr>
            <w:r>
              <w:rPr>
                <w:rFonts w:hint="default" w:ascii="Times New Roman" w:hAnsi="Times New Roman" w:cs="Times New Roman"/>
                <w:b/>
                <w:bCs/>
                <w:color w:val="auto"/>
                <w:kern w:val="0"/>
                <w:sz w:val="21"/>
                <w:szCs w:val="21"/>
                <w:lang w:bidi="ar"/>
              </w:rPr>
              <w:t>处置/利用</w:t>
            </w:r>
          </w:p>
          <w:p w14:paraId="41D71BD0">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方式</w:t>
            </w:r>
          </w:p>
        </w:tc>
        <w:tc>
          <w:tcPr>
            <w:tcW w:w="80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5D672CA5">
            <w:pPr>
              <w:widowControl/>
              <w:spacing w:line="240" w:lineRule="auto"/>
              <w:jc w:val="center"/>
              <w:textAlignment w:val="center"/>
              <w:rPr>
                <w:rFonts w:hint="default" w:ascii="Times New Roman" w:hAnsi="Times New Roman" w:cs="Times New Roman"/>
                <w:b/>
                <w:bCs/>
                <w:color w:val="auto"/>
                <w:sz w:val="21"/>
                <w:szCs w:val="21"/>
              </w:rPr>
            </w:pPr>
            <w:r>
              <w:rPr>
                <w:rFonts w:hint="default" w:ascii="Times New Roman" w:hAnsi="Times New Roman" w:cs="Times New Roman"/>
                <w:b/>
                <w:bCs/>
                <w:color w:val="auto"/>
                <w:kern w:val="0"/>
                <w:sz w:val="21"/>
                <w:szCs w:val="21"/>
                <w:lang w:bidi="ar"/>
              </w:rPr>
              <w:t>利用/处置量（t/a）</w:t>
            </w:r>
          </w:p>
        </w:tc>
      </w:tr>
      <w:tr w14:paraId="601F7266">
        <w:tblPrEx>
          <w:tblCellMar>
            <w:top w:w="0" w:type="dxa"/>
            <w:left w:w="0" w:type="dxa"/>
            <w:bottom w:w="0" w:type="dxa"/>
            <w:right w:w="0" w:type="dxa"/>
          </w:tblCellMar>
        </w:tblPrEx>
        <w:trPr>
          <w:trHeight w:val="305"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1335CED">
            <w:pPr>
              <w:widowControl/>
              <w:spacing w:line="240" w:lineRule="auto"/>
              <w:jc w:val="center"/>
              <w:textAlignment w:val="center"/>
              <w:rPr>
                <w:rFonts w:hint="default" w:ascii="Times New Roman" w:hAnsi="Times New Roman" w:cs="Times New Roman"/>
                <w:color w:val="auto"/>
                <w:sz w:val="21"/>
                <w:szCs w:val="21"/>
              </w:rPr>
            </w:pPr>
            <w:r>
              <w:rPr>
                <w:rFonts w:hint="default" w:ascii="Times New Roman" w:hAnsi="Times New Roman" w:cs="Times New Roman"/>
                <w:color w:val="auto"/>
                <w:kern w:val="0"/>
                <w:sz w:val="21"/>
                <w:szCs w:val="21"/>
                <w:lang w:bidi="ar"/>
              </w:rPr>
              <w:t>1</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962C59C">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default" w:ascii="Times New Roman" w:hAnsi="Times New Roman" w:eastAsia="宋体" w:cs="宋体"/>
                <w:b w:val="0"/>
                <w:bCs w:val="0"/>
                <w:color w:val="auto"/>
                <w:sz w:val="21"/>
                <w:szCs w:val="21"/>
                <w:lang w:val="en-US" w:eastAsia="zh-CN" w:bidi="ar-SA"/>
              </w:rPr>
              <w:t>ME激光开模、激光划片、四分片钝化</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A011E0C">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报废电池片</w:t>
            </w:r>
          </w:p>
        </w:tc>
        <w:tc>
          <w:tcPr>
            <w:tcW w:w="1425" w:type="dxa"/>
            <w:vMerge w:val="restart"/>
            <w:tcBorders>
              <w:top w:val="single" w:color="auto" w:sz="4" w:space="0"/>
              <w:left w:val="single" w:color="auto" w:sz="4" w:space="0"/>
              <w:right w:val="single" w:color="auto" w:sz="4" w:space="0"/>
            </w:tcBorders>
            <w:shd w:val="clear" w:color="auto" w:fill="auto"/>
            <w:noWrap w:val="0"/>
            <w:tcMar>
              <w:top w:w="12" w:type="dxa"/>
              <w:left w:w="12" w:type="dxa"/>
              <w:right w:w="12" w:type="dxa"/>
            </w:tcMar>
            <w:vAlign w:val="center"/>
          </w:tcPr>
          <w:p w14:paraId="0D128914">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val="en-US" w:eastAsia="zh-CN" w:bidi="ar-SA"/>
              </w:rPr>
              <w:t>一般固废</w:t>
            </w: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9E79F72">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228E90E">
            <w:pPr>
              <w:adjustRightInd w:val="0"/>
              <w:snapToGrid w:val="0"/>
              <w:spacing w:line="240" w:lineRule="auto"/>
              <w:jc w:val="center"/>
              <w:rPr>
                <w:rFonts w:hint="default" w:ascii="Times New Roman" w:hAnsi="Times New Roman" w:eastAsia="宋体" w:cs="Times New Roman"/>
                <w:color w:val="auto"/>
                <w:sz w:val="21"/>
                <w:szCs w:val="21"/>
                <w:lang w:val="en-US" w:eastAsia="zh-CN" w:bidi="ar-SA"/>
              </w:rPr>
            </w:pPr>
            <w:r>
              <w:rPr>
                <w:rFonts w:hint="eastAsia"/>
                <w:color w:val="auto"/>
                <w:kern w:val="0"/>
                <w:sz w:val="21"/>
                <w:szCs w:val="21"/>
                <w:lang w:val="en-US" w:eastAsia="zh-CN" w:bidi="ar"/>
              </w:rPr>
              <w:t>382-001-</w:t>
            </w:r>
            <w:r>
              <w:rPr>
                <w:color w:val="auto"/>
                <w:kern w:val="0"/>
                <w:sz w:val="21"/>
                <w:szCs w:val="21"/>
                <w:lang w:bidi="ar"/>
              </w:rPr>
              <w:t>14</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4FBF143">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5D48641">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531AF387">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6E22CB8C">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5</w:t>
            </w:r>
          </w:p>
        </w:tc>
        <w:tc>
          <w:tcPr>
            <w:tcW w:w="817" w:type="dxa"/>
            <w:vMerge w:val="restart"/>
            <w:tcBorders>
              <w:top w:val="single" w:color="000000" w:sz="4" w:space="0"/>
              <w:left w:val="single" w:color="000000" w:sz="4" w:space="0"/>
              <w:right w:val="single" w:color="000000" w:sz="4" w:space="0"/>
            </w:tcBorders>
            <w:noWrap w:val="0"/>
            <w:tcMar>
              <w:top w:w="12" w:type="dxa"/>
              <w:left w:w="12" w:type="dxa"/>
              <w:right w:w="12" w:type="dxa"/>
            </w:tcMar>
            <w:vAlign w:val="center"/>
          </w:tcPr>
          <w:p w14:paraId="52A0656E">
            <w:pPr>
              <w:widowControl/>
              <w:spacing w:line="240" w:lineRule="auto"/>
              <w:jc w:val="center"/>
              <w:textAlignment w:val="center"/>
              <w:rPr>
                <w:rFonts w:hint="eastAsia"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rPr>
              <w:t>贮存在一般固废</w:t>
            </w:r>
            <w:r>
              <w:rPr>
                <w:rFonts w:hint="eastAsia" w:ascii="Times New Roman" w:hAnsi="Times New Roman" w:cs="Times New Roman"/>
                <w:color w:val="auto"/>
                <w:sz w:val="21"/>
                <w:szCs w:val="21"/>
                <w:lang w:eastAsia="zh-CN"/>
              </w:rPr>
              <w:t>仓库</w:t>
            </w:r>
          </w:p>
        </w:tc>
        <w:tc>
          <w:tcPr>
            <w:tcW w:w="1906" w:type="dxa"/>
            <w:vMerge w:val="restart"/>
            <w:tcBorders>
              <w:top w:val="single" w:color="000000" w:sz="4" w:space="0"/>
              <w:left w:val="single" w:color="000000" w:sz="4" w:space="0"/>
              <w:right w:val="single" w:color="auto" w:sz="4" w:space="0"/>
            </w:tcBorders>
            <w:noWrap w:val="0"/>
            <w:tcMar>
              <w:top w:w="12" w:type="dxa"/>
              <w:left w:w="12" w:type="dxa"/>
              <w:right w:w="12" w:type="dxa"/>
            </w:tcMar>
            <w:vAlign w:val="center"/>
          </w:tcPr>
          <w:p w14:paraId="16C9AC44">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cs="Times New Roman"/>
                <w:color w:val="auto"/>
                <w:sz w:val="21"/>
                <w:szCs w:val="21"/>
                <w:lang w:eastAsia="zh-CN"/>
              </w:rPr>
              <w:t>回收单位</w:t>
            </w:r>
            <w:r>
              <w:rPr>
                <w:rFonts w:hint="default" w:ascii="Times New Roman" w:hAnsi="Times New Roman" w:cs="Times New Roman"/>
                <w:color w:val="auto"/>
                <w:sz w:val="21"/>
                <w:szCs w:val="21"/>
              </w:rPr>
              <w:t>回收利用</w:t>
            </w: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2C929BCC">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5</w:t>
            </w:r>
          </w:p>
        </w:tc>
      </w:tr>
      <w:tr w14:paraId="0B30AC1B">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E0B7553">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2</w:t>
            </w:r>
          </w:p>
        </w:tc>
        <w:tc>
          <w:tcPr>
            <w:tcW w:w="1516" w:type="dxa"/>
            <w:vMerge w:val="restart"/>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6BC9B0A">
            <w:pPr>
              <w:widowControl w:val="0"/>
              <w:spacing w:line="240" w:lineRule="auto"/>
              <w:jc w:val="center"/>
              <w:rPr>
                <w:rFonts w:hint="default"/>
                <w:b w:val="0"/>
                <w:bCs w:val="0"/>
                <w:color w:val="auto"/>
                <w:sz w:val="21"/>
                <w:szCs w:val="21"/>
                <w:lang w:val="en-US" w:eastAsia="zh-CN"/>
              </w:rPr>
            </w:pPr>
            <w:r>
              <w:rPr>
                <w:rFonts w:hint="default"/>
                <w:b w:val="0"/>
                <w:bCs w:val="0"/>
                <w:color w:val="auto"/>
                <w:sz w:val="21"/>
                <w:szCs w:val="21"/>
                <w:lang w:val="en-US" w:eastAsia="zh-CN"/>
              </w:rPr>
              <w:t>四分片钝化铝板、真空泵清洗</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5CDC219">
            <w:pPr>
              <w:widowControl w:val="0"/>
              <w:spacing w:line="240" w:lineRule="auto"/>
              <w:jc w:val="center"/>
              <w:rPr>
                <w:rFonts w:hint="eastAsia"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喷砂碎屑</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6E5B34B2">
            <w:pPr>
              <w:widowControl/>
              <w:spacing w:line="240" w:lineRule="auto"/>
              <w:jc w:val="center"/>
              <w:textAlignment w:val="center"/>
              <w:rPr>
                <w:rFonts w:hint="eastAsia" w:ascii="Times New Roman" w:hAnsi="Times New Roman"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E0E1FBE">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84B0C41">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2706E4D">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8524E2A">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2592434E">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41C4EF15">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0.2</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4EC23940">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2534ED3C">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390F0513">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0.2</w:t>
            </w:r>
          </w:p>
        </w:tc>
      </w:tr>
      <w:tr w14:paraId="16DA0E79">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7D7CBA6">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3</w:t>
            </w:r>
          </w:p>
        </w:tc>
        <w:tc>
          <w:tcPr>
            <w:tcW w:w="1516" w:type="dxa"/>
            <w:vMerge w:val="continue"/>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2306068">
            <w:pPr>
              <w:widowControl w:val="0"/>
              <w:spacing w:line="240" w:lineRule="auto"/>
              <w:jc w:val="center"/>
              <w:rPr>
                <w:rFonts w:hint="default"/>
                <w:b w:val="0"/>
                <w:bCs w:val="0"/>
                <w:color w:val="auto"/>
                <w:sz w:val="21"/>
                <w:szCs w:val="21"/>
                <w:lang w:val="en-US" w:eastAsia="zh-CN"/>
              </w:rPr>
            </w:pP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B3756D4">
            <w:pPr>
              <w:widowControl w:val="0"/>
              <w:spacing w:line="240" w:lineRule="auto"/>
              <w:jc w:val="center"/>
              <w:rPr>
                <w:rFonts w:hint="eastAsia"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废玻璃砂</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45BD8C09">
            <w:pPr>
              <w:widowControl/>
              <w:spacing w:line="240" w:lineRule="auto"/>
              <w:jc w:val="center"/>
              <w:textAlignment w:val="center"/>
              <w:rPr>
                <w:rFonts w:hint="eastAsia" w:ascii="Times New Roman" w:hAnsi="Times New Roman"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7FE1325">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7B3D8A6">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43C7440">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97ED29E">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7C7D2382">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31683C1E">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3</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2C34F321">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750EC3CC">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09DB5FD5">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3</w:t>
            </w:r>
          </w:p>
        </w:tc>
      </w:tr>
      <w:tr w14:paraId="29D40F50">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6AEB240">
            <w:pPr>
              <w:widowControl/>
              <w:spacing w:line="240" w:lineRule="auto"/>
              <w:jc w:val="center"/>
              <w:textAlignment w:val="center"/>
              <w:rPr>
                <w:rFonts w:hint="default" w:cs="Times New Roman"/>
                <w:color w:val="auto"/>
                <w:kern w:val="0"/>
                <w:sz w:val="21"/>
                <w:szCs w:val="21"/>
                <w:lang w:val="en-US" w:eastAsia="zh-CN" w:bidi="ar"/>
              </w:rPr>
            </w:pPr>
            <w:r>
              <w:rPr>
                <w:rFonts w:hint="eastAsia" w:cs="Times New Roman"/>
                <w:color w:val="auto"/>
                <w:kern w:val="0"/>
                <w:sz w:val="21"/>
                <w:szCs w:val="21"/>
                <w:lang w:val="en-US" w:eastAsia="zh-CN" w:bidi="ar"/>
              </w:rPr>
              <w:t>4</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7CEE700">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AF7299B">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color w:val="auto"/>
                <w:spacing w:val="0"/>
                <w:w w:val="100"/>
                <w:position w:val="0"/>
                <w:sz w:val="21"/>
                <w:szCs w:val="21"/>
                <w:lang w:val="en-US" w:eastAsia="zh-CN"/>
              </w:rPr>
              <w:t>废布袋</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59A65EE5">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5626FF4">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E57EB3A">
            <w:pPr>
              <w:adjustRightInd w:val="0"/>
              <w:snapToGrid w:val="0"/>
              <w:spacing w:line="240" w:lineRule="auto"/>
              <w:jc w:val="center"/>
              <w:rPr>
                <w:rFonts w:hint="eastAsia" w:ascii="Times New Roman" w:hAnsi="Times New Roman" w:eastAsia="宋体" w:cs="Times New Roman"/>
                <w:color w:val="auto"/>
                <w:sz w:val="21"/>
                <w:szCs w:val="21"/>
                <w:lang w:val="en-US" w:eastAsia="zh-CN" w:bidi="ar-SA"/>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DB078AC">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EBB2C66">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009FD56A">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000000" w:sz="4" w:space="0"/>
              <w:left w:val="single" w:color="000000" w:sz="4" w:space="0"/>
              <w:bottom w:val="single" w:color="auto" w:sz="4" w:space="0"/>
              <w:right w:val="single" w:color="000000" w:sz="4" w:space="0"/>
            </w:tcBorders>
            <w:noWrap w:val="0"/>
            <w:tcMar>
              <w:top w:w="12" w:type="dxa"/>
              <w:left w:w="12" w:type="dxa"/>
              <w:right w:w="12" w:type="dxa"/>
            </w:tcMar>
            <w:vAlign w:val="center"/>
          </w:tcPr>
          <w:p w14:paraId="3E66BC6C">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cs="Times New Roman"/>
                <w:color w:val="auto"/>
                <w:sz w:val="21"/>
                <w:szCs w:val="21"/>
                <w:lang w:val="en-US" w:eastAsia="zh-CN"/>
              </w:rPr>
              <w:t>0.7</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485A315B">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359E7D6B">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000000" w:sz="4" w:space="0"/>
              <w:left w:val="single" w:color="auto" w:sz="4" w:space="0"/>
              <w:bottom w:val="single" w:color="auto" w:sz="4" w:space="0"/>
              <w:right w:val="single" w:color="000000" w:sz="4" w:space="0"/>
            </w:tcBorders>
            <w:shd w:val="clear" w:color="auto" w:fill="auto"/>
            <w:noWrap w:val="0"/>
            <w:tcMar>
              <w:top w:w="12" w:type="dxa"/>
              <w:left w:w="12" w:type="dxa"/>
              <w:right w:w="12" w:type="dxa"/>
            </w:tcMar>
            <w:vAlign w:val="center"/>
          </w:tcPr>
          <w:p w14:paraId="44365F1F">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0.7</w:t>
            </w:r>
          </w:p>
        </w:tc>
      </w:tr>
      <w:tr w14:paraId="6A978F74">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E9EDED3">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5</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64794C5">
            <w:pPr>
              <w:widowControl w:val="0"/>
              <w:spacing w:line="240" w:lineRule="auto"/>
              <w:jc w:val="center"/>
              <w:rPr>
                <w:rFonts w:hint="default"/>
                <w:b w:val="0"/>
                <w:bCs w:val="0"/>
                <w:color w:val="auto"/>
                <w:sz w:val="21"/>
                <w:szCs w:val="21"/>
                <w:lang w:val="en-US" w:eastAsia="zh-CN"/>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25C15F4">
            <w:pPr>
              <w:widowControl w:val="0"/>
              <w:spacing w:line="240" w:lineRule="auto"/>
              <w:jc w:val="center"/>
              <w:rPr>
                <w:rFonts w:hint="eastAsia"/>
                <w:b w:val="0"/>
                <w:bCs w:val="0"/>
                <w:color w:val="auto"/>
                <w:sz w:val="21"/>
                <w:szCs w:val="21"/>
                <w:lang w:val="en-US" w:eastAsia="zh-CN"/>
              </w:rPr>
            </w:pPr>
            <w:r>
              <w:rPr>
                <w:rFonts w:hint="eastAsia"/>
                <w:b w:val="0"/>
                <w:bCs w:val="0"/>
                <w:color w:val="auto"/>
                <w:sz w:val="21"/>
                <w:szCs w:val="21"/>
                <w:lang w:val="en-US" w:eastAsia="zh-CN"/>
              </w:rPr>
              <w:t>除尘器收集粉尘</w:t>
            </w:r>
          </w:p>
        </w:tc>
        <w:tc>
          <w:tcPr>
            <w:tcW w:w="1425" w:type="dxa"/>
            <w:vMerge w:val="continue"/>
            <w:tcBorders>
              <w:left w:val="single" w:color="auto" w:sz="4" w:space="0"/>
              <w:right w:val="single" w:color="auto" w:sz="4" w:space="0"/>
            </w:tcBorders>
            <w:noWrap w:val="0"/>
            <w:tcMar>
              <w:top w:w="12" w:type="dxa"/>
              <w:left w:w="12" w:type="dxa"/>
              <w:right w:w="12" w:type="dxa"/>
            </w:tcMar>
            <w:vAlign w:val="center"/>
          </w:tcPr>
          <w:p w14:paraId="040CBA43">
            <w:pPr>
              <w:widowControl/>
              <w:spacing w:line="240" w:lineRule="auto"/>
              <w:jc w:val="center"/>
              <w:textAlignment w:val="center"/>
              <w:rPr>
                <w:rFonts w:hint="default" w:ascii="Times New Roman" w:hAnsi="Times New Roman" w:cs="Times New Roman"/>
                <w:color w:val="auto"/>
                <w:sz w:val="21"/>
                <w:szCs w:val="21"/>
              </w:rPr>
            </w:pP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783A241">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4F6D35F9">
            <w:pPr>
              <w:adjustRightInd w:val="0"/>
              <w:snapToGrid w:val="0"/>
              <w:spacing w:line="240" w:lineRule="auto"/>
              <w:jc w:val="center"/>
              <w:rPr>
                <w:rFonts w:hint="default" w:ascii="Times New Roman" w:hAnsi="Times New Roman" w:eastAsia="宋体" w:cs="Times New Roman"/>
                <w:color w:val="auto"/>
                <w:sz w:val="21"/>
                <w:szCs w:val="21"/>
                <w:lang w:val="en-US" w:eastAsia="zh-CN"/>
              </w:rPr>
            </w:pPr>
            <w:r>
              <w:rPr>
                <w:rFonts w:hint="eastAsia"/>
                <w:color w:val="auto"/>
                <w:kern w:val="0"/>
                <w:sz w:val="21"/>
                <w:szCs w:val="21"/>
                <w:lang w:val="en-US" w:eastAsia="zh-CN" w:bidi="ar"/>
              </w:rPr>
              <w:t>382-001-</w:t>
            </w:r>
            <w:r>
              <w:rPr>
                <w:color w:val="auto"/>
                <w:kern w:val="0"/>
                <w:sz w:val="21"/>
                <w:szCs w:val="21"/>
                <w:lang w:bidi="ar"/>
              </w:rPr>
              <w:t>66</w:t>
            </w:r>
          </w:p>
        </w:tc>
        <w:tc>
          <w:tcPr>
            <w:tcW w:w="120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C40E65E">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EBB95AE">
            <w:pPr>
              <w:widowControl/>
              <w:spacing w:line="240" w:lineRule="auto"/>
              <w:jc w:val="center"/>
              <w:textAlignment w:val="center"/>
              <w:rPr>
                <w:rFonts w:hint="default" w:ascii="Times New Roman" w:hAnsi="Times New Roman" w:cs="Times New Roman"/>
                <w:color w:val="auto"/>
                <w:sz w:val="21"/>
                <w:szCs w:val="21"/>
                <w:lang w:eastAsia="zh-CN"/>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A9F531B">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2A94E77">
            <w:pPr>
              <w:widowControl/>
              <w:spacing w:line="240" w:lineRule="auto"/>
              <w:jc w:val="center"/>
              <w:textAlignment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4.982</w:t>
            </w:r>
          </w:p>
        </w:tc>
        <w:tc>
          <w:tcPr>
            <w:tcW w:w="817" w:type="dxa"/>
            <w:vMerge w:val="continue"/>
            <w:tcBorders>
              <w:left w:val="single" w:color="000000" w:sz="4" w:space="0"/>
              <w:right w:val="single" w:color="000000" w:sz="4" w:space="0"/>
            </w:tcBorders>
            <w:noWrap w:val="0"/>
            <w:tcMar>
              <w:top w:w="12" w:type="dxa"/>
              <w:left w:w="12" w:type="dxa"/>
              <w:right w:w="12" w:type="dxa"/>
            </w:tcMar>
            <w:vAlign w:val="center"/>
          </w:tcPr>
          <w:p w14:paraId="5AAC977C">
            <w:pPr>
              <w:widowControl/>
              <w:spacing w:line="240" w:lineRule="auto"/>
              <w:jc w:val="center"/>
              <w:textAlignment w:val="center"/>
              <w:rPr>
                <w:rFonts w:hint="default" w:ascii="Times New Roman" w:hAnsi="Times New Roman" w:cs="Times New Roman"/>
                <w:color w:val="auto"/>
                <w:sz w:val="21"/>
                <w:szCs w:val="21"/>
              </w:rPr>
            </w:pPr>
          </w:p>
        </w:tc>
        <w:tc>
          <w:tcPr>
            <w:tcW w:w="1906" w:type="dxa"/>
            <w:vMerge w:val="continue"/>
            <w:tcBorders>
              <w:left w:val="single" w:color="000000" w:sz="4" w:space="0"/>
              <w:right w:val="single" w:color="auto" w:sz="4" w:space="0"/>
            </w:tcBorders>
            <w:noWrap w:val="0"/>
            <w:tcMar>
              <w:top w:w="12" w:type="dxa"/>
              <w:left w:w="12" w:type="dxa"/>
              <w:right w:w="12" w:type="dxa"/>
            </w:tcMar>
            <w:vAlign w:val="center"/>
          </w:tcPr>
          <w:p w14:paraId="39776F52">
            <w:pPr>
              <w:widowControl/>
              <w:spacing w:line="240" w:lineRule="auto"/>
              <w:jc w:val="center"/>
              <w:textAlignment w:val="center"/>
              <w:rPr>
                <w:rFonts w:hint="eastAsia" w:ascii="Times New Roman" w:hAnsi="Times New Roman" w:cs="Times New Roman"/>
                <w:color w:val="auto"/>
                <w:sz w:val="21"/>
                <w:szCs w:val="21"/>
                <w:lang w:eastAsia="zh-CN"/>
              </w:rPr>
            </w:pP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701E96C">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sz w:val="21"/>
                <w:szCs w:val="21"/>
                <w:lang w:val="en-US" w:eastAsia="zh-CN" w:bidi="ar-SA"/>
              </w:rPr>
              <w:t>4.982</w:t>
            </w:r>
          </w:p>
        </w:tc>
      </w:tr>
      <w:tr w14:paraId="17E7EEDD">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ED79AF5">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6</w:t>
            </w:r>
          </w:p>
        </w:tc>
        <w:tc>
          <w:tcPr>
            <w:tcW w:w="151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4926142">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AC印刷</w:t>
            </w:r>
          </w:p>
        </w:tc>
        <w:tc>
          <w:tcPr>
            <w:tcW w:w="145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C92E55A">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color w:val="auto"/>
                <w:spacing w:val="0"/>
                <w:w w:val="100"/>
                <w:position w:val="0"/>
                <w:sz w:val="21"/>
                <w:szCs w:val="21"/>
                <w:lang w:val="en-US" w:eastAsia="zh-CN"/>
              </w:rPr>
              <w:t>废包装桶（银包铜浆料）</w:t>
            </w:r>
          </w:p>
        </w:tc>
        <w:tc>
          <w:tcPr>
            <w:tcW w:w="1425" w:type="dxa"/>
            <w:vMerge w:val="continue"/>
            <w:tcBorders>
              <w:left w:val="single" w:color="auto" w:sz="4" w:space="0"/>
              <w:right w:val="single" w:color="auto" w:sz="4" w:space="0"/>
            </w:tcBorders>
            <w:shd w:val="clear" w:color="auto" w:fill="auto"/>
            <w:noWrap w:val="0"/>
            <w:tcMar>
              <w:top w:w="12" w:type="dxa"/>
              <w:left w:w="12" w:type="dxa"/>
              <w:right w:w="12" w:type="dxa"/>
            </w:tcMar>
            <w:vAlign w:val="center"/>
          </w:tcPr>
          <w:p w14:paraId="2F2F801D">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374CA1B0">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7D7BBC4">
            <w:pPr>
              <w:adjustRightInd w:val="0"/>
              <w:spacing w:line="240" w:lineRule="auto"/>
              <w:jc w:val="center"/>
              <w:rPr>
                <w:rFonts w:hint="eastAsia" w:ascii="Times New Roman" w:hAnsi="Times New Roman" w:eastAsia="宋体" w:cs="Times New Roman"/>
                <w:snapToGrid w:val="0"/>
                <w:color w:val="auto"/>
                <w:sz w:val="21"/>
                <w:szCs w:val="21"/>
                <w:lang w:val="en-US" w:eastAsia="zh-CN" w:bidi="ar-SA"/>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46E99DED">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80AF207">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988DFA6">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0BF2B61">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2</w:t>
            </w:r>
          </w:p>
        </w:tc>
        <w:tc>
          <w:tcPr>
            <w:tcW w:w="817" w:type="dxa"/>
            <w:vMerge w:val="continue"/>
            <w:tcBorders>
              <w:left w:val="single" w:color="000000" w:sz="4" w:space="0"/>
              <w:right w:val="single" w:color="000000" w:sz="4" w:space="0"/>
            </w:tcBorders>
            <w:shd w:val="clear" w:color="auto" w:fill="auto"/>
            <w:noWrap w:val="0"/>
            <w:tcMar>
              <w:top w:w="12" w:type="dxa"/>
              <w:left w:w="12" w:type="dxa"/>
              <w:right w:w="12" w:type="dxa"/>
            </w:tcMar>
            <w:vAlign w:val="center"/>
          </w:tcPr>
          <w:p w14:paraId="57BCD275">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p>
        </w:tc>
        <w:tc>
          <w:tcPr>
            <w:tcW w:w="1906" w:type="dxa"/>
            <w:vMerge w:val="continue"/>
            <w:tcBorders>
              <w:left w:val="single" w:color="000000" w:sz="4" w:space="0"/>
              <w:bottom w:val="single" w:color="auto" w:sz="4" w:space="0"/>
              <w:right w:val="single" w:color="auto" w:sz="4" w:space="0"/>
            </w:tcBorders>
            <w:shd w:val="clear" w:color="auto" w:fill="auto"/>
            <w:noWrap w:val="0"/>
            <w:tcMar>
              <w:top w:w="12" w:type="dxa"/>
              <w:left w:w="12" w:type="dxa"/>
              <w:right w:w="12" w:type="dxa"/>
            </w:tcMar>
            <w:vAlign w:val="center"/>
          </w:tcPr>
          <w:p w14:paraId="650310AA">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69C7D6A">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cs="Times New Roman"/>
                <w:color w:val="auto"/>
                <w:sz w:val="21"/>
                <w:szCs w:val="21"/>
                <w:lang w:val="en-US" w:eastAsia="zh-CN"/>
              </w:rPr>
              <w:t>2</w:t>
            </w:r>
          </w:p>
        </w:tc>
      </w:tr>
      <w:tr w14:paraId="41366108">
        <w:tblPrEx>
          <w:tblCellMar>
            <w:top w:w="0" w:type="dxa"/>
            <w:left w:w="0" w:type="dxa"/>
            <w:bottom w:w="0" w:type="dxa"/>
            <w:right w:w="0" w:type="dxa"/>
          </w:tblCellMar>
        </w:tblPrEx>
        <w:trPr>
          <w:trHeight w:val="306" w:hRule="atLeast"/>
        </w:trPr>
        <w:tc>
          <w:tcPr>
            <w:tcW w:w="713"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B9E28B9">
            <w:pPr>
              <w:widowControl/>
              <w:spacing w:line="240" w:lineRule="auto"/>
              <w:jc w:val="center"/>
              <w:textAlignment w:val="center"/>
              <w:rPr>
                <w:rFonts w:hint="eastAsia" w:ascii="Times New Roman" w:hAnsi="Times New Roman" w:eastAsia="宋体" w:cs="Times New Roman"/>
                <w:color w:val="auto"/>
                <w:kern w:val="0"/>
                <w:sz w:val="21"/>
                <w:szCs w:val="21"/>
                <w:lang w:val="en-US" w:eastAsia="zh-CN" w:bidi="ar"/>
              </w:rPr>
            </w:pPr>
            <w:r>
              <w:rPr>
                <w:rFonts w:hint="eastAsia" w:cs="Times New Roman"/>
                <w:color w:val="auto"/>
                <w:kern w:val="0"/>
                <w:sz w:val="21"/>
                <w:szCs w:val="21"/>
                <w:lang w:val="en-US" w:eastAsia="zh-CN" w:bidi="ar"/>
              </w:rPr>
              <w:t>7</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BDF2D54">
            <w:pPr>
              <w:widowControl w:val="0"/>
              <w:spacing w:line="240" w:lineRule="auto"/>
              <w:jc w:val="center"/>
              <w:rPr>
                <w:rFonts w:hint="eastAsia"/>
                <w:b w:val="0"/>
                <w:bCs w:val="0"/>
                <w:color w:val="auto"/>
                <w:sz w:val="21"/>
                <w:szCs w:val="21"/>
                <w:lang w:val="en-US" w:eastAsia="zh-CN"/>
              </w:rPr>
            </w:pPr>
            <w:r>
              <w:rPr>
                <w:rFonts w:hint="eastAsia"/>
                <w:b w:val="0"/>
                <w:bCs w:val="0"/>
                <w:color w:val="auto"/>
                <w:sz w:val="21"/>
                <w:szCs w:val="21"/>
                <w:lang w:val="en-US" w:eastAsia="zh-CN"/>
              </w:rPr>
              <w:t>AC印刷</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209F9C7D">
            <w:pPr>
              <w:widowControl w:val="0"/>
              <w:spacing w:line="240" w:lineRule="auto"/>
              <w:jc w:val="center"/>
              <w:rPr>
                <w:rFonts w:hint="default"/>
                <w:b w:val="0"/>
                <w:bCs w:val="0"/>
                <w:color w:val="auto"/>
                <w:sz w:val="21"/>
                <w:szCs w:val="21"/>
                <w:lang w:val="en-US" w:eastAsia="zh-CN"/>
              </w:rPr>
            </w:pPr>
            <w:r>
              <w:rPr>
                <w:rFonts w:hint="eastAsia"/>
                <w:b w:val="0"/>
                <w:bCs w:val="0"/>
                <w:color w:val="auto"/>
                <w:sz w:val="21"/>
                <w:szCs w:val="21"/>
                <w:lang w:val="en-US" w:eastAsia="zh-CN"/>
              </w:rPr>
              <w:t>废印刷网版</w:t>
            </w:r>
          </w:p>
        </w:tc>
        <w:tc>
          <w:tcPr>
            <w:tcW w:w="1425" w:type="dxa"/>
            <w:vMerge w:val="continue"/>
            <w:tcBorders>
              <w:left w:val="single" w:color="auto" w:sz="4" w:space="0"/>
              <w:bottom w:val="single" w:color="auto" w:sz="4" w:space="0"/>
              <w:right w:val="single" w:color="auto" w:sz="4" w:space="0"/>
            </w:tcBorders>
            <w:noWrap w:val="0"/>
            <w:tcMar>
              <w:top w:w="12" w:type="dxa"/>
              <w:left w:w="12" w:type="dxa"/>
              <w:right w:w="12" w:type="dxa"/>
            </w:tcMar>
            <w:vAlign w:val="center"/>
          </w:tcPr>
          <w:p w14:paraId="6242364B">
            <w:pPr>
              <w:widowControl/>
              <w:spacing w:line="240" w:lineRule="auto"/>
              <w:jc w:val="center"/>
              <w:textAlignment w:val="center"/>
              <w:rPr>
                <w:rFonts w:hint="default" w:ascii="Times New Roman" w:hAnsi="Times New Roman" w:cs="Times New Roman"/>
                <w:color w:val="auto"/>
                <w:sz w:val="21"/>
                <w:szCs w:val="21"/>
              </w:rPr>
            </w:pPr>
          </w:p>
        </w:tc>
        <w:tc>
          <w:tcPr>
            <w:tcW w:w="771"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74895DA">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rPr>
            </w:pPr>
            <w:r>
              <w:rPr>
                <w:rFonts w:hint="default" w:ascii="Times New Roman" w:hAnsi="Times New Roman" w:eastAsia="宋体" w:cs="Times New Roman"/>
                <w:bCs/>
                <w:color w:val="auto"/>
                <w:kern w:val="0"/>
                <w:sz w:val="21"/>
                <w:szCs w:val="21"/>
                <w:lang w:val="en-US" w:eastAsia="zh-CN"/>
              </w:rPr>
              <w:t>/</w:t>
            </w:r>
          </w:p>
        </w:tc>
        <w:tc>
          <w:tcPr>
            <w:tcW w:w="123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0F351CC">
            <w:pPr>
              <w:adjustRightInd w:val="0"/>
              <w:snapToGrid w:val="0"/>
              <w:spacing w:line="240" w:lineRule="auto"/>
              <w:jc w:val="center"/>
              <w:rPr>
                <w:rFonts w:hint="eastAsia"/>
                <w:color w:val="auto"/>
                <w:kern w:val="0"/>
                <w:sz w:val="21"/>
                <w:szCs w:val="21"/>
                <w:lang w:val="en-US" w:eastAsia="zh-CN" w:bidi="ar"/>
              </w:rPr>
            </w:pPr>
            <w:r>
              <w:rPr>
                <w:rFonts w:hint="eastAsia"/>
                <w:color w:val="auto"/>
                <w:kern w:val="0"/>
                <w:sz w:val="21"/>
                <w:szCs w:val="21"/>
                <w:lang w:val="en-US" w:eastAsia="zh-CN" w:bidi="ar"/>
              </w:rPr>
              <w:t>382-001-99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7606749">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4C34E3D">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固态</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36BC175">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rPr>
              <w:t>/</w:t>
            </w:r>
          </w:p>
        </w:tc>
        <w:tc>
          <w:tcPr>
            <w:tcW w:w="89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BD6E4D0">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8</w:t>
            </w:r>
          </w:p>
        </w:tc>
        <w:tc>
          <w:tcPr>
            <w:tcW w:w="817" w:type="dxa"/>
            <w:vMerge w:val="continue"/>
            <w:tcBorders>
              <w:left w:val="single" w:color="000000" w:sz="4" w:space="0"/>
              <w:bottom w:val="single" w:color="auto" w:sz="4" w:space="0"/>
              <w:right w:val="single" w:color="000000" w:sz="4" w:space="0"/>
            </w:tcBorders>
            <w:noWrap w:val="0"/>
            <w:tcMar>
              <w:top w:w="12" w:type="dxa"/>
              <w:left w:w="12" w:type="dxa"/>
              <w:right w:w="12" w:type="dxa"/>
            </w:tcMar>
            <w:vAlign w:val="center"/>
          </w:tcPr>
          <w:p w14:paraId="73923D69">
            <w:pPr>
              <w:widowControl/>
              <w:spacing w:line="240" w:lineRule="auto"/>
              <w:jc w:val="center"/>
              <w:textAlignment w:val="center"/>
              <w:rPr>
                <w:rFonts w:hint="default" w:ascii="Times New Roman" w:hAnsi="Times New Roman" w:cs="Times New Roman"/>
                <w:color w:val="auto"/>
                <w:sz w:val="21"/>
                <w:szCs w:val="21"/>
              </w:rPr>
            </w:pPr>
          </w:p>
        </w:tc>
        <w:tc>
          <w:tcPr>
            <w:tcW w:w="190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1ED127DE">
            <w:pPr>
              <w:widowControl/>
              <w:spacing w:line="240" w:lineRule="auto"/>
              <w:jc w:val="center"/>
              <w:textAlignment w:val="center"/>
              <w:rPr>
                <w:rFonts w:hint="eastAsia" w:ascii="Times New Roman" w:hAnsi="Times New Roman" w:cs="Times New Roman"/>
                <w:color w:val="auto"/>
                <w:sz w:val="21"/>
                <w:szCs w:val="21"/>
                <w:lang w:eastAsia="zh-CN"/>
              </w:rPr>
            </w:pPr>
            <w:r>
              <w:rPr>
                <w:rFonts w:hint="eastAsia"/>
                <w:sz w:val="21"/>
                <w:szCs w:val="21"/>
                <w:lang w:val="en-US" w:eastAsia="zh-CN"/>
              </w:rPr>
              <w:t>交由厂家回收利用</w:t>
            </w: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709F97C">
            <w:pPr>
              <w:widowControl/>
              <w:spacing w:line="240" w:lineRule="auto"/>
              <w:jc w:val="center"/>
              <w:textAlignment w:val="center"/>
              <w:rPr>
                <w:rFonts w:hint="eastAsia"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8</w:t>
            </w:r>
          </w:p>
        </w:tc>
      </w:tr>
      <w:tr w14:paraId="2DC0A46F">
        <w:tblPrEx>
          <w:tblCellMar>
            <w:top w:w="0" w:type="dxa"/>
            <w:left w:w="0" w:type="dxa"/>
            <w:bottom w:w="0" w:type="dxa"/>
            <w:right w:w="0" w:type="dxa"/>
          </w:tblCellMar>
        </w:tblPrEx>
        <w:trPr>
          <w:trHeight w:val="305" w:hRule="atLeast"/>
        </w:trPr>
        <w:tc>
          <w:tcPr>
            <w:tcW w:w="713"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5CF0D400">
            <w:pPr>
              <w:widowControl/>
              <w:spacing w:line="240" w:lineRule="auto"/>
              <w:jc w:val="center"/>
              <w:textAlignment w:val="center"/>
              <w:rPr>
                <w:rFonts w:hint="default" w:ascii="Times New Roman" w:hAnsi="Times New Roman" w:eastAsia="宋体" w:cs="Times New Roman"/>
                <w:color w:val="auto"/>
                <w:kern w:val="0"/>
                <w:sz w:val="21"/>
                <w:szCs w:val="21"/>
                <w:lang w:val="en-US" w:eastAsia="zh-CN" w:bidi="ar"/>
              </w:rPr>
            </w:pPr>
            <w:r>
              <w:rPr>
                <w:rFonts w:hint="eastAsia" w:ascii="Times New Roman" w:hAnsi="Times New Roman" w:eastAsia="宋体" w:cs="Times New Roman"/>
                <w:color w:val="auto"/>
                <w:kern w:val="0"/>
                <w:sz w:val="21"/>
                <w:szCs w:val="21"/>
                <w:lang w:val="en-US" w:eastAsia="zh-CN" w:bidi="ar"/>
              </w:rPr>
              <w:t>8</w:t>
            </w:r>
          </w:p>
        </w:tc>
        <w:tc>
          <w:tcPr>
            <w:tcW w:w="151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DF69BDE">
            <w:pPr>
              <w:widowControl w:val="0"/>
              <w:spacing w:line="240" w:lineRule="auto"/>
              <w:jc w:val="center"/>
              <w:rPr>
                <w:rFonts w:hint="default" w:ascii="Times New Roman" w:hAnsi="Times New Roman" w:eastAsia="宋体" w:cs="宋体"/>
                <w:b w:val="0"/>
                <w:bCs w:val="0"/>
                <w:color w:val="auto"/>
                <w:sz w:val="21"/>
                <w:szCs w:val="21"/>
                <w:lang w:val="en-US" w:eastAsia="zh-CN" w:bidi="ar-SA"/>
              </w:rPr>
            </w:pPr>
            <w:r>
              <w:rPr>
                <w:rFonts w:hint="eastAsia"/>
                <w:b w:val="0"/>
                <w:bCs w:val="0"/>
                <w:color w:val="auto"/>
                <w:sz w:val="21"/>
                <w:szCs w:val="21"/>
                <w:lang w:val="en-US" w:eastAsia="zh-CN"/>
              </w:rPr>
              <w:t>废气处理</w:t>
            </w:r>
          </w:p>
        </w:tc>
        <w:tc>
          <w:tcPr>
            <w:tcW w:w="145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3A91D362">
            <w:pPr>
              <w:widowControl w:val="0"/>
              <w:spacing w:line="240" w:lineRule="auto"/>
              <w:jc w:val="center"/>
              <w:rPr>
                <w:rFonts w:hint="eastAsia" w:ascii="Times New Roman" w:hAnsi="Times New Roman" w:eastAsia="宋体" w:cs="宋体"/>
                <w:color w:val="auto"/>
                <w:spacing w:val="0"/>
                <w:w w:val="100"/>
                <w:position w:val="0"/>
                <w:sz w:val="21"/>
                <w:szCs w:val="21"/>
                <w:lang w:val="en-US" w:eastAsia="zh-CN" w:bidi="ar-SA"/>
              </w:rPr>
            </w:pPr>
            <w:r>
              <w:rPr>
                <w:rFonts w:hint="eastAsia"/>
                <w:b w:val="0"/>
                <w:bCs w:val="0"/>
                <w:color w:val="auto"/>
                <w:sz w:val="21"/>
                <w:szCs w:val="21"/>
                <w:lang w:val="en-US" w:eastAsia="zh-CN"/>
              </w:rPr>
              <w:t>废活性炭</w:t>
            </w:r>
          </w:p>
        </w:tc>
        <w:tc>
          <w:tcPr>
            <w:tcW w:w="1425"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73768B32">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eastAsia" w:ascii="Times New Roman" w:hAnsi="Times New Roman" w:cs="Times New Roman"/>
                <w:color w:val="auto"/>
                <w:sz w:val="21"/>
                <w:szCs w:val="21"/>
                <w:lang w:val="en-US" w:eastAsia="zh-CN"/>
              </w:rPr>
              <w:t>危险废物</w:t>
            </w:r>
          </w:p>
        </w:tc>
        <w:tc>
          <w:tcPr>
            <w:tcW w:w="77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47F0C34">
            <w:pPr>
              <w:adjustRightInd w:val="0"/>
              <w:snapToGrid w:val="0"/>
              <w:spacing w:line="240" w:lineRule="auto"/>
              <w:jc w:val="center"/>
              <w:rPr>
                <w:rFonts w:hint="default" w:ascii="Times New Roman" w:hAnsi="Times New Roman" w:eastAsia="宋体" w:cs="Times New Roman"/>
                <w:bCs/>
                <w:color w:val="auto"/>
                <w:kern w:val="0"/>
                <w:sz w:val="21"/>
                <w:szCs w:val="21"/>
                <w:lang w:val="en-US" w:eastAsia="zh-CN" w:bidi="ar-SA"/>
              </w:rPr>
            </w:pPr>
            <w:r>
              <w:rPr>
                <w:rFonts w:hint="eastAsia" w:ascii="Times New Roman" w:hAnsi="Times New Roman" w:eastAsia="宋体" w:cs="Times New Roman"/>
                <w:bCs/>
                <w:color w:val="auto"/>
                <w:kern w:val="0"/>
                <w:sz w:val="21"/>
                <w:szCs w:val="21"/>
                <w:lang w:val="en-US" w:eastAsia="zh-CN"/>
              </w:rPr>
              <w:t>HW49</w:t>
            </w:r>
          </w:p>
        </w:tc>
        <w:tc>
          <w:tcPr>
            <w:tcW w:w="1237"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5725C3E4">
            <w:pPr>
              <w:adjustRightInd w:val="0"/>
              <w:snapToGrid w:val="0"/>
              <w:spacing w:line="240" w:lineRule="auto"/>
              <w:jc w:val="center"/>
              <w:rPr>
                <w:rFonts w:hint="default" w:ascii="Times New Roman" w:hAnsi="Times New Roman" w:eastAsia="宋体" w:cs="Times New Roman"/>
                <w:color w:val="auto"/>
                <w:sz w:val="21"/>
                <w:szCs w:val="21"/>
                <w:lang w:val="en-US" w:eastAsia="zh-CN" w:bidi="ar-SA"/>
              </w:rPr>
            </w:pPr>
            <w:r>
              <w:rPr>
                <w:rFonts w:ascii="Times New Roman" w:hAnsi="Times New Roman" w:eastAsia="宋体" w:cs="Times New Roman"/>
                <w:snapToGrid w:val="0"/>
                <w:color w:val="auto"/>
                <w:sz w:val="21"/>
                <w:szCs w:val="21"/>
              </w:rPr>
              <w:t>900-0</w:t>
            </w:r>
            <w:r>
              <w:rPr>
                <w:rFonts w:hint="eastAsia" w:cs="Times New Roman"/>
                <w:snapToGrid w:val="0"/>
                <w:color w:val="auto"/>
                <w:sz w:val="21"/>
                <w:szCs w:val="21"/>
                <w:lang w:val="en-US" w:eastAsia="zh-CN"/>
              </w:rPr>
              <w:t>39</w:t>
            </w:r>
            <w:r>
              <w:rPr>
                <w:rFonts w:ascii="Times New Roman" w:hAnsi="Times New Roman" w:eastAsia="宋体" w:cs="Times New Roman"/>
                <w:snapToGrid w:val="0"/>
                <w:color w:val="auto"/>
                <w:sz w:val="21"/>
                <w:szCs w:val="21"/>
              </w:rPr>
              <w:t>-49</w:t>
            </w:r>
          </w:p>
        </w:tc>
        <w:tc>
          <w:tcPr>
            <w:tcW w:w="1201"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2991D97B">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rFonts w:hint="eastAsia" w:ascii="Times New Roman" w:hAnsi="Times New Roman" w:eastAsia="宋体" w:cs="Times New Roman"/>
                <w:snapToGrid w:val="0"/>
                <w:color w:val="auto"/>
                <w:sz w:val="21"/>
                <w:szCs w:val="21"/>
                <w:lang w:val="en-US" w:eastAsia="zh-CN"/>
              </w:rPr>
              <w:t>有机物</w:t>
            </w:r>
          </w:p>
        </w:tc>
        <w:tc>
          <w:tcPr>
            <w:tcW w:w="67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7940BB8F">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default" w:ascii="Times New Roman" w:hAnsi="Times New Roman" w:cs="Times New Roman"/>
                <w:color w:val="auto"/>
                <w:sz w:val="21"/>
                <w:szCs w:val="21"/>
                <w:lang w:eastAsia="zh-CN"/>
              </w:rPr>
              <w:t>固</w:t>
            </w:r>
          </w:p>
        </w:tc>
        <w:tc>
          <w:tcPr>
            <w:tcW w:w="892"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18C5AF03">
            <w:pPr>
              <w:widowControl/>
              <w:spacing w:line="240" w:lineRule="auto"/>
              <w:jc w:val="center"/>
              <w:textAlignment w:val="center"/>
              <w:rPr>
                <w:rFonts w:hint="default" w:ascii="Times New Roman" w:hAnsi="Times New Roman" w:eastAsia="宋体" w:cs="Times New Roman"/>
                <w:bCs/>
                <w:color w:val="auto"/>
                <w:kern w:val="0"/>
                <w:sz w:val="21"/>
                <w:szCs w:val="21"/>
                <w:lang w:val="en-US" w:eastAsia="zh-CN" w:bidi="ar-SA"/>
              </w:rPr>
            </w:pPr>
            <w:r>
              <w:rPr>
                <w:color w:val="auto"/>
                <w:kern w:val="0"/>
                <w:sz w:val="21"/>
                <w:szCs w:val="21"/>
                <w:lang w:bidi="ar"/>
              </w:rPr>
              <w:t>T/In</w:t>
            </w:r>
          </w:p>
        </w:tc>
        <w:tc>
          <w:tcPr>
            <w:tcW w:w="895"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6744B69E">
            <w:pPr>
              <w:widowControl/>
              <w:spacing w:line="240" w:lineRule="auto"/>
              <w:jc w:val="center"/>
              <w:textAlignment w:val="center"/>
              <w:rPr>
                <w:rFonts w:hint="default"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sz w:val="21"/>
                <w:szCs w:val="21"/>
                <w:lang w:val="en-US" w:eastAsia="zh-CN" w:bidi="ar-SA"/>
              </w:rPr>
              <w:t>3</w:t>
            </w:r>
          </w:p>
        </w:tc>
        <w:tc>
          <w:tcPr>
            <w:tcW w:w="817"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019D35F4">
            <w:pPr>
              <w:widowControl/>
              <w:spacing w:line="240" w:lineRule="auto"/>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rPr>
              <w:t>贮存在危险废物暂存</w:t>
            </w:r>
            <w:r>
              <w:rPr>
                <w:rFonts w:hint="default" w:ascii="Times New Roman" w:hAnsi="Times New Roman" w:cs="Times New Roman"/>
                <w:color w:val="auto"/>
                <w:sz w:val="21"/>
                <w:szCs w:val="21"/>
                <w:lang w:val="en-US" w:eastAsia="zh-CN"/>
              </w:rPr>
              <w:t>间</w:t>
            </w:r>
          </w:p>
        </w:tc>
        <w:tc>
          <w:tcPr>
            <w:tcW w:w="1906" w:type="dxa"/>
            <w:tcBorders>
              <w:top w:val="single" w:color="auto" w:sz="4" w:space="0"/>
              <w:left w:val="single" w:color="auto" w:sz="4" w:space="0"/>
              <w:bottom w:val="single" w:color="auto" w:sz="4" w:space="0"/>
              <w:right w:val="single" w:color="auto" w:sz="4" w:space="0"/>
            </w:tcBorders>
            <w:noWrap w:val="0"/>
            <w:tcMar>
              <w:top w:w="12" w:type="dxa"/>
              <w:left w:w="12" w:type="dxa"/>
              <w:right w:w="12" w:type="dxa"/>
            </w:tcMar>
            <w:vAlign w:val="center"/>
          </w:tcPr>
          <w:p w14:paraId="6449DB96">
            <w:pPr>
              <w:widowControl/>
              <w:spacing w:line="240" w:lineRule="auto"/>
              <w:jc w:val="center"/>
              <w:textAlignment w:val="center"/>
              <w:rPr>
                <w:rFonts w:hint="default" w:ascii="Times New Roman" w:hAnsi="Times New Roman" w:cs="Times New Roman"/>
                <w:color w:val="auto"/>
                <w:sz w:val="21"/>
                <w:szCs w:val="21"/>
                <w:lang w:val="en-US" w:eastAsia="zh-CN"/>
              </w:rPr>
            </w:pPr>
            <w:r>
              <w:rPr>
                <w:rFonts w:hint="eastAsia" w:ascii="Times New Roman" w:hAnsi="Times New Roman" w:cs="Times New Roman"/>
                <w:color w:val="auto"/>
                <w:sz w:val="21"/>
                <w:szCs w:val="21"/>
                <w:lang w:val="en-US" w:eastAsia="zh-CN"/>
              </w:rPr>
              <w:t>委托相关资质单位处置</w:t>
            </w:r>
          </w:p>
        </w:tc>
        <w:tc>
          <w:tcPr>
            <w:tcW w:w="806" w:type="dxa"/>
            <w:tcBorders>
              <w:top w:val="single" w:color="auto" w:sz="4" w:space="0"/>
              <w:left w:val="single" w:color="auto" w:sz="4" w:space="0"/>
              <w:bottom w:val="single" w:color="auto" w:sz="4" w:space="0"/>
              <w:right w:val="single" w:color="auto" w:sz="4" w:space="0"/>
            </w:tcBorders>
            <w:shd w:val="clear" w:color="auto" w:fill="auto"/>
            <w:noWrap w:val="0"/>
            <w:tcMar>
              <w:top w:w="12" w:type="dxa"/>
              <w:left w:w="12" w:type="dxa"/>
              <w:right w:w="12" w:type="dxa"/>
            </w:tcMar>
            <w:vAlign w:val="center"/>
          </w:tcPr>
          <w:p w14:paraId="04B583D1">
            <w:pPr>
              <w:widowControl/>
              <w:spacing w:line="240" w:lineRule="auto"/>
              <w:jc w:val="center"/>
              <w:textAlignment w:val="center"/>
              <w:rPr>
                <w:rFonts w:hint="eastAsia" w:ascii="Times New Roman" w:hAnsi="Times New Roman" w:eastAsia="宋体" w:cs="Times New Roman"/>
                <w:color w:val="auto"/>
                <w:sz w:val="21"/>
                <w:szCs w:val="21"/>
                <w:lang w:val="en-US" w:eastAsia="zh-CN" w:bidi="ar-SA"/>
              </w:rPr>
            </w:pPr>
            <w:r>
              <w:rPr>
                <w:rFonts w:hint="eastAsia" w:ascii="Times New Roman" w:hAnsi="Times New Roman" w:eastAsia="宋体" w:cs="Times New Roman"/>
                <w:color w:val="auto"/>
                <w:sz w:val="21"/>
                <w:szCs w:val="21"/>
                <w:lang w:val="en-US" w:eastAsia="zh-CN" w:bidi="ar-SA"/>
              </w:rPr>
              <w:t>3</w:t>
            </w:r>
          </w:p>
        </w:tc>
      </w:tr>
    </w:tbl>
    <w:p w14:paraId="0F6CBB48">
      <w:pPr>
        <w:bidi w:val="0"/>
        <w:rPr>
          <w:rFonts w:hint="default"/>
          <w:b/>
          <w:bCs/>
          <w:lang w:val="en-US" w:eastAsia="zh-CN"/>
        </w:rPr>
      </w:pPr>
      <w:r>
        <w:rPr>
          <w:rFonts w:hint="eastAsia"/>
          <w:b/>
          <w:bCs/>
          <w:lang w:val="en-US" w:eastAsia="zh-CN"/>
        </w:rPr>
        <w:t>7.4.</w:t>
      </w:r>
      <w:r>
        <w:rPr>
          <w:rFonts w:hint="default"/>
          <w:b/>
          <w:bCs/>
          <w:lang w:val="en-US" w:eastAsia="zh-CN"/>
        </w:rPr>
        <w:t>1 一般固废污染防治措施</w:t>
      </w:r>
    </w:p>
    <w:p w14:paraId="7A56452D">
      <w:pPr>
        <w:numPr>
          <w:ilvl w:val="0"/>
          <w:numId w:val="0"/>
        </w:numPr>
        <w:bidi w:val="0"/>
        <w:spacing w:line="360" w:lineRule="auto"/>
        <w:ind w:firstLine="480" w:firstLineChars="200"/>
        <w:jc w:val="both"/>
        <w:rPr>
          <w:rFonts w:hint="default"/>
          <w:lang w:val="en-US" w:eastAsia="zh-CN"/>
        </w:rPr>
      </w:pPr>
      <w:r>
        <w:rPr>
          <w:rFonts w:hint="default"/>
          <w:lang w:val="en-US" w:eastAsia="zh-CN"/>
        </w:rPr>
        <w:t>本次技改项目一般工业固废主要包括</w:t>
      </w:r>
      <w:r>
        <w:rPr>
          <w:rFonts w:hint="eastAsia"/>
          <w:b w:val="0"/>
          <w:bCs w:val="0"/>
          <w:color w:val="auto"/>
          <w:lang w:val="en-US" w:eastAsia="zh-CN"/>
        </w:rPr>
        <w:t>碎电池片、喷砂碎屑、废玻璃砂、废布袋、布袋除尘器收集到的粉尘、废包装桶、废印刷网版</w:t>
      </w:r>
      <w:r>
        <w:rPr>
          <w:rFonts w:hint="default"/>
          <w:lang w:val="en-US" w:eastAsia="zh-CN"/>
        </w:rPr>
        <w:t>。依托现有的一般固废库，位于厂区中部，占地面积887.96m</w:t>
      </w:r>
      <w:r>
        <w:rPr>
          <w:rFonts w:hint="default"/>
          <w:vertAlign w:val="superscript"/>
          <w:lang w:val="en-US" w:eastAsia="zh-CN"/>
        </w:rPr>
        <w:t>2</w:t>
      </w:r>
      <w:r>
        <w:rPr>
          <w:rFonts w:hint="default"/>
          <w:lang w:val="en-US" w:eastAsia="zh-CN"/>
        </w:rPr>
        <w:t>，设计最大存储能力1000t（不含污泥），存储周期15d。现有工程一般固废产生量为</w:t>
      </w:r>
      <w:r>
        <w:rPr>
          <w:rFonts w:hint="eastAsia"/>
          <w:lang w:val="en-US" w:eastAsia="zh-CN"/>
        </w:rPr>
        <w:t>207.752</w:t>
      </w:r>
      <w:r>
        <w:rPr>
          <w:rFonts w:hint="default"/>
          <w:lang w:val="en-US" w:eastAsia="zh-CN"/>
        </w:rPr>
        <w:t>t/a（不含污泥），本项目新增一般固废产生量为23.882t/a（不含污泥），技改后全厂一般固废产生量为</w:t>
      </w:r>
      <w:r>
        <w:rPr>
          <w:rFonts w:hint="eastAsia"/>
          <w:lang w:val="en-US" w:eastAsia="zh-CN"/>
        </w:rPr>
        <w:t>231.634</w:t>
      </w:r>
      <w:r>
        <w:rPr>
          <w:rFonts w:hint="default"/>
          <w:lang w:val="en-US" w:eastAsia="zh-CN"/>
        </w:rPr>
        <w:t>t/a（不含污泥），小于设计最大存放量。因此本项目依托现有的一般固废库是可行的。</w:t>
      </w:r>
    </w:p>
    <w:p w14:paraId="5E6530BC">
      <w:pPr>
        <w:bidi w:val="0"/>
        <w:rPr>
          <w:rFonts w:hint="default"/>
          <w:b/>
          <w:bCs/>
          <w:lang w:val="en-US" w:eastAsia="zh-CN"/>
        </w:rPr>
      </w:pPr>
      <w:r>
        <w:rPr>
          <w:rFonts w:hint="default"/>
          <w:b/>
          <w:bCs/>
          <w:lang w:val="en-US" w:eastAsia="zh-CN"/>
        </w:rPr>
        <w:t>7.4.2 危险废物污染防治措施</w:t>
      </w:r>
    </w:p>
    <w:p w14:paraId="0333A7B2">
      <w:pPr>
        <w:numPr>
          <w:ilvl w:val="0"/>
          <w:numId w:val="0"/>
        </w:numPr>
        <w:bidi w:val="0"/>
        <w:spacing w:line="360" w:lineRule="auto"/>
        <w:ind w:firstLine="480" w:firstLineChars="200"/>
        <w:jc w:val="both"/>
        <w:rPr>
          <w:rFonts w:hint="default"/>
          <w:lang w:val="en-US" w:eastAsia="zh-CN"/>
        </w:rPr>
      </w:pPr>
      <w:r>
        <w:rPr>
          <w:rFonts w:hint="default"/>
          <w:lang w:val="en-US" w:eastAsia="zh-CN"/>
        </w:rPr>
        <w:t>（1）危险废物产生情况</w:t>
      </w:r>
    </w:p>
    <w:p w14:paraId="755751C9">
      <w:pPr>
        <w:numPr>
          <w:ilvl w:val="0"/>
          <w:numId w:val="0"/>
        </w:numPr>
        <w:bidi w:val="0"/>
        <w:spacing w:line="360" w:lineRule="auto"/>
        <w:ind w:firstLine="480" w:firstLineChars="200"/>
        <w:jc w:val="both"/>
        <w:rPr>
          <w:rFonts w:hint="default"/>
          <w:lang w:val="en-US" w:eastAsia="zh-CN"/>
        </w:rPr>
      </w:pPr>
      <w:r>
        <w:rPr>
          <w:rFonts w:hint="default"/>
          <w:lang w:val="en-US" w:eastAsia="zh-CN"/>
        </w:rPr>
        <w:t>本</w:t>
      </w:r>
      <w:r>
        <w:rPr>
          <w:rFonts w:hint="eastAsia"/>
          <w:lang w:val="en-US" w:eastAsia="zh-CN"/>
        </w:rPr>
        <w:t>次技改</w:t>
      </w:r>
      <w:r>
        <w:rPr>
          <w:rFonts w:hint="default"/>
          <w:lang w:val="en-US" w:eastAsia="zh-CN"/>
        </w:rPr>
        <w:t>项目产生的危废主要废活性炭。本项目依托现有一座297m</w:t>
      </w:r>
      <w:r>
        <w:rPr>
          <w:rFonts w:hint="default"/>
          <w:vertAlign w:val="superscript"/>
          <w:lang w:val="en-US" w:eastAsia="zh-CN"/>
        </w:rPr>
        <w:t>2</w:t>
      </w:r>
      <w:r>
        <w:rPr>
          <w:rFonts w:hint="default"/>
          <w:lang w:val="en-US" w:eastAsia="zh-CN"/>
        </w:rPr>
        <w:t>危废库，位于厂区中部，最大存储能力200t，存储周期15d，用于收集、贮存生产过程产生的危险废物，定期委托有资质单位处理。现有工程危废产生量为</w:t>
      </w:r>
      <w:r>
        <w:rPr>
          <w:rFonts w:hint="eastAsia"/>
          <w:lang w:val="en-US" w:eastAsia="zh-CN"/>
        </w:rPr>
        <w:t>85.5</w:t>
      </w:r>
      <w:r>
        <w:rPr>
          <w:rFonts w:hint="default"/>
          <w:lang w:val="en-US" w:eastAsia="zh-CN"/>
        </w:rPr>
        <w:t>t/a，本项目新增危废为</w:t>
      </w:r>
      <w:r>
        <w:rPr>
          <w:rFonts w:hint="eastAsia"/>
          <w:lang w:val="en-US" w:eastAsia="zh-CN"/>
        </w:rPr>
        <w:t>3</w:t>
      </w:r>
      <w:r>
        <w:rPr>
          <w:rFonts w:hint="default"/>
          <w:lang w:val="en-US" w:eastAsia="zh-CN"/>
        </w:rPr>
        <w:t>t/a，技改后全厂危废产生量</w:t>
      </w:r>
      <w:r>
        <w:rPr>
          <w:rFonts w:hint="eastAsia"/>
          <w:lang w:val="en-US" w:eastAsia="zh-CN"/>
        </w:rPr>
        <w:t>88.5</w:t>
      </w:r>
      <w:r>
        <w:rPr>
          <w:rFonts w:hint="default"/>
          <w:lang w:val="en-US" w:eastAsia="zh-CN"/>
        </w:rPr>
        <w:t>t/a，危废库容积能够满足本次项目的新增危废量。因此本项目依托现有的危废库是可行的。</w:t>
      </w:r>
    </w:p>
    <w:p w14:paraId="0A89DD0B">
      <w:pPr>
        <w:numPr>
          <w:ilvl w:val="0"/>
          <w:numId w:val="0"/>
        </w:numPr>
        <w:bidi w:val="0"/>
        <w:spacing w:line="360" w:lineRule="auto"/>
        <w:ind w:firstLine="480" w:firstLineChars="200"/>
        <w:jc w:val="both"/>
        <w:rPr>
          <w:rFonts w:hint="default"/>
          <w:lang w:val="en-US" w:eastAsia="zh-CN"/>
        </w:rPr>
      </w:pPr>
      <w:r>
        <w:rPr>
          <w:rFonts w:hint="default"/>
          <w:lang w:val="en-US" w:eastAsia="zh-CN"/>
        </w:rPr>
        <w:t>（2）危险废物收集污染防治措施</w:t>
      </w:r>
    </w:p>
    <w:p w14:paraId="788B4553">
      <w:pPr>
        <w:numPr>
          <w:ilvl w:val="0"/>
          <w:numId w:val="0"/>
        </w:numPr>
        <w:bidi w:val="0"/>
        <w:spacing w:line="360" w:lineRule="auto"/>
        <w:ind w:firstLine="480" w:firstLineChars="200"/>
        <w:jc w:val="both"/>
        <w:rPr>
          <w:rFonts w:hint="default"/>
          <w:lang w:val="en-US" w:eastAsia="zh-CN"/>
        </w:rPr>
      </w:pPr>
      <w:r>
        <w:rPr>
          <w:rFonts w:hint="default"/>
          <w:lang w:val="en-US" w:eastAsia="zh-CN"/>
        </w:rPr>
        <w:t>危险废物在收集时，应清楚废物的类别及主要成份，以方便委托处理单位处理，根据危险废物的性质和形态，可采用不同大小和不同材质的容器进行包装，所有包装容器应足够安全，并经过周密检查，严防在装载、搬移或运输途中出现渗漏、溢出、抛洒或挥发等情况。对危险废物进行安全包装，并在包装的明显位置附上危险废物标签。</w:t>
      </w:r>
    </w:p>
    <w:p w14:paraId="6EC51BC8">
      <w:pPr>
        <w:numPr>
          <w:ilvl w:val="0"/>
          <w:numId w:val="0"/>
        </w:numPr>
        <w:bidi w:val="0"/>
        <w:spacing w:line="360" w:lineRule="auto"/>
        <w:ind w:firstLine="480" w:firstLineChars="200"/>
        <w:jc w:val="both"/>
        <w:rPr>
          <w:rFonts w:hint="default"/>
          <w:lang w:val="en-US" w:eastAsia="zh-CN"/>
        </w:rPr>
      </w:pPr>
      <w:r>
        <w:rPr>
          <w:rFonts w:hint="default"/>
          <w:lang w:val="en-US" w:eastAsia="zh-CN"/>
        </w:rPr>
        <w:t>（3）危险废物暂存污染方式措施</w:t>
      </w:r>
    </w:p>
    <w:p w14:paraId="23859DF9">
      <w:pPr>
        <w:numPr>
          <w:ilvl w:val="0"/>
          <w:numId w:val="0"/>
        </w:numPr>
        <w:bidi w:val="0"/>
        <w:spacing w:line="360" w:lineRule="auto"/>
        <w:ind w:firstLine="480" w:firstLineChars="200"/>
        <w:jc w:val="both"/>
        <w:rPr>
          <w:rFonts w:hint="default"/>
          <w:lang w:val="en-US" w:eastAsia="zh-CN"/>
        </w:rPr>
      </w:pPr>
      <w:r>
        <w:rPr>
          <w:rFonts w:hint="default"/>
          <w:lang w:val="en-US" w:eastAsia="zh-CN"/>
        </w:rPr>
        <w:t>危险废物应尽快送往委托单位处理，不宜存放过长时间，确需暂存的，应做到以下几点：</w:t>
      </w:r>
    </w:p>
    <w:p w14:paraId="37BDC146">
      <w:pPr>
        <w:numPr>
          <w:ilvl w:val="0"/>
          <w:numId w:val="0"/>
        </w:numPr>
        <w:bidi w:val="0"/>
        <w:spacing w:line="360" w:lineRule="auto"/>
        <w:ind w:firstLine="480" w:firstLineChars="200"/>
        <w:jc w:val="both"/>
        <w:rPr>
          <w:rFonts w:hint="default"/>
          <w:lang w:val="en-US" w:eastAsia="zh-CN"/>
        </w:rPr>
      </w:pPr>
      <w:r>
        <w:rPr>
          <w:rFonts w:hint="default"/>
          <w:lang w:val="en-US" w:eastAsia="zh-CN"/>
        </w:rPr>
        <w:t>①贮存场所应符合 GB18597-2023 规定的贮存控制标准，有符合要求的专用标志；</w:t>
      </w:r>
    </w:p>
    <w:p w14:paraId="02F2E3FB">
      <w:pPr>
        <w:numPr>
          <w:ilvl w:val="0"/>
          <w:numId w:val="0"/>
        </w:numPr>
        <w:bidi w:val="0"/>
        <w:spacing w:line="360" w:lineRule="auto"/>
        <w:ind w:firstLine="480" w:firstLineChars="200"/>
        <w:jc w:val="both"/>
        <w:rPr>
          <w:rFonts w:hint="default"/>
          <w:lang w:val="en-US" w:eastAsia="zh-CN"/>
        </w:rPr>
      </w:pPr>
      <w:r>
        <w:rPr>
          <w:rFonts w:hint="default"/>
          <w:lang w:val="en-US" w:eastAsia="zh-CN"/>
        </w:rPr>
        <w:t>②贮存区内禁止混放不相容危险废物；</w:t>
      </w:r>
    </w:p>
    <w:p w14:paraId="59345C17">
      <w:pPr>
        <w:numPr>
          <w:ilvl w:val="0"/>
          <w:numId w:val="0"/>
        </w:numPr>
        <w:bidi w:val="0"/>
        <w:spacing w:line="360" w:lineRule="auto"/>
        <w:ind w:firstLine="480" w:firstLineChars="200"/>
        <w:jc w:val="both"/>
        <w:rPr>
          <w:rFonts w:hint="default"/>
          <w:lang w:val="en-US" w:eastAsia="zh-CN"/>
        </w:rPr>
      </w:pPr>
      <w:r>
        <w:rPr>
          <w:rFonts w:hint="default"/>
          <w:lang w:val="en-US" w:eastAsia="zh-CN"/>
        </w:rPr>
        <w:t>③贮存区考虑相应的集排水和防渗设施；</w:t>
      </w:r>
    </w:p>
    <w:p w14:paraId="370D3D63">
      <w:pPr>
        <w:numPr>
          <w:ilvl w:val="0"/>
          <w:numId w:val="0"/>
        </w:numPr>
        <w:bidi w:val="0"/>
        <w:spacing w:line="360" w:lineRule="auto"/>
        <w:ind w:firstLine="480" w:firstLineChars="200"/>
        <w:jc w:val="both"/>
        <w:rPr>
          <w:rFonts w:hint="default"/>
          <w:lang w:val="en-US" w:eastAsia="zh-CN"/>
        </w:rPr>
      </w:pPr>
      <w:r>
        <w:rPr>
          <w:rFonts w:hint="default"/>
          <w:lang w:val="en-US" w:eastAsia="zh-CN"/>
        </w:rPr>
        <w:t>④贮存区符合消防要求；</w:t>
      </w:r>
    </w:p>
    <w:p w14:paraId="23B74D84">
      <w:pPr>
        <w:numPr>
          <w:ilvl w:val="0"/>
          <w:numId w:val="0"/>
        </w:numPr>
        <w:bidi w:val="0"/>
        <w:spacing w:line="360" w:lineRule="auto"/>
        <w:ind w:firstLine="480" w:firstLineChars="200"/>
        <w:jc w:val="both"/>
        <w:rPr>
          <w:rFonts w:hint="default"/>
          <w:lang w:val="en-US" w:eastAsia="zh-CN"/>
        </w:rPr>
      </w:pPr>
      <w:r>
        <w:rPr>
          <w:rFonts w:hint="default"/>
          <w:lang w:val="en-US" w:eastAsia="zh-CN"/>
        </w:rPr>
        <w:t>⑤基础防渗层为至少2mm厚高密度聚乙烯，或至少2mm厚的其他人工材料，渗透系数≤10</w:t>
      </w:r>
      <w:r>
        <w:rPr>
          <w:rFonts w:hint="default"/>
          <w:vertAlign w:val="superscript"/>
          <w:lang w:val="en-US" w:eastAsia="zh-CN"/>
        </w:rPr>
        <w:t>-10</w:t>
      </w:r>
      <w:r>
        <w:rPr>
          <w:rFonts w:hint="default"/>
          <w:lang w:val="en-US" w:eastAsia="zh-CN"/>
        </w:rPr>
        <w:t>cm/s。</w:t>
      </w:r>
    </w:p>
    <w:p w14:paraId="584E2928">
      <w:pPr>
        <w:numPr>
          <w:ilvl w:val="0"/>
          <w:numId w:val="0"/>
        </w:numPr>
        <w:bidi w:val="0"/>
        <w:spacing w:line="360" w:lineRule="auto"/>
        <w:ind w:firstLine="480" w:firstLineChars="200"/>
        <w:jc w:val="both"/>
        <w:rPr>
          <w:rFonts w:hint="default"/>
          <w:lang w:val="en-US" w:eastAsia="zh-CN"/>
        </w:rPr>
      </w:pPr>
      <w:r>
        <w:rPr>
          <w:rFonts w:hint="default"/>
          <w:lang w:val="en-US" w:eastAsia="zh-CN"/>
        </w:rPr>
        <w:t>（4）危险废物运输污染防治措施</w:t>
      </w:r>
    </w:p>
    <w:p w14:paraId="372971A5">
      <w:pPr>
        <w:numPr>
          <w:ilvl w:val="0"/>
          <w:numId w:val="0"/>
        </w:numPr>
        <w:bidi w:val="0"/>
        <w:spacing w:line="360" w:lineRule="auto"/>
        <w:ind w:firstLine="480" w:firstLineChars="200"/>
        <w:jc w:val="both"/>
        <w:rPr>
          <w:rFonts w:hint="default"/>
          <w:lang w:val="en-US" w:eastAsia="zh-CN"/>
        </w:rPr>
      </w:pPr>
      <w:r>
        <w:rPr>
          <w:rFonts w:hint="default"/>
          <w:lang w:val="en-US" w:eastAsia="zh-CN"/>
        </w:rPr>
        <w:t>危险废物运输中应做到以下几点：</w:t>
      </w:r>
    </w:p>
    <w:p w14:paraId="3849DEF3">
      <w:pPr>
        <w:numPr>
          <w:ilvl w:val="0"/>
          <w:numId w:val="0"/>
        </w:numPr>
        <w:bidi w:val="0"/>
        <w:spacing w:line="360" w:lineRule="auto"/>
        <w:ind w:firstLine="480" w:firstLineChars="200"/>
        <w:jc w:val="both"/>
        <w:rPr>
          <w:rFonts w:hint="default"/>
          <w:lang w:val="en-US" w:eastAsia="zh-CN"/>
        </w:rPr>
      </w:pPr>
      <w:r>
        <w:rPr>
          <w:rFonts w:hint="default"/>
          <w:lang w:val="en-US" w:eastAsia="zh-CN"/>
        </w:rPr>
        <w:t>①危险废物的运输车辆须经主管单位检查，并持有有关单位签发的许可证，负责运输的司机应通过培训，持有证明文件；</w:t>
      </w:r>
    </w:p>
    <w:p w14:paraId="0B4115EF">
      <w:pPr>
        <w:numPr>
          <w:ilvl w:val="0"/>
          <w:numId w:val="0"/>
        </w:numPr>
        <w:bidi w:val="0"/>
        <w:spacing w:line="360" w:lineRule="auto"/>
        <w:ind w:firstLine="480" w:firstLineChars="200"/>
        <w:jc w:val="both"/>
        <w:rPr>
          <w:rFonts w:hint="default"/>
          <w:lang w:val="en-US" w:eastAsia="zh-CN"/>
        </w:rPr>
      </w:pPr>
      <w:r>
        <w:rPr>
          <w:rFonts w:hint="default"/>
          <w:lang w:val="en-US" w:eastAsia="zh-CN"/>
        </w:rPr>
        <w:t>②承载危险废物的车辆须有明显的标志或适当的危险符号，以引起注意；</w:t>
      </w:r>
    </w:p>
    <w:p w14:paraId="1AC94721">
      <w:pPr>
        <w:numPr>
          <w:ilvl w:val="0"/>
          <w:numId w:val="0"/>
        </w:numPr>
        <w:bidi w:val="0"/>
        <w:spacing w:line="360" w:lineRule="auto"/>
        <w:ind w:firstLine="480" w:firstLineChars="200"/>
        <w:jc w:val="both"/>
        <w:rPr>
          <w:rFonts w:hint="default"/>
          <w:lang w:val="en-US" w:eastAsia="zh-CN"/>
        </w:rPr>
      </w:pPr>
      <w:r>
        <w:rPr>
          <w:rFonts w:hint="default"/>
          <w:lang w:val="en-US" w:eastAsia="zh-CN"/>
        </w:rPr>
        <w:t>③载有危险废物的车辆在公路上行驶时，需持有运输许可证，其上应注明废物来源、性质和运往地点；</w:t>
      </w:r>
    </w:p>
    <w:p w14:paraId="47980192">
      <w:pPr>
        <w:numPr>
          <w:ilvl w:val="0"/>
          <w:numId w:val="0"/>
        </w:numPr>
        <w:bidi w:val="0"/>
        <w:spacing w:line="360" w:lineRule="auto"/>
        <w:ind w:firstLine="480" w:firstLineChars="200"/>
        <w:jc w:val="both"/>
        <w:rPr>
          <w:rFonts w:hint="default"/>
          <w:lang w:val="en-US" w:eastAsia="zh-CN"/>
        </w:rPr>
      </w:pPr>
      <w:r>
        <w:rPr>
          <w:rFonts w:hint="default"/>
          <w:lang w:val="en-US" w:eastAsia="zh-CN"/>
        </w:rPr>
        <w:t>④组织危险废物运输的单位，在事先需作出周密的运输计划和行驶路线，其中包括有效的废物泄漏情况下的应急措施。</w:t>
      </w:r>
    </w:p>
    <w:p w14:paraId="6B9E49E4">
      <w:pPr>
        <w:numPr>
          <w:ilvl w:val="0"/>
          <w:numId w:val="0"/>
        </w:numPr>
        <w:bidi w:val="0"/>
        <w:spacing w:line="360" w:lineRule="auto"/>
        <w:ind w:firstLine="480" w:firstLineChars="200"/>
        <w:jc w:val="both"/>
        <w:rPr>
          <w:rFonts w:hint="default"/>
          <w:lang w:val="en-US" w:eastAsia="zh-CN"/>
        </w:rPr>
      </w:pPr>
      <w:r>
        <w:rPr>
          <w:rFonts w:hint="default"/>
          <w:lang w:val="en-US" w:eastAsia="zh-CN"/>
        </w:rPr>
        <w:t>针对本项目对固废暂存场所，本此环评要求企业落实以下几点要求：</w:t>
      </w:r>
    </w:p>
    <w:p w14:paraId="784DB710">
      <w:pPr>
        <w:numPr>
          <w:ilvl w:val="0"/>
          <w:numId w:val="0"/>
        </w:numPr>
        <w:bidi w:val="0"/>
        <w:spacing w:line="360" w:lineRule="auto"/>
        <w:ind w:firstLine="480" w:firstLineChars="200"/>
        <w:jc w:val="both"/>
        <w:rPr>
          <w:rFonts w:hint="default"/>
          <w:lang w:val="en-US" w:eastAsia="zh-CN"/>
        </w:rPr>
      </w:pPr>
      <w:r>
        <w:rPr>
          <w:rFonts w:hint="default"/>
          <w:lang w:val="en-US" w:eastAsia="zh-CN"/>
        </w:rPr>
        <w:t>1、对危险固废库房设立监控设施，危废库房周围应设置围墙或者防护栅栏，与周边区域严格分离开，并按GB15562.2的规定设置警示标志，现场需配置安全防护服装与工具、通讯设备、照明设施等；</w:t>
      </w:r>
    </w:p>
    <w:p w14:paraId="429F7CCC">
      <w:pPr>
        <w:numPr>
          <w:ilvl w:val="0"/>
          <w:numId w:val="0"/>
        </w:numPr>
        <w:bidi w:val="0"/>
        <w:spacing w:line="360" w:lineRule="auto"/>
        <w:ind w:firstLine="480" w:firstLineChars="200"/>
        <w:jc w:val="both"/>
        <w:rPr>
          <w:rFonts w:hint="default"/>
          <w:lang w:val="en-US" w:eastAsia="zh-CN"/>
        </w:rPr>
      </w:pPr>
      <w:r>
        <w:rPr>
          <w:rFonts w:hint="default"/>
          <w:lang w:val="en-US" w:eastAsia="zh-CN"/>
        </w:rPr>
        <w:t>2、对固废库房进行水泥硬化，并采取严格的、科学的防渗措施，如环氧地坪等，设置渗沥液收集处理系统；</w:t>
      </w:r>
    </w:p>
    <w:p w14:paraId="262A1B76">
      <w:pPr>
        <w:numPr>
          <w:ilvl w:val="0"/>
          <w:numId w:val="0"/>
        </w:numPr>
        <w:bidi w:val="0"/>
        <w:spacing w:line="360" w:lineRule="auto"/>
        <w:ind w:firstLine="480" w:firstLineChars="200"/>
        <w:jc w:val="both"/>
        <w:rPr>
          <w:rFonts w:hint="default"/>
          <w:lang w:val="en-US" w:eastAsia="zh-CN"/>
        </w:rPr>
      </w:pPr>
      <w:r>
        <w:rPr>
          <w:rFonts w:hint="default"/>
          <w:lang w:val="en-US" w:eastAsia="zh-CN"/>
        </w:rPr>
        <w:t>3、加强固废管理，固废库房中一般固废与危险固废的堆放位置应在物理上、空间上严格区分，确保污染物不在一般固废与危险固废间转移；危险固废及时入库房存放，并及时通知协议处理单位进行回收处理；</w:t>
      </w:r>
    </w:p>
    <w:p w14:paraId="63D73917">
      <w:pPr>
        <w:numPr>
          <w:ilvl w:val="0"/>
          <w:numId w:val="0"/>
        </w:numPr>
        <w:bidi w:val="0"/>
        <w:spacing w:line="360" w:lineRule="auto"/>
        <w:ind w:firstLine="480" w:firstLineChars="200"/>
        <w:jc w:val="both"/>
        <w:rPr>
          <w:rFonts w:hint="default"/>
          <w:lang w:val="en-US" w:eastAsia="zh-CN"/>
        </w:rPr>
      </w:pPr>
      <w:r>
        <w:rPr>
          <w:rFonts w:hint="default"/>
          <w:lang w:val="en-US" w:eastAsia="zh-CN"/>
        </w:rPr>
        <w:t>4、严格落实危险固废转移台账管理，做到每一笔危险固废的去向都有台账记录，包括厂区内部的和行政管理部门的。</w:t>
      </w:r>
    </w:p>
    <w:p w14:paraId="1096F489">
      <w:pPr>
        <w:numPr>
          <w:ilvl w:val="0"/>
          <w:numId w:val="0"/>
        </w:numPr>
        <w:bidi w:val="0"/>
        <w:spacing w:line="360" w:lineRule="auto"/>
        <w:ind w:firstLine="480" w:firstLineChars="200"/>
        <w:jc w:val="both"/>
        <w:rPr>
          <w:rFonts w:hint="default"/>
          <w:lang w:val="en-US" w:eastAsia="zh-CN"/>
        </w:rPr>
      </w:pPr>
      <w:r>
        <w:rPr>
          <w:rFonts w:hint="default"/>
          <w:lang w:val="en-US" w:eastAsia="zh-CN"/>
        </w:rPr>
        <w:t>综上，本项目产生的各种固废均有合理的处理途径，不会产生二次环境污染。</w:t>
      </w:r>
    </w:p>
    <w:p w14:paraId="3C5CA4C5">
      <w:pPr>
        <w:pStyle w:val="2"/>
        <w:bidi w:val="0"/>
        <w:rPr>
          <w:rFonts w:hint="default"/>
          <w:lang w:val="en-US" w:eastAsia="zh-CN"/>
        </w:rPr>
      </w:pPr>
      <w:bookmarkStart w:id="116" w:name="_Toc21186"/>
      <w:r>
        <w:rPr>
          <w:rFonts w:hint="eastAsia"/>
          <w:lang w:val="en-US" w:eastAsia="zh-CN"/>
        </w:rPr>
        <w:t>7.5</w:t>
      </w:r>
      <w:r>
        <w:rPr>
          <w:rFonts w:hint="default"/>
          <w:lang w:val="en-US" w:eastAsia="zh-CN"/>
        </w:rPr>
        <w:t xml:space="preserve"> 地下水</w:t>
      </w:r>
      <w:r>
        <w:rPr>
          <w:rFonts w:hint="eastAsia"/>
          <w:lang w:val="en-US" w:eastAsia="zh-CN"/>
        </w:rPr>
        <w:t>污染防治</w:t>
      </w:r>
      <w:r>
        <w:rPr>
          <w:rFonts w:hint="default"/>
          <w:lang w:val="en-US" w:eastAsia="zh-CN"/>
        </w:rPr>
        <w:t>措施</w:t>
      </w:r>
      <w:bookmarkEnd w:id="116"/>
    </w:p>
    <w:p w14:paraId="215A9E7B">
      <w:pPr>
        <w:bidi w:val="0"/>
        <w:rPr>
          <w:rFonts w:hint="default"/>
          <w:b/>
          <w:bCs/>
          <w:lang w:val="en-US" w:eastAsia="zh-CN"/>
        </w:rPr>
      </w:pPr>
      <w:r>
        <w:rPr>
          <w:rFonts w:hint="eastAsia"/>
          <w:b/>
          <w:bCs/>
          <w:lang w:val="en-US" w:eastAsia="zh-CN"/>
        </w:rPr>
        <w:t>7.5.1</w:t>
      </w:r>
      <w:r>
        <w:rPr>
          <w:rFonts w:hint="default"/>
          <w:b/>
          <w:bCs/>
          <w:lang w:val="en-US" w:eastAsia="zh-CN"/>
        </w:rPr>
        <w:t xml:space="preserve"> 地下水污染防治分区</w:t>
      </w:r>
    </w:p>
    <w:p w14:paraId="5F75B216">
      <w:pPr>
        <w:numPr>
          <w:ilvl w:val="0"/>
          <w:numId w:val="0"/>
        </w:numPr>
        <w:bidi w:val="0"/>
        <w:spacing w:line="360" w:lineRule="auto"/>
        <w:ind w:firstLine="480" w:firstLineChars="200"/>
        <w:jc w:val="both"/>
        <w:rPr>
          <w:rFonts w:hint="default"/>
          <w:lang w:val="en-US" w:eastAsia="zh-CN"/>
        </w:rPr>
      </w:pPr>
      <w:r>
        <w:rPr>
          <w:rFonts w:hint="default"/>
          <w:lang w:val="en-US" w:eastAsia="zh-CN"/>
        </w:rPr>
        <w:t>根据本项目的特点，本项目可能会通过以下途径污染地下水和土壤。一是厂区污水直接排放污染地下水；二是污水在排放的过程中通过土壤渗入地下水；三是污染土壤受降雨淋滤，污染物迁移至地下水。可能的主要污染源来自厂区废水、固废堆放场所和雨水冲刷的无组织排放。</w:t>
      </w:r>
    </w:p>
    <w:p w14:paraId="5329098A">
      <w:pPr>
        <w:numPr>
          <w:ilvl w:val="0"/>
          <w:numId w:val="0"/>
        </w:numPr>
        <w:bidi w:val="0"/>
        <w:spacing w:line="360" w:lineRule="auto"/>
        <w:ind w:firstLine="480" w:firstLineChars="200"/>
        <w:jc w:val="both"/>
        <w:rPr>
          <w:rFonts w:hint="default"/>
          <w:lang w:val="en-US" w:eastAsia="zh-CN"/>
        </w:rPr>
      </w:pPr>
      <w:r>
        <w:rPr>
          <w:rFonts w:hint="default"/>
          <w:lang w:val="en-US" w:eastAsia="zh-CN"/>
        </w:rPr>
        <w:t>针对可能对地下水造成影响的各环节，按照“考虑重点，辐射全面” 的防腐防渗原则，重点防护区（污水处理设施、化学品仓库、危废暂存库、污水收集管网）采取重点防腐防渗，防渗系数小于10</w:t>
      </w:r>
      <w:r>
        <w:rPr>
          <w:rFonts w:hint="default"/>
          <w:vertAlign w:val="superscript"/>
          <w:lang w:val="en-US" w:eastAsia="zh-CN"/>
        </w:rPr>
        <w:t>-10</w:t>
      </w:r>
      <w:r>
        <w:rPr>
          <w:rFonts w:hint="default"/>
          <w:lang w:val="en-US" w:eastAsia="zh-CN"/>
        </w:rPr>
        <w:t>cm/s；一般防护区域采用水泥硬化地面。</w:t>
      </w:r>
    </w:p>
    <w:p w14:paraId="77F78DD2">
      <w:pPr>
        <w:numPr>
          <w:ilvl w:val="0"/>
          <w:numId w:val="0"/>
        </w:numPr>
        <w:bidi w:val="0"/>
        <w:spacing w:line="360" w:lineRule="auto"/>
        <w:ind w:firstLine="480" w:firstLineChars="200"/>
        <w:jc w:val="both"/>
        <w:rPr>
          <w:rFonts w:hint="default"/>
          <w:lang w:val="en-US" w:eastAsia="zh-CN"/>
        </w:rPr>
      </w:pPr>
      <w:r>
        <w:rPr>
          <w:rFonts w:hint="default"/>
          <w:lang w:val="en-US" w:eastAsia="zh-CN"/>
        </w:rPr>
        <w:t>本项目除在各重点防护区地面设有防渗措施外，为防止各种废水漫排至厂外地表，厂区内的废水均经防渗防漏管网收集输送，送合肥循环经济示范园第二污水处理厂集中处理；固体废弃物在厂内暂存期间，按照《一般工业固体废物贮存和填埋污染控制标准》 （GB18599-2020）、《危险废物贮存污染控制标准》（GB18597-2023）及其修改单的要求规范建设和维护厂区内的固体废物临时存放场所，必须做好该堆放场防风、防雨、防晒、防渗漏等措施，以免对地下水和土壤造成污染。在生产过程中，加强现场巡查，特别是废水输送管道、污水处理设施。若发现问题，及时分析原因，找到泄漏点制定整改措施，尽快修补，确保防腐防渗层的完整性。</w:t>
      </w:r>
    </w:p>
    <w:p w14:paraId="0DA1217A">
      <w:pPr>
        <w:numPr>
          <w:ilvl w:val="0"/>
          <w:numId w:val="0"/>
        </w:numPr>
        <w:bidi w:val="0"/>
        <w:spacing w:line="360" w:lineRule="auto"/>
        <w:ind w:firstLine="480" w:firstLineChars="200"/>
        <w:jc w:val="both"/>
        <w:rPr>
          <w:rFonts w:hint="default"/>
          <w:lang w:val="en-US" w:eastAsia="zh-CN"/>
        </w:rPr>
      </w:pPr>
      <w:r>
        <w:rPr>
          <w:rFonts w:hint="default"/>
          <w:lang w:val="en-US" w:eastAsia="zh-CN"/>
        </w:rPr>
        <w:t>经过以上的处置措施后，本项目的建设基本不会对区域地下水及土壤环境造成污染。</w:t>
      </w:r>
    </w:p>
    <w:p w14:paraId="4A7206CE">
      <w:pPr>
        <w:bidi w:val="0"/>
        <w:rPr>
          <w:rFonts w:hint="default"/>
          <w:b/>
          <w:bCs/>
          <w:lang w:val="en-US" w:eastAsia="zh-CN"/>
        </w:rPr>
      </w:pPr>
      <w:r>
        <w:rPr>
          <w:rFonts w:hint="eastAsia"/>
          <w:b/>
          <w:bCs/>
          <w:lang w:val="en-US" w:eastAsia="zh-CN"/>
        </w:rPr>
        <w:t>7.5.2</w:t>
      </w:r>
      <w:r>
        <w:rPr>
          <w:rFonts w:hint="default"/>
          <w:b/>
          <w:bCs/>
          <w:lang w:val="en-US" w:eastAsia="zh-CN"/>
        </w:rPr>
        <w:t xml:space="preserve"> 地下水污染防渗要求</w:t>
      </w:r>
    </w:p>
    <w:p w14:paraId="63B1FAC8">
      <w:pPr>
        <w:numPr>
          <w:ilvl w:val="0"/>
          <w:numId w:val="0"/>
        </w:numPr>
        <w:bidi w:val="0"/>
        <w:spacing w:line="360" w:lineRule="auto"/>
        <w:ind w:firstLine="480" w:firstLineChars="200"/>
        <w:jc w:val="both"/>
        <w:rPr>
          <w:rFonts w:hint="default"/>
          <w:lang w:val="en-US" w:eastAsia="zh-CN"/>
        </w:rPr>
      </w:pPr>
      <w:r>
        <w:rPr>
          <w:rFonts w:hint="default"/>
          <w:lang w:val="en-US" w:eastAsia="zh-CN"/>
        </w:rPr>
        <w:t>电池车间1、电池车间2、污水处理站1、污水处理站2、化学品库1~2、危废库、初期雨水池、事故应急池1~2已进行重点防渗；一般固废库、动力站、氨气笑气站、制氨站、硅烷站1~2、特气房已进行一般防渗。本项目为技改项目，不新增可能对地下水产生污染的区域，不新增防渗措施。</w:t>
      </w:r>
    </w:p>
    <w:p w14:paraId="7EED142E">
      <w:pPr>
        <w:bidi w:val="0"/>
        <w:rPr>
          <w:rFonts w:hint="default"/>
          <w:lang w:val="en-US" w:eastAsia="zh-CN"/>
        </w:rPr>
      </w:pPr>
      <w:r>
        <w:drawing>
          <wp:inline distT="0" distB="0" distL="114300" distR="114300">
            <wp:extent cx="5935980" cy="4102735"/>
            <wp:effectExtent l="0" t="0" r="7620" b="12065"/>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44"/>
                    <a:stretch>
                      <a:fillRect/>
                    </a:stretch>
                  </pic:blipFill>
                  <pic:spPr>
                    <a:xfrm>
                      <a:off x="0" y="0"/>
                      <a:ext cx="5935980" cy="4102735"/>
                    </a:xfrm>
                    <a:prstGeom prst="rect">
                      <a:avLst/>
                    </a:prstGeom>
                    <a:noFill/>
                    <a:ln>
                      <a:noFill/>
                    </a:ln>
                  </pic:spPr>
                </pic:pic>
              </a:graphicData>
            </a:graphic>
          </wp:inline>
        </w:drawing>
      </w:r>
    </w:p>
    <w:p w14:paraId="0BE133DA">
      <w:pPr>
        <w:bidi w:val="0"/>
        <w:jc w:val="center"/>
        <w:rPr>
          <w:rFonts w:hint="default"/>
          <w:b/>
          <w:bCs/>
          <w:lang w:val="en-US" w:eastAsia="zh-CN"/>
        </w:rPr>
      </w:pPr>
      <w:r>
        <w:rPr>
          <w:rFonts w:hint="eastAsia"/>
          <w:b/>
          <w:bCs/>
          <w:lang w:val="en-US" w:eastAsia="zh-CN"/>
        </w:rPr>
        <w:t>图7.5.2-1 项目分区防渗图</w:t>
      </w:r>
    </w:p>
    <w:p w14:paraId="11AF6D58">
      <w:pPr>
        <w:bidi w:val="0"/>
        <w:rPr>
          <w:rFonts w:hint="default"/>
          <w:b/>
          <w:bCs/>
          <w:lang w:val="en-US" w:eastAsia="zh-CN"/>
        </w:rPr>
      </w:pPr>
      <w:r>
        <w:rPr>
          <w:rFonts w:hint="eastAsia"/>
          <w:b/>
          <w:bCs/>
          <w:lang w:val="en-US" w:eastAsia="zh-CN"/>
        </w:rPr>
        <w:t>7.</w:t>
      </w:r>
      <w:r>
        <w:rPr>
          <w:rFonts w:hint="default"/>
          <w:b/>
          <w:bCs/>
          <w:lang w:val="en-US" w:eastAsia="zh-CN"/>
        </w:rPr>
        <w:t>5.3 地下水环境监测与管理</w:t>
      </w:r>
    </w:p>
    <w:p w14:paraId="0F05F078">
      <w:pPr>
        <w:numPr>
          <w:ilvl w:val="0"/>
          <w:numId w:val="0"/>
        </w:numPr>
        <w:bidi w:val="0"/>
        <w:spacing w:line="360" w:lineRule="auto"/>
        <w:ind w:firstLine="480" w:firstLineChars="200"/>
        <w:jc w:val="both"/>
        <w:rPr>
          <w:rFonts w:hint="default"/>
          <w:lang w:val="en-US" w:eastAsia="zh-CN"/>
        </w:rPr>
      </w:pPr>
      <w:r>
        <w:rPr>
          <w:rFonts w:hint="default"/>
          <w:lang w:val="en-US" w:eastAsia="zh-CN"/>
        </w:rPr>
        <w:t>1、地下水环境监测</w:t>
      </w:r>
    </w:p>
    <w:p w14:paraId="5FE525CE">
      <w:pPr>
        <w:numPr>
          <w:ilvl w:val="0"/>
          <w:numId w:val="0"/>
        </w:numPr>
        <w:bidi w:val="0"/>
        <w:spacing w:line="360" w:lineRule="auto"/>
        <w:ind w:firstLine="480" w:firstLineChars="200"/>
        <w:jc w:val="both"/>
        <w:rPr>
          <w:rFonts w:hint="default"/>
          <w:lang w:val="en-US" w:eastAsia="zh-CN"/>
        </w:rPr>
      </w:pPr>
      <w:r>
        <w:rPr>
          <w:rFonts w:hint="default"/>
          <w:lang w:val="en-US" w:eastAsia="zh-CN"/>
        </w:rPr>
        <w:t>项目应设置环境保护专职机构并配备环保专职人员，建立地下水环境监控体系，包括科学合理地设置地下水污染监控井、制定监测计划、配备先进的检测仪器和设备，以便及时发现问题，采取措施控制污染。</w:t>
      </w:r>
    </w:p>
    <w:p w14:paraId="2CE0FA0C">
      <w:pPr>
        <w:numPr>
          <w:ilvl w:val="0"/>
          <w:numId w:val="0"/>
        </w:numPr>
        <w:bidi w:val="0"/>
        <w:spacing w:line="360" w:lineRule="auto"/>
        <w:ind w:firstLine="480" w:firstLineChars="200"/>
        <w:jc w:val="both"/>
        <w:rPr>
          <w:rFonts w:hint="default"/>
          <w:lang w:val="en-US" w:eastAsia="zh-CN"/>
        </w:rPr>
      </w:pPr>
      <w:r>
        <w:rPr>
          <w:rFonts w:hint="default"/>
          <w:lang w:val="en-US" w:eastAsia="zh-CN"/>
        </w:rPr>
        <w:t>由于地下水污染具有隐蔽性和累积性，因此制定有效的监测计划并定期开展监测，对于及早发现污染并采取有效措施防止污染继续扩散显得十分重要和必要。根据导则要求，评价建议设置 1 个地下水监控井，项目地下水监测计划可根据下表制定或采用现有的监控井，监测井应具备应急抽水功能。如发现异常或发生事故，应加密监测频次，并分析污染原因，确定泄漏污染源，及时采集应急措施。项目地下水监测计划见下表：</w:t>
      </w:r>
    </w:p>
    <w:p w14:paraId="7D982253">
      <w:pPr>
        <w:bidi w:val="0"/>
        <w:jc w:val="center"/>
        <w:rPr>
          <w:rFonts w:hint="default"/>
          <w:lang w:val="en-US" w:eastAsia="zh-CN"/>
        </w:rPr>
      </w:pPr>
      <w:r>
        <w:rPr>
          <w:rFonts w:hint="default"/>
          <w:b/>
          <w:bCs/>
          <w:lang w:val="en-US" w:eastAsia="zh-CN"/>
        </w:rPr>
        <w:t>表</w:t>
      </w:r>
      <w:r>
        <w:rPr>
          <w:rFonts w:hint="eastAsia"/>
          <w:b/>
          <w:bCs/>
          <w:lang w:val="en-US" w:eastAsia="zh-CN"/>
        </w:rPr>
        <w:t>7.5.3-1</w:t>
      </w:r>
      <w:r>
        <w:rPr>
          <w:rFonts w:hint="default"/>
          <w:b/>
          <w:bCs/>
          <w:lang w:val="en-US" w:eastAsia="zh-CN"/>
        </w:rPr>
        <w:t xml:space="preserve"> 地下水监测计划一览表</w:t>
      </w:r>
    </w:p>
    <w:tbl>
      <w:tblPr>
        <w:tblStyle w:val="25"/>
        <w:tblW w:w="5000" w:type="pct"/>
        <w:tblInd w:w="7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145"/>
        <w:gridCol w:w="818"/>
        <w:gridCol w:w="1474"/>
        <w:gridCol w:w="3124"/>
        <w:gridCol w:w="840"/>
        <w:gridCol w:w="976"/>
        <w:gridCol w:w="983"/>
      </w:tblGrid>
      <w:tr w14:paraId="013CD78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60" w:hRule="atLeast"/>
        </w:trPr>
        <w:tc>
          <w:tcPr>
            <w:tcW w:w="1086" w:type="dxa"/>
            <w:vAlign w:val="center"/>
          </w:tcPr>
          <w:p w14:paraId="7B4FBFDB">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监测点位置</w:t>
            </w:r>
          </w:p>
        </w:tc>
        <w:tc>
          <w:tcPr>
            <w:tcW w:w="776" w:type="dxa"/>
            <w:vAlign w:val="center"/>
          </w:tcPr>
          <w:p w14:paraId="2A6B5542">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监测井类型</w:t>
            </w:r>
          </w:p>
        </w:tc>
        <w:tc>
          <w:tcPr>
            <w:tcW w:w="1398" w:type="dxa"/>
            <w:vAlign w:val="center"/>
          </w:tcPr>
          <w:p w14:paraId="4D0141E0">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监测目的</w:t>
            </w:r>
          </w:p>
        </w:tc>
        <w:tc>
          <w:tcPr>
            <w:tcW w:w="2963" w:type="dxa"/>
            <w:vAlign w:val="center"/>
          </w:tcPr>
          <w:p w14:paraId="44AC8D20">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监测因子</w:t>
            </w:r>
          </w:p>
        </w:tc>
        <w:tc>
          <w:tcPr>
            <w:tcW w:w="797" w:type="dxa"/>
            <w:vAlign w:val="center"/>
          </w:tcPr>
          <w:p w14:paraId="134F1409">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监测频率</w:t>
            </w:r>
          </w:p>
        </w:tc>
        <w:tc>
          <w:tcPr>
            <w:tcW w:w="926" w:type="dxa"/>
            <w:vAlign w:val="center"/>
          </w:tcPr>
          <w:p w14:paraId="2C132CFC">
            <w:pPr>
              <w:widowControl w:val="0"/>
              <w:bidi w:val="0"/>
              <w:spacing w:line="240" w:lineRule="auto"/>
              <w:jc w:val="center"/>
              <w:rPr>
                <w:rFonts w:hint="default"/>
                <w:b/>
                <w:bCs/>
                <w:sz w:val="21"/>
                <w:szCs w:val="21"/>
                <w:lang w:val="en-US" w:eastAsia="zh-CN"/>
              </w:rPr>
            </w:pPr>
            <w:r>
              <w:rPr>
                <w:rFonts w:hint="default"/>
                <w:b/>
                <w:bCs/>
                <w:sz w:val="21"/>
                <w:szCs w:val="21"/>
                <w:lang w:val="en-US" w:eastAsia="zh-CN"/>
              </w:rPr>
              <w:t>监测层位</w:t>
            </w:r>
          </w:p>
        </w:tc>
        <w:tc>
          <w:tcPr>
            <w:tcW w:w="931" w:type="dxa"/>
            <w:vAlign w:val="center"/>
          </w:tcPr>
          <w:p w14:paraId="0DB7167E">
            <w:pPr>
              <w:widowControl w:val="0"/>
              <w:bidi w:val="0"/>
              <w:spacing w:line="240" w:lineRule="auto"/>
              <w:jc w:val="center"/>
              <w:rPr>
                <w:rFonts w:hint="default"/>
                <w:b/>
                <w:bCs/>
                <w:sz w:val="21"/>
                <w:szCs w:val="21"/>
                <w:lang w:val="en-US" w:eastAsia="zh-CN"/>
              </w:rPr>
            </w:pPr>
            <w:r>
              <w:rPr>
                <w:rFonts w:hint="default"/>
                <w:b/>
                <w:bCs/>
                <w:sz w:val="21"/>
                <w:szCs w:val="21"/>
                <w:lang w:val="en-US" w:eastAsia="zh-CN"/>
              </w:rPr>
              <w:t>备注</w:t>
            </w:r>
          </w:p>
        </w:tc>
      </w:tr>
      <w:tr w14:paraId="36BFC3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36" w:hRule="atLeast"/>
        </w:trPr>
        <w:tc>
          <w:tcPr>
            <w:tcW w:w="1086" w:type="dxa"/>
            <w:vAlign w:val="center"/>
          </w:tcPr>
          <w:p w14:paraId="33A6FB94">
            <w:pPr>
              <w:widowControl w:val="0"/>
              <w:bidi w:val="0"/>
              <w:spacing w:line="240" w:lineRule="auto"/>
              <w:jc w:val="center"/>
              <w:rPr>
                <w:rFonts w:hint="default"/>
                <w:sz w:val="21"/>
                <w:szCs w:val="21"/>
                <w:lang w:val="en-US" w:eastAsia="zh-CN"/>
              </w:rPr>
            </w:pPr>
            <w:r>
              <w:rPr>
                <w:rFonts w:hint="default"/>
                <w:sz w:val="21"/>
                <w:szCs w:val="21"/>
                <w:lang w:val="en-US" w:eastAsia="zh-CN"/>
              </w:rPr>
              <w:t>项目地下游</w:t>
            </w:r>
          </w:p>
        </w:tc>
        <w:tc>
          <w:tcPr>
            <w:tcW w:w="776" w:type="dxa"/>
            <w:vAlign w:val="center"/>
          </w:tcPr>
          <w:p w14:paraId="0AD149A8">
            <w:pPr>
              <w:widowControl w:val="0"/>
              <w:bidi w:val="0"/>
              <w:spacing w:line="240" w:lineRule="auto"/>
              <w:jc w:val="center"/>
              <w:rPr>
                <w:rFonts w:hint="default"/>
                <w:sz w:val="21"/>
                <w:szCs w:val="21"/>
                <w:lang w:val="en-US" w:eastAsia="zh-CN"/>
              </w:rPr>
            </w:pPr>
            <w:r>
              <w:rPr>
                <w:rFonts w:hint="default"/>
                <w:sz w:val="21"/>
                <w:szCs w:val="21"/>
                <w:lang w:val="en-US" w:eastAsia="zh-CN"/>
              </w:rPr>
              <w:t>污染监测井</w:t>
            </w:r>
          </w:p>
        </w:tc>
        <w:tc>
          <w:tcPr>
            <w:tcW w:w="1398" w:type="dxa"/>
            <w:vAlign w:val="center"/>
          </w:tcPr>
          <w:p w14:paraId="357209D3">
            <w:pPr>
              <w:widowControl w:val="0"/>
              <w:bidi w:val="0"/>
              <w:spacing w:line="240" w:lineRule="auto"/>
              <w:jc w:val="center"/>
              <w:rPr>
                <w:rFonts w:hint="default"/>
                <w:sz w:val="21"/>
                <w:szCs w:val="21"/>
                <w:lang w:val="en-US" w:eastAsia="zh-CN"/>
              </w:rPr>
            </w:pPr>
            <w:r>
              <w:rPr>
                <w:rFonts w:hint="default"/>
                <w:sz w:val="21"/>
                <w:szCs w:val="21"/>
                <w:lang w:val="en-US" w:eastAsia="zh-CN"/>
              </w:rPr>
              <w:t>监测项目厂区可能造成的地下水污染</w:t>
            </w:r>
          </w:p>
        </w:tc>
        <w:tc>
          <w:tcPr>
            <w:tcW w:w="2963" w:type="dxa"/>
            <w:vAlign w:val="center"/>
          </w:tcPr>
          <w:p w14:paraId="3B600173">
            <w:pPr>
              <w:widowControl w:val="0"/>
              <w:bidi w:val="0"/>
              <w:spacing w:line="240" w:lineRule="auto"/>
              <w:jc w:val="center"/>
              <w:rPr>
                <w:rFonts w:hint="default"/>
                <w:sz w:val="21"/>
                <w:szCs w:val="21"/>
                <w:lang w:val="en-US" w:eastAsia="zh-CN"/>
              </w:rPr>
            </w:pPr>
            <w:r>
              <w:rPr>
                <w:rFonts w:hint="default"/>
                <w:sz w:val="21"/>
                <w:szCs w:val="21"/>
                <w:lang w:val="en-US" w:eastAsia="zh-CN"/>
              </w:rPr>
              <w:t>pH、氨氮、硝酸盐（以N计）、</w:t>
            </w:r>
          </w:p>
          <w:p w14:paraId="79602ED7">
            <w:pPr>
              <w:widowControl w:val="0"/>
              <w:bidi w:val="0"/>
              <w:spacing w:line="240" w:lineRule="auto"/>
              <w:jc w:val="center"/>
              <w:rPr>
                <w:rFonts w:hint="default"/>
                <w:sz w:val="21"/>
                <w:szCs w:val="21"/>
                <w:lang w:val="en-US" w:eastAsia="zh-CN"/>
              </w:rPr>
            </w:pPr>
            <w:r>
              <w:rPr>
                <w:rFonts w:hint="default"/>
                <w:sz w:val="21"/>
                <w:szCs w:val="21"/>
                <w:lang w:val="en-US" w:eastAsia="zh-CN"/>
              </w:rPr>
              <w:t>亚硝酸盐（以N计）、高锰酸盐</w:t>
            </w:r>
          </w:p>
          <w:p w14:paraId="1FE2EA23">
            <w:pPr>
              <w:widowControl w:val="0"/>
              <w:bidi w:val="0"/>
              <w:spacing w:line="240" w:lineRule="auto"/>
              <w:jc w:val="center"/>
              <w:rPr>
                <w:rFonts w:hint="default"/>
                <w:sz w:val="21"/>
                <w:szCs w:val="21"/>
                <w:lang w:val="en-US" w:eastAsia="zh-CN"/>
              </w:rPr>
            </w:pPr>
            <w:r>
              <w:rPr>
                <w:rFonts w:hint="default"/>
                <w:sz w:val="21"/>
                <w:szCs w:val="21"/>
                <w:lang w:val="en-US" w:eastAsia="zh-CN"/>
              </w:rPr>
              <w:t>指数、氯化物、总硬度、硫化物、</w:t>
            </w:r>
          </w:p>
          <w:p w14:paraId="2A687CE6">
            <w:pPr>
              <w:widowControl w:val="0"/>
              <w:bidi w:val="0"/>
              <w:spacing w:line="240" w:lineRule="auto"/>
              <w:jc w:val="center"/>
              <w:rPr>
                <w:rFonts w:hint="default"/>
                <w:sz w:val="21"/>
                <w:szCs w:val="21"/>
                <w:lang w:val="en-US" w:eastAsia="zh-CN"/>
              </w:rPr>
            </w:pPr>
            <w:r>
              <w:rPr>
                <w:rFonts w:hint="default"/>
                <w:sz w:val="21"/>
                <w:szCs w:val="21"/>
                <w:lang w:val="en-US" w:eastAsia="zh-CN"/>
              </w:rPr>
              <w:t>挥发酚、总磷、石油类、粪大肠</w:t>
            </w:r>
          </w:p>
          <w:p w14:paraId="360015AD">
            <w:pPr>
              <w:widowControl w:val="0"/>
              <w:bidi w:val="0"/>
              <w:spacing w:line="240" w:lineRule="auto"/>
              <w:jc w:val="center"/>
              <w:rPr>
                <w:rFonts w:hint="default"/>
                <w:sz w:val="21"/>
                <w:szCs w:val="21"/>
                <w:lang w:val="en-US" w:eastAsia="zh-CN"/>
              </w:rPr>
            </w:pPr>
            <w:r>
              <w:rPr>
                <w:rFonts w:hint="default"/>
                <w:sz w:val="21"/>
                <w:szCs w:val="21"/>
                <w:lang w:val="en-US" w:eastAsia="zh-CN"/>
              </w:rPr>
              <w:t>菌群</w:t>
            </w:r>
          </w:p>
        </w:tc>
        <w:tc>
          <w:tcPr>
            <w:tcW w:w="797" w:type="dxa"/>
            <w:vAlign w:val="center"/>
          </w:tcPr>
          <w:p w14:paraId="7F74EE82">
            <w:pPr>
              <w:widowControl w:val="0"/>
              <w:bidi w:val="0"/>
              <w:spacing w:line="240" w:lineRule="auto"/>
              <w:jc w:val="center"/>
              <w:rPr>
                <w:rFonts w:hint="default"/>
                <w:sz w:val="21"/>
                <w:szCs w:val="21"/>
                <w:lang w:val="en-US" w:eastAsia="zh-CN"/>
              </w:rPr>
            </w:pPr>
            <w:r>
              <w:rPr>
                <w:rFonts w:hint="default"/>
                <w:sz w:val="21"/>
                <w:szCs w:val="21"/>
                <w:lang w:val="en-US" w:eastAsia="zh-CN"/>
              </w:rPr>
              <w:t>每年监测一次</w:t>
            </w:r>
          </w:p>
        </w:tc>
        <w:tc>
          <w:tcPr>
            <w:tcW w:w="926" w:type="dxa"/>
            <w:vAlign w:val="center"/>
          </w:tcPr>
          <w:p w14:paraId="040354D0">
            <w:pPr>
              <w:widowControl w:val="0"/>
              <w:bidi w:val="0"/>
              <w:spacing w:line="240" w:lineRule="auto"/>
              <w:jc w:val="center"/>
              <w:rPr>
                <w:rFonts w:hint="default"/>
                <w:sz w:val="21"/>
                <w:szCs w:val="21"/>
                <w:lang w:val="en-US" w:eastAsia="zh-CN"/>
              </w:rPr>
            </w:pPr>
            <w:r>
              <w:rPr>
                <w:rFonts w:hint="default"/>
                <w:sz w:val="21"/>
                <w:szCs w:val="21"/>
                <w:lang w:val="en-US" w:eastAsia="zh-CN"/>
              </w:rPr>
              <w:t>潜水</w:t>
            </w:r>
          </w:p>
        </w:tc>
        <w:tc>
          <w:tcPr>
            <w:tcW w:w="931" w:type="dxa"/>
            <w:vAlign w:val="center"/>
          </w:tcPr>
          <w:p w14:paraId="1B95EF52">
            <w:pPr>
              <w:widowControl w:val="0"/>
              <w:bidi w:val="0"/>
              <w:spacing w:line="240" w:lineRule="auto"/>
              <w:jc w:val="center"/>
              <w:rPr>
                <w:rFonts w:hint="default"/>
                <w:sz w:val="21"/>
                <w:szCs w:val="21"/>
                <w:lang w:val="en-US" w:eastAsia="zh-CN"/>
              </w:rPr>
            </w:pPr>
            <w:r>
              <w:rPr>
                <w:rFonts w:hint="default"/>
                <w:sz w:val="21"/>
                <w:szCs w:val="21"/>
                <w:lang w:val="en-US" w:eastAsia="zh-CN"/>
              </w:rPr>
              <w:t>/</w:t>
            </w:r>
          </w:p>
        </w:tc>
      </w:tr>
    </w:tbl>
    <w:p w14:paraId="22B321F8">
      <w:pPr>
        <w:numPr>
          <w:ilvl w:val="0"/>
          <w:numId w:val="0"/>
        </w:numPr>
        <w:bidi w:val="0"/>
        <w:spacing w:line="360" w:lineRule="auto"/>
        <w:ind w:firstLine="480" w:firstLineChars="200"/>
        <w:jc w:val="both"/>
        <w:rPr>
          <w:rFonts w:hint="default"/>
          <w:lang w:val="en-US" w:eastAsia="zh-CN"/>
        </w:rPr>
      </w:pPr>
      <w:r>
        <w:rPr>
          <w:rFonts w:hint="default"/>
          <w:lang w:val="en-US" w:eastAsia="zh-CN"/>
        </w:rPr>
        <w:t>2、地下水环境跟踪监测与信息公开计划</w:t>
      </w:r>
    </w:p>
    <w:p w14:paraId="4BA20BBB">
      <w:pPr>
        <w:numPr>
          <w:ilvl w:val="0"/>
          <w:numId w:val="0"/>
        </w:numPr>
        <w:bidi w:val="0"/>
        <w:spacing w:line="360" w:lineRule="auto"/>
        <w:ind w:firstLine="480" w:firstLineChars="200"/>
        <w:jc w:val="both"/>
        <w:rPr>
          <w:rFonts w:hint="default"/>
          <w:lang w:val="en-US" w:eastAsia="zh-CN"/>
        </w:rPr>
      </w:pPr>
      <w:r>
        <w:rPr>
          <w:rFonts w:hint="default"/>
          <w:lang w:val="en-US" w:eastAsia="zh-CN"/>
        </w:rPr>
        <w:t>（1）地下水环境跟踪监测报告</w:t>
      </w:r>
    </w:p>
    <w:p w14:paraId="13FCEE27">
      <w:pPr>
        <w:numPr>
          <w:ilvl w:val="0"/>
          <w:numId w:val="0"/>
        </w:numPr>
        <w:bidi w:val="0"/>
        <w:spacing w:line="360" w:lineRule="auto"/>
        <w:ind w:firstLine="480" w:firstLineChars="200"/>
        <w:jc w:val="both"/>
        <w:rPr>
          <w:rFonts w:hint="default"/>
          <w:lang w:val="en-US" w:eastAsia="zh-CN"/>
        </w:rPr>
      </w:pPr>
      <w:r>
        <w:rPr>
          <w:rFonts w:hint="default"/>
          <w:lang w:val="en-US" w:eastAsia="zh-CN"/>
        </w:rPr>
        <w:t>项目环境保护专职机构负责编制项目地下水环境跟踪监测报告，报告内容应包括以下内容：</w:t>
      </w:r>
    </w:p>
    <w:p w14:paraId="4B73D64F">
      <w:pPr>
        <w:numPr>
          <w:ilvl w:val="0"/>
          <w:numId w:val="0"/>
        </w:numPr>
        <w:bidi w:val="0"/>
        <w:spacing w:line="360" w:lineRule="auto"/>
        <w:ind w:firstLine="480" w:firstLineChars="200"/>
        <w:jc w:val="both"/>
        <w:rPr>
          <w:rFonts w:hint="default"/>
          <w:lang w:val="en-US" w:eastAsia="zh-CN"/>
        </w:rPr>
      </w:pPr>
      <w:r>
        <w:rPr>
          <w:rFonts w:hint="default"/>
          <w:lang w:val="en-US" w:eastAsia="zh-CN"/>
        </w:rPr>
        <w:t>项目厂区及其影响区地下水环境跟踪监测数据，项目排放污染物的种类、数量和浓度等。</w:t>
      </w:r>
    </w:p>
    <w:p w14:paraId="008D4DF1">
      <w:pPr>
        <w:numPr>
          <w:ilvl w:val="0"/>
          <w:numId w:val="0"/>
        </w:numPr>
        <w:bidi w:val="0"/>
        <w:spacing w:line="360" w:lineRule="auto"/>
        <w:ind w:firstLine="480" w:firstLineChars="200"/>
        <w:jc w:val="both"/>
        <w:rPr>
          <w:rFonts w:hint="default"/>
          <w:lang w:val="en-US" w:eastAsia="zh-CN"/>
        </w:rPr>
      </w:pPr>
      <w:r>
        <w:rPr>
          <w:rFonts w:hint="default"/>
          <w:lang w:val="en-US" w:eastAsia="zh-CN"/>
        </w:rPr>
        <w:t>项目生产设备、管廊或管线、化学品原料和成品的贮存与运输装置、固体废物和危险废物暂存场所、应急事故池及应急装置等设施的运行状况、跑冒滴漏记录和维护记录等。</w:t>
      </w:r>
    </w:p>
    <w:p w14:paraId="0B464CC5">
      <w:pPr>
        <w:numPr>
          <w:ilvl w:val="0"/>
          <w:numId w:val="0"/>
        </w:numPr>
        <w:bidi w:val="0"/>
        <w:spacing w:line="360" w:lineRule="auto"/>
        <w:ind w:firstLine="480" w:firstLineChars="200"/>
        <w:jc w:val="both"/>
        <w:rPr>
          <w:rFonts w:hint="default"/>
          <w:lang w:val="en-US" w:eastAsia="zh-CN"/>
        </w:rPr>
      </w:pPr>
      <w:r>
        <w:rPr>
          <w:rFonts w:hint="default"/>
          <w:lang w:val="en-US" w:eastAsia="zh-CN"/>
        </w:rPr>
        <w:t>（2）地下水信息公开计划</w:t>
      </w:r>
    </w:p>
    <w:p w14:paraId="7C22A7B4">
      <w:pPr>
        <w:numPr>
          <w:ilvl w:val="0"/>
          <w:numId w:val="0"/>
        </w:numPr>
        <w:bidi w:val="0"/>
        <w:spacing w:line="360" w:lineRule="auto"/>
        <w:ind w:firstLine="480" w:firstLineChars="200"/>
        <w:jc w:val="both"/>
        <w:rPr>
          <w:rFonts w:hint="default"/>
          <w:lang w:val="en-US" w:eastAsia="zh-CN"/>
        </w:rPr>
      </w:pPr>
      <w:r>
        <w:rPr>
          <w:rFonts w:hint="default"/>
          <w:lang w:val="en-US" w:eastAsia="zh-CN"/>
        </w:rPr>
        <w:t>企业应将地下水监测工作开展情况及监测结果向社会公众公开，公开频率以环境保护主管部门要求为准，一般一年公开一次。公开内容应包括：</w:t>
      </w:r>
    </w:p>
    <w:p w14:paraId="38E837A4">
      <w:pPr>
        <w:numPr>
          <w:ilvl w:val="0"/>
          <w:numId w:val="0"/>
        </w:numPr>
        <w:bidi w:val="0"/>
        <w:spacing w:line="360" w:lineRule="auto"/>
        <w:ind w:firstLine="480" w:firstLineChars="200"/>
        <w:jc w:val="both"/>
        <w:rPr>
          <w:rFonts w:hint="default"/>
          <w:lang w:val="en-US" w:eastAsia="zh-CN"/>
        </w:rPr>
      </w:pPr>
      <w:r>
        <w:rPr>
          <w:rFonts w:hint="default"/>
          <w:lang w:val="en-US" w:eastAsia="zh-CN"/>
        </w:rPr>
        <w:t>基础信息：企业名称、法人代表、所属行业、地理位置、生产周期、联系方式等；</w:t>
      </w:r>
    </w:p>
    <w:p w14:paraId="129D14E9">
      <w:pPr>
        <w:numPr>
          <w:ilvl w:val="0"/>
          <w:numId w:val="0"/>
        </w:numPr>
        <w:bidi w:val="0"/>
        <w:spacing w:line="360" w:lineRule="auto"/>
        <w:ind w:firstLine="480" w:firstLineChars="200"/>
        <w:jc w:val="both"/>
        <w:rPr>
          <w:rFonts w:hint="default"/>
          <w:lang w:val="en-US" w:eastAsia="zh-CN"/>
        </w:rPr>
      </w:pPr>
      <w:r>
        <w:rPr>
          <w:rFonts w:hint="default"/>
          <w:lang w:val="en-US" w:eastAsia="zh-CN"/>
        </w:rPr>
        <w:t>地下水监测方案；</w:t>
      </w:r>
    </w:p>
    <w:p w14:paraId="45FCD65D">
      <w:pPr>
        <w:numPr>
          <w:ilvl w:val="0"/>
          <w:numId w:val="0"/>
        </w:numPr>
        <w:bidi w:val="0"/>
        <w:spacing w:line="360" w:lineRule="auto"/>
        <w:ind w:firstLine="480" w:firstLineChars="200"/>
        <w:jc w:val="both"/>
        <w:rPr>
          <w:rFonts w:hint="default"/>
          <w:lang w:val="en-US" w:eastAsia="zh-CN"/>
        </w:rPr>
      </w:pPr>
      <w:r>
        <w:rPr>
          <w:rFonts w:hint="default"/>
          <w:lang w:val="en-US" w:eastAsia="zh-CN"/>
        </w:rPr>
        <w:t>地下水监测结果：全部监测点位、监测时间、监测基本因子和项目特征因子的地下水环境监测值、标准限值、达标情况、超标倍数等。</w:t>
      </w:r>
    </w:p>
    <w:p w14:paraId="751E78DB">
      <w:pPr>
        <w:bidi w:val="0"/>
        <w:rPr>
          <w:rFonts w:hint="default"/>
          <w:b/>
          <w:bCs/>
          <w:lang w:val="en-US" w:eastAsia="zh-CN"/>
        </w:rPr>
      </w:pPr>
      <w:r>
        <w:rPr>
          <w:rFonts w:hint="eastAsia"/>
          <w:b/>
          <w:bCs/>
          <w:lang w:val="en-US" w:eastAsia="zh-CN"/>
        </w:rPr>
        <w:t>7.5.4</w:t>
      </w:r>
      <w:r>
        <w:rPr>
          <w:rFonts w:hint="default"/>
          <w:b/>
          <w:bCs/>
          <w:lang w:val="en-US" w:eastAsia="zh-CN"/>
        </w:rPr>
        <w:t xml:space="preserve"> 地下水应急预案</w:t>
      </w:r>
    </w:p>
    <w:p w14:paraId="523B3C0D">
      <w:pPr>
        <w:numPr>
          <w:ilvl w:val="0"/>
          <w:numId w:val="0"/>
        </w:numPr>
        <w:bidi w:val="0"/>
        <w:spacing w:line="360" w:lineRule="auto"/>
        <w:ind w:firstLine="480" w:firstLineChars="200"/>
        <w:jc w:val="both"/>
        <w:rPr>
          <w:rFonts w:hint="default"/>
          <w:lang w:val="en-US" w:eastAsia="zh-CN"/>
        </w:rPr>
      </w:pPr>
      <w:r>
        <w:rPr>
          <w:rFonts w:hint="default"/>
          <w:lang w:val="en-US" w:eastAsia="zh-CN"/>
        </w:rPr>
        <w:t>项目应按国家、地方及行业相关规范要求，制定地下水污染应急预案，并在发现地下水受到污染时立刻启动应急预案，采取应急措施阻止污染扩散，防止周边居民人体健康及生态环境受到影响。地下水污染应急预案应包括下列要点：</w:t>
      </w:r>
    </w:p>
    <w:p w14:paraId="496F5668">
      <w:pPr>
        <w:numPr>
          <w:ilvl w:val="0"/>
          <w:numId w:val="0"/>
        </w:numPr>
        <w:bidi w:val="0"/>
        <w:spacing w:line="360" w:lineRule="auto"/>
        <w:ind w:firstLine="480" w:firstLineChars="200"/>
        <w:jc w:val="both"/>
        <w:rPr>
          <w:rFonts w:hint="default"/>
          <w:lang w:val="en-US" w:eastAsia="zh-CN"/>
        </w:rPr>
      </w:pPr>
      <w:r>
        <w:rPr>
          <w:rFonts w:hint="default"/>
          <w:lang w:val="en-US" w:eastAsia="zh-CN"/>
        </w:rPr>
        <w:t>（1）如发现地下水污染事故，应立即向公司环保部门及行政管理部门报告，调查并确认污染源位置；</w:t>
      </w:r>
    </w:p>
    <w:p w14:paraId="4DC90F88">
      <w:pPr>
        <w:numPr>
          <w:ilvl w:val="0"/>
          <w:numId w:val="0"/>
        </w:numPr>
        <w:bidi w:val="0"/>
        <w:spacing w:line="360" w:lineRule="auto"/>
        <w:ind w:firstLine="480" w:firstLineChars="200"/>
        <w:jc w:val="both"/>
        <w:rPr>
          <w:rFonts w:hint="default"/>
          <w:lang w:val="en-US" w:eastAsia="zh-CN"/>
        </w:rPr>
      </w:pPr>
      <w:r>
        <w:rPr>
          <w:rFonts w:hint="default"/>
          <w:lang w:val="en-US" w:eastAsia="zh-CN"/>
        </w:rPr>
        <w:t>（2）采取有效措施及时阻断确认的污染源，防止污染物继续渗漏到地下，导致土壤和地下水污染范围扩大；</w:t>
      </w:r>
    </w:p>
    <w:p w14:paraId="488814D5">
      <w:pPr>
        <w:numPr>
          <w:ilvl w:val="0"/>
          <w:numId w:val="0"/>
        </w:numPr>
        <w:bidi w:val="0"/>
        <w:spacing w:line="360" w:lineRule="auto"/>
        <w:ind w:firstLine="480" w:firstLineChars="200"/>
        <w:jc w:val="both"/>
        <w:rPr>
          <w:rFonts w:hint="default"/>
          <w:lang w:val="en-US" w:eastAsia="zh-CN"/>
        </w:rPr>
      </w:pPr>
      <w:r>
        <w:rPr>
          <w:rFonts w:hint="default"/>
          <w:lang w:val="en-US" w:eastAsia="zh-CN"/>
        </w:rPr>
        <w:t>（3）立即对重污染区域采取有效的修复措施，包括开挖并移走重污染土壤作危险废物处置，对重污染区的地下水抽出并送到应急事故池中，防止污染物在地下继续扩散；</w:t>
      </w:r>
    </w:p>
    <w:p w14:paraId="216DECE7">
      <w:pPr>
        <w:numPr>
          <w:ilvl w:val="0"/>
          <w:numId w:val="0"/>
        </w:numPr>
        <w:bidi w:val="0"/>
        <w:spacing w:line="360" w:lineRule="auto"/>
        <w:ind w:firstLine="480" w:firstLineChars="200"/>
        <w:jc w:val="both"/>
        <w:rPr>
          <w:rFonts w:hint="default"/>
          <w:lang w:val="en-US" w:eastAsia="zh-CN"/>
        </w:rPr>
      </w:pPr>
      <w:r>
        <w:rPr>
          <w:rFonts w:hint="default"/>
          <w:lang w:val="en-US" w:eastAsia="zh-CN"/>
        </w:rPr>
        <w:t>（4）对厂区及周边区域的地下水敏感点和环境保护目标进行取样监测，确定水质是否受到影响。如果水质受到影响，应及时通知相关方并立即停用受影响的地下水。</w:t>
      </w:r>
    </w:p>
    <w:p w14:paraId="5DDB5179">
      <w:pPr>
        <w:pStyle w:val="2"/>
        <w:bidi w:val="0"/>
        <w:rPr>
          <w:rFonts w:hint="eastAsia"/>
          <w:lang w:val="en-US" w:eastAsia="zh-CN"/>
        </w:rPr>
      </w:pPr>
      <w:bookmarkStart w:id="117" w:name="_Toc19167"/>
      <w:r>
        <w:rPr>
          <w:rFonts w:hint="eastAsia"/>
          <w:lang w:val="en-US" w:eastAsia="zh-CN"/>
        </w:rPr>
        <w:t>7.6 土壤污染防治措施</w:t>
      </w:r>
      <w:bookmarkEnd w:id="117"/>
    </w:p>
    <w:p w14:paraId="33884FA5">
      <w:pPr>
        <w:numPr>
          <w:ilvl w:val="0"/>
          <w:numId w:val="0"/>
        </w:numPr>
        <w:bidi w:val="0"/>
        <w:spacing w:line="360" w:lineRule="auto"/>
        <w:ind w:firstLine="480" w:firstLineChars="200"/>
        <w:jc w:val="both"/>
        <w:rPr>
          <w:rFonts w:hint="eastAsia"/>
          <w:lang w:val="en-US" w:eastAsia="zh-CN"/>
        </w:rPr>
      </w:pPr>
      <w:r>
        <w:rPr>
          <w:rFonts w:hint="eastAsia"/>
          <w:lang w:val="en-US" w:eastAsia="zh-CN"/>
        </w:rPr>
        <w:t>项目土壤污染以大气沉降和垂直入渗为主，可能存在污水处理站渗漏导致的土壤污染。根据项目污染特征，建议采取以下措施控制土壤污染：</w:t>
      </w:r>
    </w:p>
    <w:p w14:paraId="65E3FD04">
      <w:pPr>
        <w:numPr>
          <w:ilvl w:val="0"/>
          <w:numId w:val="0"/>
        </w:numPr>
        <w:bidi w:val="0"/>
        <w:spacing w:line="360" w:lineRule="auto"/>
        <w:ind w:firstLine="480" w:firstLineChars="200"/>
        <w:jc w:val="both"/>
        <w:rPr>
          <w:rFonts w:hint="eastAsia"/>
          <w:lang w:val="en-US" w:eastAsia="zh-CN"/>
        </w:rPr>
      </w:pPr>
      <w:r>
        <w:rPr>
          <w:rFonts w:hint="eastAsia"/>
          <w:lang w:val="en-US" w:eastAsia="zh-CN"/>
        </w:rPr>
        <w:t>1、源头控制</w:t>
      </w:r>
    </w:p>
    <w:p w14:paraId="002338B3">
      <w:pPr>
        <w:numPr>
          <w:ilvl w:val="0"/>
          <w:numId w:val="0"/>
        </w:numPr>
        <w:bidi w:val="0"/>
        <w:spacing w:line="360" w:lineRule="auto"/>
        <w:ind w:firstLine="480" w:firstLineChars="200"/>
        <w:jc w:val="both"/>
        <w:rPr>
          <w:rFonts w:hint="eastAsia"/>
          <w:lang w:val="en-US" w:eastAsia="zh-CN"/>
        </w:rPr>
      </w:pPr>
      <w:r>
        <w:rPr>
          <w:rFonts w:hint="eastAsia"/>
          <w:lang w:val="en-US" w:eastAsia="zh-CN"/>
        </w:rPr>
        <w:t>加强废气治理设施和污水处理站的运营维护，确保大气污染治理设施有效运转，污水处理站不发生渗透。事故状态下应停产检修，确保及时处理。</w:t>
      </w:r>
    </w:p>
    <w:p w14:paraId="35059A9B">
      <w:pPr>
        <w:numPr>
          <w:ilvl w:val="0"/>
          <w:numId w:val="0"/>
        </w:numPr>
        <w:bidi w:val="0"/>
        <w:spacing w:line="360" w:lineRule="auto"/>
        <w:ind w:firstLine="480" w:firstLineChars="200"/>
        <w:jc w:val="both"/>
        <w:rPr>
          <w:rFonts w:hint="eastAsia"/>
          <w:lang w:val="en-US" w:eastAsia="zh-CN"/>
        </w:rPr>
      </w:pPr>
      <w:r>
        <w:rPr>
          <w:rFonts w:hint="eastAsia"/>
          <w:lang w:val="en-US" w:eastAsia="zh-CN"/>
        </w:rPr>
        <w:t>2、过程防控措施</w:t>
      </w:r>
    </w:p>
    <w:p w14:paraId="06239704">
      <w:pPr>
        <w:numPr>
          <w:ilvl w:val="0"/>
          <w:numId w:val="0"/>
        </w:numPr>
        <w:bidi w:val="0"/>
        <w:spacing w:line="360" w:lineRule="auto"/>
        <w:ind w:firstLine="480" w:firstLineChars="200"/>
        <w:jc w:val="both"/>
        <w:rPr>
          <w:rFonts w:hint="eastAsia"/>
          <w:lang w:val="en-US" w:eastAsia="zh-CN"/>
        </w:rPr>
      </w:pPr>
      <w:r>
        <w:rPr>
          <w:rFonts w:hint="eastAsia"/>
          <w:lang w:val="en-US" w:eastAsia="zh-CN"/>
        </w:rPr>
        <w:t>加强厂区绿化，种植吸附能力强的乔灌木，减少大气沉降对土壤影响。严格按照地下水污染防治要求，做好污水处理站的防渗工作，防止事故状态发生。</w:t>
      </w:r>
    </w:p>
    <w:p w14:paraId="1CF2E668">
      <w:pPr>
        <w:numPr>
          <w:ilvl w:val="0"/>
          <w:numId w:val="0"/>
        </w:numPr>
        <w:bidi w:val="0"/>
        <w:spacing w:line="360" w:lineRule="auto"/>
        <w:ind w:firstLine="480" w:firstLineChars="200"/>
        <w:jc w:val="both"/>
        <w:rPr>
          <w:rFonts w:hint="eastAsia"/>
          <w:lang w:val="en-US" w:eastAsia="zh-CN"/>
        </w:rPr>
      </w:pPr>
      <w:r>
        <w:rPr>
          <w:rFonts w:hint="eastAsia"/>
          <w:lang w:val="en-US" w:eastAsia="zh-CN"/>
        </w:rPr>
        <w:t>3、建立跟踪监测制度</w:t>
      </w:r>
    </w:p>
    <w:p w14:paraId="1399DB7F">
      <w:pPr>
        <w:numPr>
          <w:ilvl w:val="0"/>
          <w:numId w:val="0"/>
        </w:numPr>
        <w:bidi w:val="0"/>
        <w:spacing w:line="360" w:lineRule="auto"/>
        <w:ind w:firstLine="480" w:firstLineChars="200"/>
        <w:jc w:val="both"/>
        <w:rPr>
          <w:rFonts w:hint="default"/>
          <w:lang w:val="en-US" w:eastAsia="zh-CN"/>
        </w:rPr>
      </w:pPr>
      <w:r>
        <w:rPr>
          <w:rFonts w:hint="eastAsia"/>
          <w:lang w:val="en-US" w:eastAsia="zh-CN"/>
        </w:rPr>
        <w:t>定期对项目可能影响区域的土壤环境质量进行监测，在发现区域土壤中项目排放的特征污染物异常时，及时排查并处理，防止非正常情况下对土壤环境造成污染。</w:t>
      </w:r>
    </w:p>
    <w:p w14:paraId="6F1A877D">
      <w:pPr>
        <w:numPr>
          <w:ilvl w:val="0"/>
          <w:numId w:val="0"/>
        </w:numPr>
        <w:bidi w:val="0"/>
        <w:spacing w:line="360" w:lineRule="auto"/>
        <w:ind w:firstLine="480" w:firstLineChars="200"/>
        <w:jc w:val="both"/>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1502EA8F">
      <w:pPr>
        <w:pStyle w:val="3"/>
        <w:bidi w:val="0"/>
        <w:jc w:val="center"/>
        <w:rPr>
          <w:rFonts w:hint="default"/>
          <w:lang w:val="en-US" w:eastAsia="zh-CN"/>
        </w:rPr>
      </w:pPr>
      <w:bookmarkStart w:id="118" w:name="_Toc7912"/>
      <w:r>
        <w:rPr>
          <w:rFonts w:hint="eastAsia"/>
          <w:lang w:val="en-US" w:eastAsia="zh-CN"/>
        </w:rPr>
        <w:t>第八章 环境影响经济损益分析</w:t>
      </w:r>
      <w:bookmarkEnd w:id="118"/>
    </w:p>
    <w:p w14:paraId="472C9869">
      <w:pPr>
        <w:bidi w:val="0"/>
        <w:ind w:firstLine="480" w:firstLineChars="200"/>
        <w:rPr>
          <w:rFonts w:hint="default"/>
          <w:lang w:val="en-US" w:eastAsia="zh-CN"/>
        </w:rPr>
      </w:pPr>
      <w:r>
        <w:rPr>
          <w:rFonts w:hint="default"/>
          <w:lang w:val="en-US" w:eastAsia="zh-CN"/>
        </w:rPr>
        <w:t>环境经济损益分析是项目生态环境影响评价的一个重要组成部分。其主要任务是衡量建设项目需要投入的环保投资及所能收到的环境保护效果。因此，在环境损益分析中除需要计算用于控制污染所需投资和运行费用外，还要同时核算可能收到的环境与经济实效，甚至还包括项目的社会经济效益，以求对项目环保投资取得的环境保护效果有全面和明确的评价。</w:t>
      </w:r>
    </w:p>
    <w:p w14:paraId="1A257721">
      <w:pPr>
        <w:pStyle w:val="2"/>
        <w:bidi w:val="0"/>
        <w:rPr>
          <w:rFonts w:hint="default"/>
          <w:lang w:val="en-US" w:eastAsia="zh-CN"/>
        </w:rPr>
      </w:pPr>
      <w:bookmarkStart w:id="119" w:name="_Toc11280"/>
      <w:bookmarkStart w:id="120" w:name="_Toc28708"/>
      <w:bookmarkStart w:id="121" w:name="_Toc458784947"/>
      <w:r>
        <w:rPr>
          <w:rFonts w:hint="default"/>
          <w:lang w:val="en-US" w:eastAsia="zh-CN"/>
        </w:rPr>
        <w:t>8.1 环保投资估算</w:t>
      </w:r>
      <w:bookmarkEnd w:id="119"/>
      <w:bookmarkEnd w:id="120"/>
      <w:bookmarkEnd w:id="121"/>
    </w:p>
    <w:p w14:paraId="4F1EEA2C">
      <w:pPr>
        <w:bidi w:val="0"/>
        <w:ind w:firstLine="480" w:firstLineChars="200"/>
        <w:rPr>
          <w:rFonts w:hint="default"/>
          <w:lang w:val="en-US" w:eastAsia="zh-CN"/>
        </w:rPr>
      </w:pPr>
      <w:r>
        <w:rPr>
          <w:rFonts w:hint="default"/>
          <w:lang w:val="en-US" w:eastAsia="zh-CN"/>
        </w:rPr>
        <w:t>各类污染防治措施环保投资估算汇总见下表。</w:t>
      </w:r>
    </w:p>
    <w:p w14:paraId="1BC76106">
      <w:pPr>
        <w:bidi w:val="0"/>
        <w:jc w:val="center"/>
        <w:rPr>
          <w:rFonts w:hint="default"/>
          <w:b/>
          <w:bCs/>
          <w:lang w:val="en-US" w:eastAsia="zh-CN"/>
        </w:rPr>
      </w:pPr>
      <w:r>
        <w:rPr>
          <w:rFonts w:hint="default"/>
          <w:b/>
          <w:bCs/>
          <w:lang w:val="en-US" w:eastAsia="zh-CN"/>
        </w:rPr>
        <w:t>表8.1-1  项目环境保护投资估算一览表</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8"/>
        <w:gridCol w:w="1116"/>
        <w:gridCol w:w="6564"/>
        <w:gridCol w:w="1172"/>
      </w:tblGrid>
      <w:tr w14:paraId="0877B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5" w:type="pct"/>
            <w:vAlign w:val="center"/>
          </w:tcPr>
          <w:p w14:paraId="180BADAA">
            <w:pPr>
              <w:bidi w:val="0"/>
              <w:spacing w:line="240" w:lineRule="auto"/>
              <w:jc w:val="center"/>
              <w:rPr>
                <w:rFonts w:hint="default"/>
                <w:b/>
                <w:bCs/>
                <w:sz w:val="21"/>
                <w:szCs w:val="21"/>
                <w:lang w:val="en-US" w:eastAsia="zh-CN"/>
              </w:rPr>
            </w:pPr>
            <w:r>
              <w:rPr>
                <w:rFonts w:hint="default"/>
                <w:b/>
                <w:bCs/>
                <w:sz w:val="21"/>
                <w:szCs w:val="21"/>
                <w:lang w:val="en-US" w:eastAsia="zh-CN"/>
              </w:rPr>
              <w:t>序号</w:t>
            </w:r>
          </w:p>
        </w:tc>
        <w:tc>
          <w:tcPr>
            <w:tcW w:w="583" w:type="pct"/>
            <w:vAlign w:val="center"/>
          </w:tcPr>
          <w:p w14:paraId="763B9391">
            <w:pPr>
              <w:bidi w:val="0"/>
              <w:spacing w:line="240" w:lineRule="auto"/>
              <w:jc w:val="center"/>
              <w:rPr>
                <w:rFonts w:hint="default"/>
                <w:b/>
                <w:bCs/>
                <w:sz w:val="21"/>
                <w:szCs w:val="21"/>
                <w:lang w:val="en-US" w:eastAsia="zh-CN"/>
              </w:rPr>
            </w:pPr>
            <w:r>
              <w:rPr>
                <w:rFonts w:hint="default"/>
                <w:b/>
                <w:bCs/>
                <w:sz w:val="21"/>
                <w:szCs w:val="21"/>
                <w:lang w:val="en-US" w:eastAsia="zh-CN"/>
              </w:rPr>
              <w:t>污染类型</w:t>
            </w:r>
          </w:p>
        </w:tc>
        <w:tc>
          <w:tcPr>
            <w:tcW w:w="3429" w:type="pct"/>
            <w:vAlign w:val="center"/>
          </w:tcPr>
          <w:p w14:paraId="69581A6D">
            <w:pPr>
              <w:bidi w:val="0"/>
              <w:spacing w:line="240" w:lineRule="auto"/>
              <w:jc w:val="center"/>
              <w:rPr>
                <w:rFonts w:hint="default"/>
                <w:b/>
                <w:bCs/>
                <w:sz w:val="21"/>
                <w:szCs w:val="21"/>
                <w:lang w:val="en-US" w:eastAsia="zh-CN"/>
              </w:rPr>
            </w:pPr>
            <w:r>
              <w:rPr>
                <w:rFonts w:hint="default"/>
                <w:b/>
                <w:bCs/>
                <w:sz w:val="21"/>
                <w:szCs w:val="21"/>
                <w:lang w:val="en-US" w:eastAsia="zh-CN"/>
              </w:rPr>
              <w:t>污染防治措施</w:t>
            </w:r>
          </w:p>
        </w:tc>
        <w:tc>
          <w:tcPr>
            <w:tcW w:w="612" w:type="pct"/>
            <w:vAlign w:val="center"/>
          </w:tcPr>
          <w:p w14:paraId="60873D2F">
            <w:pPr>
              <w:bidi w:val="0"/>
              <w:spacing w:line="240" w:lineRule="auto"/>
              <w:jc w:val="center"/>
              <w:rPr>
                <w:rFonts w:hint="default"/>
                <w:b/>
                <w:bCs/>
                <w:sz w:val="21"/>
                <w:szCs w:val="21"/>
                <w:lang w:val="en-US" w:eastAsia="zh-CN"/>
              </w:rPr>
            </w:pPr>
            <w:r>
              <w:rPr>
                <w:rFonts w:hint="default"/>
                <w:b/>
                <w:bCs/>
                <w:sz w:val="21"/>
                <w:szCs w:val="21"/>
                <w:lang w:val="en-US" w:eastAsia="zh-CN"/>
              </w:rPr>
              <w:t>投资额</w:t>
            </w:r>
          </w:p>
        </w:tc>
      </w:tr>
      <w:tr w14:paraId="700F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5" w:type="pct"/>
            <w:vAlign w:val="center"/>
          </w:tcPr>
          <w:p w14:paraId="5DCB32F4">
            <w:pPr>
              <w:bidi w:val="0"/>
              <w:spacing w:line="240" w:lineRule="auto"/>
              <w:jc w:val="center"/>
              <w:rPr>
                <w:rFonts w:hint="default"/>
                <w:sz w:val="21"/>
                <w:szCs w:val="21"/>
                <w:lang w:val="en-US" w:eastAsia="zh-CN"/>
              </w:rPr>
            </w:pPr>
            <w:r>
              <w:rPr>
                <w:rFonts w:hint="default"/>
                <w:sz w:val="21"/>
                <w:szCs w:val="21"/>
                <w:lang w:val="en-US" w:eastAsia="zh-CN"/>
              </w:rPr>
              <w:t>1</w:t>
            </w:r>
          </w:p>
        </w:tc>
        <w:tc>
          <w:tcPr>
            <w:tcW w:w="583" w:type="pct"/>
            <w:vAlign w:val="center"/>
          </w:tcPr>
          <w:p w14:paraId="6C3E5B04">
            <w:pPr>
              <w:bidi w:val="0"/>
              <w:spacing w:line="240" w:lineRule="auto"/>
              <w:jc w:val="center"/>
              <w:rPr>
                <w:rFonts w:hint="default"/>
                <w:sz w:val="21"/>
                <w:szCs w:val="21"/>
                <w:lang w:val="en-US" w:eastAsia="zh-CN"/>
              </w:rPr>
            </w:pPr>
            <w:r>
              <w:rPr>
                <w:rFonts w:hint="default"/>
                <w:sz w:val="21"/>
                <w:szCs w:val="21"/>
                <w:lang w:val="en-US" w:eastAsia="zh-CN"/>
              </w:rPr>
              <w:t>废气</w:t>
            </w:r>
          </w:p>
        </w:tc>
        <w:tc>
          <w:tcPr>
            <w:tcW w:w="3429" w:type="pct"/>
            <w:vAlign w:val="center"/>
          </w:tcPr>
          <w:p w14:paraId="46BDBEF0">
            <w:pPr>
              <w:spacing w:line="240" w:lineRule="auto"/>
              <w:jc w:val="center"/>
              <w:rPr>
                <w:rFonts w:hint="eastAsia" w:ascii="Times New Roman" w:hAnsi="Times New Roman" w:cs="Times New Roman"/>
                <w:b w:val="0"/>
                <w:bCs w:val="0"/>
                <w:color w:val="auto"/>
                <w:sz w:val="21"/>
                <w:szCs w:val="21"/>
                <w:lang w:val="en-US" w:eastAsia="zh-CN"/>
              </w:rPr>
            </w:pPr>
            <w:r>
              <w:rPr>
                <w:rFonts w:hint="eastAsia" w:ascii="Times New Roman" w:hAnsi="Times New Roman" w:cs="Times New Roman"/>
                <w:b w:val="0"/>
                <w:bCs w:val="0"/>
                <w:color w:val="auto"/>
                <w:sz w:val="21"/>
                <w:szCs w:val="21"/>
                <w:lang w:val="en-US" w:eastAsia="zh-CN"/>
              </w:rPr>
              <w:t>本次技改新增的</w:t>
            </w:r>
            <w:r>
              <w:rPr>
                <w:rFonts w:hint="eastAsia" w:cs="Times New Roman"/>
                <w:b w:val="0"/>
                <w:bCs w:val="0"/>
                <w:color w:val="auto"/>
                <w:sz w:val="21"/>
                <w:szCs w:val="21"/>
                <w:lang w:val="en-US" w:eastAsia="zh-CN"/>
              </w:rPr>
              <w:t>5</w:t>
            </w:r>
            <w:r>
              <w:rPr>
                <w:rFonts w:hint="eastAsia" w:ascii="Times New Roman" w:hAnsi="Times New Roman" w:cs="Times New Roman"/>
                <w:b w:val="0"/>
                <w:bCs w:val="0"/>
                <w:color w:val="auto"/>
                <w:sz w:val="21"/>
                <w:szCs w:val="21"/>
                <w:lang w:val="en-US" w:eastAsia="zh-CN"/>
              </w:rPr>
              <w:t>台</w:t>
            </w:r>
            <w:r>
              <w:rPr>
                <w:rFonts w:hint="eastAsia"/>
                <w:b w:val="0"/>
                <w:bCs w:val="0"/>
                <w:color w:val="auto"/>
                <w:sz w:val="21"/>
                <w:szCs w:val="21"/>
                <w:lang w:val="en-US" w:eastAsia="zh-CN"/>
              </w:rPr>
              <w:t>四分片钝化设备</w:t>
            </w:r>
            <w:r>
              <w:rPr>
                <w:rFonts w:hint="eastAsia" w:ascii="Times New Roman" w:hAnsi="Times New Roman" w:cs="Times New Roman"/>
                <w:b w:val="0"/>
                <w:bCs w:val="0"/>
                <w:color w:val="auto"/>
                <w:sz w:val="21"/>
                <w:szCs w:val="21"/>
                <w:lang w:val="en-US" w:eastAsia="zh-CN"/>
              </w:rPr>
              <w:t>产生的scrubber排风</w:t>
            </w:r>
            <w:r>
              <w:rPr>
                <w:rFonts w:hint="eastAsia" w:ascii="宋体" w:hAnsi="宋体" w:cs="宋体"/>
                <w:sz w:val="21"/>
                <w:szCs w:val="21"/>
                <w:lang w:val="en-US" w:eastAsia="zh-CN" w:bidi="ar-SA"/>
              </w:rPr>
              <w:t>经过</w:t>
            </w:r>
            <w:r>
              <w:rPr>
                <w:rFonts w:hint="default" w:ascii="Times New Roman" w:hAnsi="Times New Roman" w:cs="Times New Roman"/>
                <w:sz w:val="21"/>
                <w:szCs w:val="21"/>
                <w:lang w:val="en-US" w:eastAsia="zh-CN"/>
              </w:rPr>
              <w:t>燃烧筒+2套二级</w:t>
            </w:r>
            <w:r>
              <w:rPr>
                <w:rFonts w:hint="eastAsia" w:cs="Times New Roman"/>
                <w:sz w:val="21"/>
                <w:szCs w:val="21"/>
                <w:lang w:val="en-US" w:eastAsia="zh-CN"/>
              </w:rPr>
              <w:t>水</w:t>
            </w:r>
            <w:r>
              <w:rPr>
                <w:rFonts w:hint="default" w:ascii="Times New Roman" w:hAnsi="Times New Roman" w:cs="Times New Roman"/>
                <w:sz w:val="21"/>
                <w:szCs w:val="21"/>
                <w:lang w:val="en-US" w:eastAsia="zh-CN"/>
              </w:rPr>
              <w:t>喷淋塔（TA0</w:t>
            </w:r>
            <w:r>
              <w:rPr>
                <w:rFonts w:hint="eastAsia" w:cs="Times New Roman"/>
                <w:sz w:val="21"/>
                <w:szCs w:val="21"/>
                <w:lang w:val="en-US" w:eastAsia="zh-CN"/>
              </w:rPr>
              <w:t>23</w:t>
            </w:r>
            <w:r>
              <w:rPr>
                <w:rFonts w:hint="default" w:ascii="Times New Roman" w:hAnsi="Times New Roman" w:cs="Times New Roman"/>
                <w:sz w:val="21"/>
                <w:szCs w:val="21"/>
                <w:lang w:val="en-US" w:eastAsia="zh-CN"/>
              </w:rPr>
              <w:t>）</w:t>
            </w:r>
            <w:r>
              <w:rPr>
                <w:rFonts w:hint="eastAsia" w:cs="Times New Roman"/>
                <w:sz w:val="21"/>
                <w:szCs w:val="21"/>
                <w:lang w:val="en-US" w:eastAsia="zh-CN"/>
              </w:rPr>
              <w:t>处理；</w:t>
            </w:r>
            <w:r>
              <w:rPr>
                <w:rFonts w:hint="eastAsia" w:ascii="宋体" w:hAnsi="宋体" w:cs="宋体"/>
                <w:sz w:val="21"/>
                <w:szCs w:val="21"/>
                <w:lang w:val="en-US" w:eastAsia="zh-CN" w:bidi="ar-SA"/>
              </w:rPr>
              <w:t>真空泵排风经过</w:t>
            </w:r>
            <w:r>
              <w:rPr>
                <w:rFonts w:hint="default" w:ascii="Times New Roman" w:hAnsi="Times New Roman" w:cs="Times New Roman"/>
                <w:sz w:val="21"/>
                <w:szCs w:val="21"/>
                <w:lang w:val="en-US" w:eastAsia="zh-CN" w:bidi="ar-SA"/>
              </w:rPr>
              <w:t>燃烧</w:t>
            </w:r>
            <w:r>
              <w:rPr>
                <w:rFonts w:hint="default" w:ascii="Times New Roman" w:hAnsi="Times New Roman" w:cs="Times New Roman"/>
                <w:sz w:val="21"/>
                <w:szCs w:val="21"/>
                <w:lang w:val="en-US" w:eastAsia="zh-CN"/>
              </w:rPr>
              <w:t>筒</w:t>
            </w:r>
            <w:r>
              <w:rPr>
                <w:rFonts w:hint="default" w:ascii="Times New Roman" w:hAnsi="Times New Roman" w:cs="Times New Roman"/>
                <w:sz w:val="21"/>
                <w:szCs w:val="21"/>
                <w:lang w:val="en-US" w:eastAsia="zh-CN" w:bidi="ar-SA"/>
              </w:rPr>
              <w:t>+2套袋式除尘器+</w:t>
            </w:r>
            <w:r>
              <w:rPr>
                <w:rFonts w:hint="default" w:ascii="Times New Roman" w:hAnsi="Times New Roman" w:cs="Times New Roman"/>
                <w:sz w:val="21"/>
                <w:szCs w:val="21"/>
                <w:lang w:val="en-US" w:eastAsia="zh-CN"/>
              </w:rPr>
              <w:t>2套</w:t>
            </w:r>
            <w:r>
              <w:rPr>
                <w:rFonts w:hint="default" w:ascii="Times New Roman" w:hAnsi="Times New Roman" w:cs="Times New Roman"/>
                <w:sz w:val="21"/>
                <w:szCs w:val="21"/>
                <w:lang w:val="en-US" w:eastAsia="zh-CN" w:bidi="ar-SA"/>
              </w:rPr>
              <w:t>一级</w:t>
            </w:r>
            <w:r>
              <w:rPr>
                <w:rFonts w:hint="eastAsia" w:cs="Times New Roman"/>
                <w:sz w:val="21"/>
                <w:szCs w:val="21"/>
                <w:lang w:val="en-US" w:eastAsia="zh-CN"/>
              </w:rPr>
              <w:t>水</w:t>
            </w:r>
            <w:r>
              <w:rPr>
                <w:rFonts w:hint="default" w:ascii="Times New Roman" w:hAnsi="Times New Roman" w:cs="Times New Roman"/>
                <w:sz w:val="21"/>
                <w:szCs w:val="21"/>
                <w:lang w:val="en-US" w:eastAsia="zh-CN"/>
              </w:rPr>
              <w:t>喷淋塔（TA0</w:t>
            </w:r>
            <w:r>
              <w:rPr>
                <w:rFonts w:hint="eastAsia" w:cs="Times New Roman"/>
                <w:sz w:val="21"/>
                <w:szCs w:val="21"/>
                <w:lang w:val="en-US" w:eastAsia="zh-CN"/>
              </w:rPr>
              <w:t>24</w:t>
            </w:r>
            <w:r>
              <w:rPr>
                <w:rFonts w:hint="default" w:ascii="Times New Roman" w:hAnsi="Times New Roman" w:cs="Times New Roman"/>
                <w:sz w:val="21"/>
                <w:szCs w:val="21"/>
                <w:lang w:val="en-US" w:eastAsia="zh-CN"/>
              </w:rPr>
              <w:t>）</w:t>
            </w:r>
            <w:r>
              <w:rPr>
                <w:rFonts w:hint="eastAsia" w:cs="Times New Roman"/>
                <w:sz w:val="21"/>
                <w:szCs w:val="21"/>
                <w:lang w:val="en-US" w:eastAsia="zh-CN"/>
              </w:rPr>
              <w:t>处理；</w:t>
            </w:r>
            <w:r>
              <w:rPr>
                <w:rFonts w:hint="eastAsia" w:cs="Times New Roman"/>
                <w:b w:val="0"/>
                <w:bCs w:val="0"/>
                <w:color w:val="auto"/>
                <w:sz w:val="21"/>
                <w:szCs w:val="21"/>
                <w:lang w:val="en-US" w:eastAsia="zh-CN"/>
              </w:rPr>
              <w:t>上述废气</w:t>
            </w:r>
            <w:r>
              <w:rPr>
                <w:rFonts w:hint="default" w:ascii="Times New Roman" w:hAnsi="Times New Roman" w:cs="Times New Roman"/>
                <w:sz w:val="21"/>
                <w:szCs w:val="21"/>
                <w:lang w:val="en-US" w:eastAsia="zh-CN"/>
              </w:rPr>
              <w:t>合并</w:t>
            </w:r>
            <w:r>
              <w:rPr>
                <w:rFonts w:hint="eastAsia" w:cs="Times New Roman"/>
                <w:sz w:val="21"/>
                <w:szCs w:val="21"/>
                <w:lang w:val="en-US" w:eastAsia="zh-CN"/>
              </w:rPr>
              <w:t>依托现有</w:t>
            </w:r>
            <w:r>
              <w:rPr>
                <w:rFonts w:hint="default" w:ascii="Times New Roman" w:hAnsi="Times New Roman" w:cs="Times New Roman"/>
                <w:sz w:val="21"/>
                <w:szCs w:val="21"/>
                <w:lang w:val="en-US" w:eastAsia="zh-CN"/>
              </w:rPr>
              <w:t>1根25m高排气筒（DA008）排放（</w:t>
            </w:r>
            <w:r>
              <w:rPr>
                <w:rFonts w:hint="default" w:ascii="Times New Roman" w:hAnsi="Times New Roman" w:eastAsia="宋体" w:cs="Times New Roman"/>
                <w:sz w:val="21"/>
                <w:szCs w:val="21"/>
                <w:lang w:val="en-US" w:eastAsia="zh-CN"/>
              </w:rPr>
              <w:t>φ</w:t>
            </w:r>
            <w:r>
              <w:rPr>
                <w:rFonts w:hint="default" w:ascii="Times New Roman" w:hAnsi="Times New Roman" w:cs="Times New Roman"/>
                <w:sz w:val="21"/>
                <w:szCs w:val="21"/>
                <w:lang w:val="en-US" w:eastAsia="zh-CN"/>
              </w:rPr>
              <w:t>2.4m，Q=</w:t>
            </w:r>
            <w:r>
              <w:rPr>
                <w:rFonts w:hint="eastAsia" w:cs="Times New Roman"/>
                <w:sz w:val="21"/>
                <w:szCs w:val="21"/>
                <w:lang w:val="en-US" w:eastAsia="zh-CN"/>
              </w:rPr>
              <w:t>25000</w:t>
            </w:r>
            <w:r>
              <w:rPr>
                <w:rFonts w:hint="default" w:ascii="Times New Roman" w:hAnsi="Times New Roman" w:cs="Times New Roman"/>
                <w:sz w:val="21"/>
                <w:szCs w:val="21"/>
                <w:lang w:val="en-US" w:eastAsia="zh-CN"/>
              </w:rPr>
              <w:t>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w:t>
            </w:r>
            <w:r>
              <w:rPr>
                <w:rFonts w:hint="eastAsia" w:ascii="Times New Roman" w:hAnsi="Times New Roman" w:cs="Times New Roman"/>
                <w:sz w:val="21"/>
                <w:szCs w:val="21"/>
                <w:lang w:val="en-US" w:eastAsia="zh-CN"/>
              </w:rPr>
              <w:t>；</w:t>
            </w:r>
          </w:p>
          <w:p w14:paraId="347A2E56">
            <w:pPr>
              <w:spacing w:line="240" w:lineRule="auto"/>
              <w:jc w:val="center"/>
              <w:rPr>
                <w:rFonts w:hint="eastAsia" w:ascii="Times New Roman" w:hAnsi="Times New Roman" w:cs="Times New Roman"/>
                <w:b w:val="0"/>
                <w:bCs w:val="0"/>
                <w:color w:val="auto"/>
                <w:sz w:val="21"/>
                <w:szCs w:val="21"/>
                <w:lang w:val="en-US" w:eastAsia="zh-CN"/>
              </w:rPr>
            </w:pPr>
            <w:r>
              <w:rPr>
                <w:rFonts w:hint="eastAsia" w:cs="Times New Roman"/>
                <w:b w:val="0"/>
                <w:bCs w:val="0"/>
                <w:color w:val="auto"/>
                <w:sz w:val="21"/>
                <w:szCs w:val="21"/>
                <w:lang w:val="en-US" w:eastAsia="zh-CN"/>
              </w:rPr>
              <w:t>8套</w:t>
            </w:r>
            <w:r>
              <w:rPr>
                <w:rFonts w:hint="default" w:ascii="Times New Roman" w:hAnsi="Times New Roman" w:cs="Times New Roman"/>
                <w:sz w:val="21"/>
                <w:szCs w:val="21"/>
                <w:lang w:val="en-US" w:eastAsia="zh-CN"/>
              </w:rPr>
              <w:t>丝网印刷设备</w:t>
            </w:r>
            <w:r>
              <w:rPr>
                <w:rFonts w:hint="eastAsia" w:cs="Times New Roman"/>
                <w:sz w:val="21"/>
                <w:szCs w:val="21"/>
                <w:lang w:val="en-US" w:eastAsia="zh-CN"/>
              </w:rPr>
              <w:t>（双轨制，每套包含2套小线）</w:t>
            </w:r>
            <w:r>
              <w:rPr>
                <w:rFonts w:hint="default" w:ascii="Times New Roman" w:hAnsi="Times New Roman" w:cs="Times New Roman"/>
                <w:sz w:val="21"/>
                <w:szCs w:val="21"/>
                <w:lang w:val="en-US" w:eastAsia="zh-CN"/>
              </w:rPr>
              <w:t>产生的丝网印刷废气和</w:t>
            </w:r>
            <w:r>
              <w:rPr>
                <w:rFonts w:hint="eastAsia" w:cs="Times New Roman"/>
                <w:sz w:val="21"/>
                <w:szCs w:val="21"/>
                <w:lang w:val="en-US" w:eastAsia="zh-CN"/>
              </w:rPr>
              <w:t>8</w:t>
            </w:r>
            <w:r>
              <w:rPr>
                <w:rFonts w:hint="eastAsia" w:cs="Times New Roman"/>
                <w:b w:val="0"/>
                <w:bCs w:val="0"/>
                <w:color w:val="auto"/>
                <w:sz w:val="21"/>
                <w:szCs w:val="21"/>
                <w:lang w:val="en-US" w:eastAsia="zh-CN"/>
              </w:rPr>
              <w:t>套</w:t>
            </w:r>
            <w:r>
              <w:rPr>
                <w:rFonts w:hint="default" w:ascii="Times New Roman" w:hAnsi="Times New Roman" w:cs="Times New Roman"/>
                <w:sz w:val="21"/>
                <w:szCs w:val="21"/>
                <w:lang w:val="en-US" w:eastAsia="zh-CN"/>
              </w:rPr>
              <w:t>烧结设备产生的烧结废气经设备自带在线燃烧装置处理后汇总</w:t>
            </w:r>
            <w:r>
              <w:rPr>
                <w:rFonts w:hint="eastAsia" w:cs="Times New Roman"/>
                <w:sz w:val="21"/>
                <w:szCs w:val="21"/>
                <w:lang w:val="en-US" w:eastAsia="zh-CN"/>
              </w:rPr>
              <w:t>，经新建</w:t>
            </w:r>
            <w:r>
              <w:rPr>
                <w:rFonts w:hint="default" w:ascii="Times New Roman" w:hAnsi="Times New Roman" w:cs="Times New Roman"/>
                <w:sz w:val="21"/>
                <w:szCs w:val="21"/>
                <w:lang w:val="en-US" w:eastAsia="zh-CN"/>
              </w:rPr>
              <w:t>6套</w:t>
            </w:r>
            <w:r>
              <w:rPr>
                <w:rFonts w:hint="default" w:ascii="Times New Roman" w:hAnsi="Times New Roman" w:eastAsia="宋体" w:cs="Times New Roman"/>
                <w:color w:val="auto"/>
                <w:sz w:val="21"/>
                <w:szCs w:val="21"/>
                <w:lang w:val="en-US" w:eastAsia="zh-CN" w:bidi="ar-SA"/>
              </w:rPr>
              <w:t>一级</w:t>
            </w:r>
            <w:r>
              <w:rPr>
                <w:rFonts w:hint="default" w:ascii="Times New Roman" w:hAnsi="Times New Roman" w:cs="Times New Roman"/>
                <w:sz w:val="21"/>
                <w:szCs w:val="21"/>
                <w:lang w:val="en-US" w:eastAsia="zh-CN"/>
              </w:rPr>
              <w:t>活性炭吸附装置（TA0</w:t>
            </w:r>
            <w:r>
              <w:rPr>
                <w:rFonts w:hint="eastAsia" w:cs="Times New Roman"/>
                <w:sz w:val="21"/>
                <w:szCs w:val="21"/>
                <w:lang w:val="en-US" w:eastAsia="zh-CN"/>
              </w:rPr>
              <w:t>25</w:t>
            </w:r>
            <w:r>
              <w:rPr>
                <w:rFonts w:hint="default" w:ascii="Times New Roman" w:hAnsi="Times New Roman" w:cs="Times New Roman"/>
                <w:sz w:val="21"/>
                <w:szCs w:val="21"/>
                <w:lang w:val="en-US" w:eastAsia="zh-CN"/>
              </w:rPr>
              <w:t>）处理，尾气经1根25m高排气筒（DA0</w:t>
            </w:r>
            <w:r>
              <w:rPr>
                <w:rFonts w:hint="eastAsia" w:cs="Times New Roman"/>
                <w:sz w:val="21"/>
                <w:szCs w:val="21"/>
                <w:lang w:val="en-US" w:eastAsia="zh-CN"/>
              </w:rPr>
              <w:t>23</w:t>
            </w:r>
            <w:r>
              <w:rPr>
                <w:rFonts w:hint="default" w:ascii="Times New Roman" w:hAnsi="Times New Roman" w:cs="Times New Roman"/>
                <w:sz w:val="21"/>
                <w:szCs w:val="21"/>
                <w:lang w:val="en-US" w:eastAsia="zh-CN"/>
              </w:rPr>
              <w:t>）排放（</w:t>
            </w:r>
            <w:r>
              <w:rPr>
                <w:rFonts w:hint="default" w:ascii="Times New Roman" w:hAnsi="Times New Roman" w:eastAsia="宋体" w:cs="Times New Roman"/>
                <w:sz w:val="21"/>
                <w:szCs w:val="21"/>
                <w:lang w:val="en-US" w:eastAsia="zh-CN"/>
              </w:rPr>
              <w:t>φ</w:t>
            </w:r>
            <w:r>
              <w:rPr>
                <w:rFonts w:hint="default" w:ascii="Times New Roman" w:hAnsi="Times New Roman" w:cs="Times New Roman"/>
                <w:sz w:val="21"/>
                <w:szCs w:val="21"/>
                <w:lang w:val="en-US" w:eastAsia="zh-CN"/>
              </w:rPr>
              <w:t>2.4m，Q=145000m</w:t>
            </w:r>
            <w:r>
              <w:rPr>
                <w:rFonts w:hint="default" w:ascii="Times New Roman" w:hAnsi="Times New Roman" w:cs="Times New Roman"/>
                <w:sz w:val="21"/>
                <w:szCs w:val="21"/>
                <w:vertAlign w:val="superscript"/>
                <w:lang w:val="en-US" w:eastAsia="zh-CN"/>
              </w:rPr>
              <w:t>3</w:t>
            </w:r>
            <w:r>
              <w:rPr>
                <w:rFonts w:hint="default" w:ascii="Times New Roman" w:hAnsi="Times New Roman" w:cs="Times New Roman"/>
                <w:sz w:val="21"/>
                <w:szCs w:val="21"/>
                <w:lang w:val="en-US" w:eastAsia="zh-CN"/>
              </w:rPr>
              <w:t>）</w:t>
            </w:r>
            <w:r>
              <w:rPr>
                <w:rFonts w:hint="eastAsia" w:ascii="Times New Roman" w:hAnsi="Times New Roman" w:cs="Times New Roman"/>
                <w:sz w:val="21"/>
                <w:szCs w:val="21"/>
                <w:lang w:val="en-US" w:eastAsia="zh-CN"/>
              </w:rPr>
              <w:t>；</w:t>
            </w:r>
          </w:p>
          <w:p w14:paraId="3BA2A024">
            <w:pPr>
              <w:spacing w:line="240" w:lineRule="auto"/>
              <w:jc w:val="center"/>
              <w:rPr>
                <w:rFonts w:hint="default" w:ascii="Times New Roman" w:hAnsi="Times New Roman" w:eastAsia="宋体" w:cs="Times New Roman"/>
                <w:b w:val="0"/>
                <w:bCs w:val="0"/>
                <w:color w:val="auto"/>
                <w:sz w:val="21"/>
                <w:szCs w:val="21"/>
                <w:lang w:val="en-US" w:eastAsia="zh-CN" w:bidi="ar-SA"/>
              </w:rPr>
            </w:pPr>
            <w:r>
              <w:rPr>
                <w:rFonts w:hint="eastAsia" w:ascii="Times New Roman" w:hAnsi="Times New Roman" w:cs="Times New Roman"/>
                <w:b w:val="0"/>
                <w:bCs w:val="0"/>
                <w:color w:val="auto"/>
                <w:sz w:val="21"/>
                <w:szCs w:val="21"/>
                <w:lang w:val="en-US" w:eastAsia="zh-CN"/>
              </w:rPr>
              <w:t>本次技改新增的8台</w:t>
            </w:r>
            <w:r>
              <w:rPr>
                <w:rFonts w:hint="eastAsia"/>
                <w:b w:val="0"/>
                <w:bCs w:val="0"/>
                <w:color w:val="auto"/>
                <w:sz w:val="21"/>
                <w:szCs w:val="21"/>
                <w:lang w:val="en-US" w:eastAsia="zh-CN"/>
              </w:rPr>
              <w:t>ME</w:t>
            </w:r>
            <w:r>
              <w:rPr>
                <w:rFonts w:hint="eastAsia" w:ascii="Times New Roman" w:hAnsi="Times New Roman" w:cs="Times New Roman"/>
                <w:b w:val="0"/>
                <w:bCs w:val="0"/>
                <w:color w:val="auto"/>
                <w:sz w:val="21"/>
                <w:szCs w:val="21"/>
                <w:lang w:val="en-US" w:eastAsia="zh-CN"/>
              </w:rPr>
              <w:t>设备产生的</w:t>
            </w:r>
            <w:r>
              <w:rPr>
                <w:rFonts w:hint="eastAsia"/>
                <w:b w:val="0"/>
                <w:bCs w:val="0"/>
                <w:color w:val="auto"/>
                <w:sz w:val="21"/>
                <w:szCs w:val="21"/>
                <w:lang w:val="en-US" w:eastAsia="zh-CN"/>
              </w:rPr>
              <w:t>ME（激光开模）粉尘经设备自带布袋除尘器处理后汇集至热排风系统排出车间；</w:t>
            </w:r>
          </w:p>
          <w:p w14:paraId="3D64E422">
            <w:pPr>
              <w:spacing w:line="240" w:lineRule="auto"/>
              <w:jc w:val="center"/>
              <w:rPr>
                <w:rFonts w:hint="eastAsia" w:ascii="Times New Roman" w:hAnsi="Times New Roman" w:eastAsia="宋体" w:cs="Times New Roman"/>
                <w:b w:val="0"/>
                <w:bCs w:val="0"/>
                <w:color w:val="auto"/>
                <w:sz w:val="21"/>
                <w:szCs w:val="21"/>
                <w:lang w:val="en-US" w:eastAsia="zh-CN" w:bidi="ar-SA"/>
              </w:rPr>
            </w:pPr>
            <w:r>
              <w:rPr>
                <w:rFonts w:hint="eastAsia" w:ascii="Times New Roman" w:hAnsi="Times New Roman" w:cs="Times New Roman"/>
                <w:b w:val="0"/>
                <w:bCs w:val="0"/>
                <w:color w:val="auto"/>
                <w:sz w:val="21"/>
                <w:szCs w:val="21"/>
                <w:lang w:val="en-US" w:eastAsia="zh-CN"/>
              </w:rPr>
              <w:t>本次技改新增的8台AC设备产生的AC（银包铜印刷、固化）废气</w:t>
            </w:r>
            <w:r>
              <w:rPr>
                <w:rFonts w:hint="default" w:ascii="Times New Roman" w:hAnsi="Times New Roman" w:cs="Times New Roman"/>
                <w:sz w:val="21"/>
                <w:szCs w:val="21"/>
                <w:lang w:val="en-US" w:eastAsia="zh-CN"/>
              </w:rPr>
              <w:t>经设备自带在线燃烧装置处理后汇总</w:t>
            </w:r>
            <w:r>
              <w:rPr>
                <w:rFonts w:hint="eastAsia" w:cs="Times New Roman"/>
                <w:sz w:val="21"/>
                <w:szCs w:val="21"/>
                <w:lang w:val="en-US" w:eastAsia="zh-CN"/>
              </w:rPr>
              <w:t>，依托现有</w:t>
            </w:r>
            <w:r>
              <w:rPr>
                <w:rFonts w:hint="default" w:ascii="Times New Roman" w:hAnsi="Times New Roman" w:cs="Times New Roman"/>
                <w:sz w:val="21"/>
                <w:szCs w:val="21"/>
                <w:lang w:val="en-US" w:eastAsia="zh-CN"/>
              </w:rPr>
              <w:t>6套</w:t>
            </w:r>
            <w:r>
              <w:rPr>
                <w:rFonts w:hint="eastAsia"/>
                <w:sz w:val="21"/>
                <w:szCs w:val="21"/>
                <w:lang w:val="en-US" w:eastAsia="zh-CN"/>
              </w:rPr>
              <w:t>一级</w:t>
            </w:r>
            <w:r>
              <w:rPr>
                <w:rFonts w:hint="default" w:ascii="Times New Roman" w:hAnsi="Times New Roman" w:cs="Times New Roman"/>
                <w:sz w:val="21"/>
                <w:szCs w:val="21"/>
                <w:lang w:val="en-US" w:eastAsia="zh-CN"/>
              </w:rPr>
              <w:t>活性炭吸附装置</w:t>
            </w:r>
            <w:r>
              <w:rPr>
                <w:rFonts w:hint="eastAsia"/>
                <w:sz w:val="21"/>
                <w:szCs w:val="21"/>
                <w:lang w:val="en-US" w:eastAsia="zh-CN"/>
              </w:rPr>
              <w:t>（TA004）</w:t>
            </w:r>
            <w:r>
              <w:rPr>
                <w:rFonts w:hint="default" w:ascii="Times New Roman" w:hAnsi="Times New Roman" w:cs="Times New Roman"/>
                <w:sz w:val="21"/>
                <w:szCs w:val="21"/>
                <w:lang w:val="en-US" w:eastAsia="zh-CN"/>
              </w:rPr>
              <w:t>处理，</w:t>
            </w:r>
            <w:r>
              <w:rPr>
                <w:rFonts w:hint="eastAsia"/>
                <w:sz w:val="21"/>
                <w:szCs w:val="21"/>
                <w:lang w:val="en-US" w:eastAsia="zh-CN"/>
              </w:rPr>
              <w:t>尾气经1根25m高排气筒（DA004）排放（</w:t>
            </w:r>
            <w:r>
              <w:rPr>
                <w:rFonts w:hint="eastAsia" w:ascii="宋体" w:hAnsi="宋体" w:eastAsia="宋体" w:cs="宋体"/>
                <w:sz w:val="21"/>
                <w:szCs w:val="21"/>
                <w:lang w:val="en-US" w:eastAsia="zh-CN"/>
              </w:rPr>
              <w:t>φ</w:t>
            </w:r>
            <w:r>
              <w:rPr>
                <w:rFonts w:hint="eastAsia"/>
                <w:sz w:val="21"/>
                <w:szCs w:val="21"/>
                <w:lang w:val="en-US" w:eastAsia="zh-CN"/>
              </w:rPr>
              <w:t>2.4m，Q=135000m</w:t>
            </w:r>
            <w:r>
              <w:rPr>
                <w:rFonts w:hint="eastAsia"/>
                <w:sz w:val="21"/>
                <w:szCs w:val="21"/>
                <w:vertAlign w:val="superscript"/>
                <w:lang w:val="en-US" w:eastAsia="zh-CN"/>
              </w:rPr>
              <w:t>3</w:t>
            </w:r>
            <w:r>
              <w:rPr>
                <w:rFonts w:hint="eastAsia"/>
                <w:sz w:val="21"/>
                <w:szCs w:val="21"/>
                <w:lang w:val="en-US" w:eastAsia="zh-CN"/>
              </w:rPr>
              <w:t>）；</w:t>
            </w:r>
          </w:p>
          <w:p w14:paraId="3363C6C4">
            <w:pPr>
              <w:bidi w:val="0"/>
              <w:spacing w:line="240" w:lineRule="auto"/>
              <w:jc w:val="center"/>
              <w:rPr>
                <w:rFonts w:hint="default"/>
                <w:sz w:val="21"/>
                <w:szCs w:val="21"/>
                <w:lang w:val="en-US" w:eastAsia="zh-CN"/>
              </w:rPr>
            </w:pPr>
            <w:r>
              <w:rPr>
                <w:rFonts w:hint="eastAsia" w:ascii="Times New Roman" w:hAnsi="Times New Roman" w:cs="Times New Roman"/>
                <w:b w:val="0"/>
                <w:bCs w:val="0"/>
                <w:color w:val="auto"/>
                <w:sz w:val="21"/>
                <w:szCs w:val="21"/>
                <w:lang w:val="en-US" w:eastAsia="zh-CN"/>
              </w:rPr>
              <w:t>本次技改新增的</w:t>
            </w:r>
            <w:r>
              <w:rPr>
                <w:rFonts w:hint="eastAsia" w:cs="Times New Roman"/>
                <w:b w:val="0"/>
                <w:bCs w:val="0"/>
                <w:color w:val="auto"/>
                <w:sz w:val="21"/>
                <w:szCs w:val="21"/>
                <w:lang w:val="en-US" w:eastAsia="zh-CN"/>
              </w:rPr>
              <w:t>5</w:t>
            </w:r>
            <w:r>
              <w:rPr>
                <w:rFonts w:hint="eastAsia" w:ascii="Times New Roman" w:hAnsi="Times New Roman" w:cs="Times New Roman"/>
                <w:b w:val="0"/>
                <w:bCs w:val="0"/>
                <w:color w:val="auto"/>
                <w:sz w:val="21"/>
                <w:szCs w:val="21"/>
                <w:lang w:val="en-US" w:eastAsia="zh-CN"/>
              </w:rPr>
              <w:t>台</w:t>
            </w:r>
            <w:r>
              <w:rPr>
                <w:rFonts w:hint="eastAsia"/>
                <w:b w:val="0"/>
                <w:bCs w:val="0"/>
                <w:color w:val="auto"/>
                <w:sz w:val="21"/>
                <w:szCs w:val="21"/>
                <w:lang w:val="en-US" w:eastAsia="zh-CN"/>
              </w:rPr>
              <w:t>激光划片</w:t>
            </w:r>
            <w:r>
              <w:rPr>
                <w:rFonts w:hint="eastAsia" w:ascii="Times New Roman" w:hAnsi="Times New Roman" w:cs="Times New Roman"/>
                <w:b w:val="0"/>
                <w:bCs w:val="0"/>
                <w:color w:val="auto"/>
                <w:sz w:val="21"/>
                <w:szCs w:val="21"/>
                <w:lang w:val="en-US" w:eastAsia="zh-CN"/>
              </w:rPr>
              <w:t>设备产生的</w:t>
            </w:r>
            <w:r>
              <w:rPr>
                <w:rFonts w:hint="eastAsia"/>
                <w:b w:val="0"/>
                <w:bCs w:val="0"/>
                <w:color w:val="auto"/>
                <w:sz w:val="21"/>
                <w:szCs w:val="21"/>
                <w:lang w:val="en-US" w:eastAsia="zh-CN"/>
              </w:rPr>
              <w:t>激光划片粉尘经设备自带布袋除尘器处理后汇集至热排风系统排出车间</w:t>
            </w:r>
          </w:p>
        </w:tc>
        <w:tc>
          <w:tcPr>
            <w:tcW w:w="612" w:type="pct"/>
            <w:vAlign w:val="center"/>
          </w:tcPr>
          <w:p w14:paraId="2DB5EE0B">
            <w:pPr>
              <w:bidi w:val="0"/>
              <w:spacing w:line="240" w:lineRule="auto"/>
              <w:jc w:val="center"/>
              <w:rPr>
                <w:rFonts w:hint="default"/>
                <w:sz w:val="21"/>
                <w:szCs w:val="21"/>
                <w:lang w:val="en-US" w:eastAsia="zh-CN"/>
              </w:rPr>
            </w:pPr>
            <w:r>
              <w:rPr>
                <w:rFonts w:hint="eastAsia"/>
                <w:sz w:val="21"/>
                <w:szCs w:val="21"/>
                <w:lang w:val="en-US" w:eastAsia="zh-CN"/>
              </w:rPr>
              <w:t>440</w:t>
            </w:r>
          </w:p>
        </w:tc>
      </w:tr>
      <w:tr w14:paraId="74D65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5" w:type="pct"/>
            <w:vAlign w:val="center"/>
          </w:tcPr>
          <w:p w14:paraId="6926E102">
            <w:pPr>
              <w:bidi w:val="0"/>
              <w:spacing w:line="240" w:lineRule="auto"/>
              <w:jc w:val="center"/>
              <w:rPr>
                <w:rFonts w:hint="default"/>
                <w:sz w:val="21"/>
                <w:szCs w:val="21"/>
                <w:lang w:val="en-US" w:eastAsia="zh-CN"/>
              </w:rPr>
            </w:pPr>
            <w:r>
              <w:rPr>
                <w:rFonts w:hint="default"/>
                <w:sz w:val="21"/>
                <w:szCs w:val="21"/>
                <w:lang w:val="en-US" w:eastAsia="zh-CN"/>
              </w:rPr>
              <w:t>2</w:t>
            </w:r>
          </w:p>
        </w:tc>
        <w:tc>
          <w:tcPr>
            <w:tcW w:w="583" w:type="pct"/>
            <w:vAlign w:val="center"/>
          </w:tcPr>
          <w:p w14:paraId="5BFE32CD">
            <w:pPr>
              <w:bidi w:val="0"/>
              <w:spacing w:line="240" w:lineRule="auto"/>
              <w:jc w:val="center"/>
              <w:rPr>
                <w:rFonts w:hint="default"/>
                <w:sz w:val="21"/>
                <w:szCs w:val="21"/>
                <w:lang w:val="en-US" w:eastAsia="zh-CN"/>
              </w:rPr>
            </w:pPr>
            <w:r>
              <w:rPr>
                <w:rFonts w:hint="default"/>
                <w:sz w:val="21"/>
                <w:szCs w:val="21"/>
                <w:lang w:val="en-US" w:eastAsia="zh-CN"/>
              </w:rPr>
              <w:t>废水</w:t>
            </w:r>
          </w:p>
        </w:tc>
        <w:tc>
          <w:tcPr>
            <w:tcW w:w="3429" w:type="pct"/>
            <w:vAlign w:val="center"/>
          </w:tcPr>
          <w:p w14:paraId="0508529A">
            <w:pPr>
              <w:bidi w:val="0"/>
              <w:spacing w:line="240" w:lineRule="auto"/>
              <w:jc w:val="center"/>
              <w:rPr>
                <w:rFonts w:hint="default"/>
                <w:sz w:val="21"/>
                <w:szCs w:val="21"/>
                <w:lang w:val="en-US" w:eastAsia="zh-CN"/>
              </w:rPr>
            </w:pPr>
            <w:r>
              <w:rPr>
                <w:rFonts w:hint="default" w:ascii="Times New Roman" w:hAnsi="Times New Roman" w:cs="Times New Roman"/>
                <w:sz w:val="21"/>
                <w:szCs w:val="21"/>
                <w:lang w:val="en-US" w:eastAsia="zh-CN"/>
              </w:rPr>
              <w:t>本次技改项目新增废水主要有铝舟及周托清洗废水、激光划片废水、纯水制备浓水、废气治理设施废水等。其中铝舟及周托清洗废水进入浓碱废水收集池；激光划片废水和废气治理设施废水进入稀碱废水收集池；依托厂区现有除氟系统处理后，与纯水制备浓水一起排入市政污水管网接入合肥循环经济示范园第二污水处理厂集中处理</w:t>
            </w:r>
          </w:p>
        </w:tc>
        <w:tc>
          <w:tcPr>
            <w:tcW w:w="612" w:type="pct"/>
            <w:vAlign w:val="center"/>
          </w:tcPr>
          <w:p w14:paraId="09FB8551">
            <w:pPr>
              <w:bidi w:val="0"/>
              <w:spacing w:line="240" w:lineRule="auto"/>
              <w:jc w:val="center"/>
              <w:rPr>
                <w:rFonts w:hint="default"/>
                <w:sz w:val="21"/>
                <w:szCs w:val="21"/>
                <w:lang w:val="en-US" w:eastAsia="zh-CN"/>
              </w:rPr>
            </w:pPr>
            <w:r>
              <w:rPr>
                <w:rFonts w:hint="eastAsia"/>
                <w:sz w:val="21"/>
                <w:szCs w:val="21"/>
                <w:lang w:val="en-US" w:eastAsia="zh-CN"/>
              </w:rPr>
              <w:t>10</w:t>
            </w:r>
          </w:p>
        </w:tc>
      </w:tr>
      <w:tr w14:paraId="17EF3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5" w:type="pct"/>
            <w:vAlign w:val="center"/>
          </w:tcPr>
          <w:p w14:paraId="3CDD707A">
            <w:pPr>
              <w:bidi w:val="0"/>
              <w:spacing w:line="240" w:lineRule="auto"/>
              <w:jc w:val="center"/>
              <w:rPr>
                <w:rFonts w:hint="default"/>
                <w:sz w:val="21"/>
                <w:szCs w:val="21"/>
                <w:lang w:val="en-US" w:eastAsia="zh-CN"/>
              </w:rPr>
            </w:pPr>
            <w:r>
              <w:rPr>
                <w:rFonts w:hint="default"/>
                <w:sz w:val="21"/>
                <w:szCs w:val="21"/>
                <w:lang w:val="en-US" w:eastAsia="zh-CN"/>
              </w:rPr>
              <w:t>3</w:t>
            </w:r>
          </w:p>
        </w:tc>
        <w:tc>
          <w:tcPr>
            <w:tcW w:w="583" w:type="pct"/>
            <w:vAlign w:val="center"/>
          </w:tcPr>
          <w:p w14:paraId="7C40F5F9">
            <w:pPr>
              <w:bidi w:val="0"/>
              <w:spacing w:line="240" w:lineRule="auto"/>
              <w:jc w:val="center"/>
              <w:rPr>
                <w:rFonts w:hint="default"/>
                <w:sz w:val="21"/>
                <w:szCs w:val="21"/>
                <w:lang w:val="en-US" w:eastAsia="zh-CN"/>
              </w:rPr>
            </w:pPr>
            <w:r>
              <w:rPr>
                <w:rFonts w:hint="default"/>
                <w:sz w:val="21"/>
                <w:szCs w:val="21"/>
                <w:lang w:val="en-US" w:eastAsia="zh-CN"/>
              </w:rPr>
              <w:t>噪声</w:t>
            </w:r>
          </w:p>
        </w:tc>
        <w:tc>
          <w:tcPr>
            <w:tcW w:w="3429" w:type="pct"/>
            <w:vAlign w:val="center"/>
          </w:tcPr>
          <w:p w14:paraId="62933719">
            <w:pPr>
              <w:bidi w:val="0"/>
              <w:spacing w:line="240" w:lineRule="auto"/>
              <w:jc w:val="center"/>
              <w:rPr>
                <w:rFonts w:hint="default"/>
                <w:sz w:val="21"/>
                <w:szCs w:val="21"/>
                <w:lang w:val="en-US" w:eastAsia="zh-CN"/>
              </w:rPr>
            </w:pPr>
            <w:r>
              <w:rPr>
                <w:rFonts w:hint="default"/>
                <w:sz w:val="21"/>
                <w:szCs w:val="21"/>
                <w:lang w:val="en-US" w:eastAsia="zh-CN"/>
              </w:rPr>
              <w:t>基础减震、厂房隔声、消声等降噪措施</w:t>
            </w:r>
          </w:p>
        </w:tc>
        <w:tc>
          <w:tcPr>
            <w:tcW w:w="612" w:type="pct"/>
            <w:vAlign w:val="center"/>
          </w:tcPr>
          <w:p w14:paraId="6E44C258">
            <w:pPr>
              <w:bidi w:val="0"/>
              <w:spacing w:line="240" w:lineRule="auto"/>
              <w:jc w:val="center"/>
              <w:rPr>
                <w:rFonts w:hint="default"/>
                <w:sz w:val="21"/>
                <w:szCs w:val="21"/>
                <w:lang w:val="en-US" w:eastAsia="zh-CN"/>
              </w:rPr>
            </w:pPr>
            <w:r>
              <w:rPr>
                <w:rFonts w:hint="eastAsia"/>
                <w:sz w:val="21"/>
                <w:szCs w:val="21"/>
                <w:lang w:val="en-US" w:eastAsia="zh-CN"/>
              </w:rPr>
              <w:t>50</w:t>
            </w:r>
          </w:p>
        </w:tc>
      </w:tr>
      <w:tr w14:paraId="05DB1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5" w:type="pct"/>
            <w:vAlign w:val="center"/>
          </w:tcPr>
          <w:p w14:paraId="2F0183B0">
            <w:pPr>
              <w:bidi w:val="0"/>
              <w:spacing w:line="240" w:lineRule="auto"/>
              <w:jc w:val="center"/>
              <w:rPr>
                <w:rFonts w:hint="default"/>
                <w:sz w:val="21"/>
                <w:szCs w:val="21"/>
                <w:lang w:val="en-US" w:eastAsia="zh-CN"/>
              </w:rPr>
            </w:pPr>
            <w:r>
              <w:rPr>
                <w:rFonts w:hint="default"/>
                <w:sz w:val="21"/>
                <w:szCs w:val="21"/>
                <w:lang w:val="en-US" w:eastAsia="zh-CN"/>
              </w:rPr>
              <w:t>4</w:t>
            </w:r>
          </w:p>
        </w:tc>
        <w:tc>
          <w:tcPr>
            <w:tcW w:w="583" w:type="pct"/>
            <w:vAlign w:val="center"/>
          </w:tcPr>
          <w:p w14:paraId="6E6138BF">
            <w:pPr>
              <w:bidi w:val="0"/>
              <w:spacing w:line="240" w:lineRule="auto"/>
              <w:jc w:val="center"/>
              <w:rPr>
                <w:rFonts w:hint="default"/>
                <w:sz w:val="21"/>
                <w:szCs w:val="21"/>
                <w:lang w:val="en-US" w:eastAsia="zh-CN"/>
              </w:rPr>
            </w:pPr>
            <w:r>
              <w:rPr>
                <w:rFonts w:hint="default"/>
                <w:sz w:val="21"/>
                <w:szCs w:val="21"/>
                <w:lang w:val="en-US" w:eastAsia="zh-CN"/>
              </w:rPr>
              <w:t>固废</w:t>
            </w:r>
          </w:p>
        </w:tc>
        <w:tc>
          <w:tcPr>
            <w:tcW w:w="3429" w:type="pct"/>
            <w:vAlign w:val="center"/>
          </w:tcPr>
          <w:p w14:paraId="78903A87">
            <w:pPr>
              <w:bidi w:val="0"/>
              <w:spacing w:line="240" w:lineRule="auto"/>
              <w:jc w:val="center"/>
              <w:rPr>
                <w:rFonts w:hint="default"/>
                <w:sz w:val="21"/>
                <w:szCs w:val="21"/>
                <w:lang w:val="en-US" w:eastAsia="zh-CN"/>
              </w:rPr>
            </w:pPr>
            <w:r>
              <w:rPr>
                <w:rFonts w:hint="default" w:ascii="Times New Roman" w:hAnsi="Times New Roman" w:cs="Times New Roman"/>
                <w:b w:val="0"/>
                <w:bCs w:val="0"/>
                <w:color w:val="auto"/>
                <w:sz w:val="21"/>
                <w:szCs w:val="21"/>
                <w:lang w:val="en-US" w:eastAsia="zh-CN"/>
              </w:rPr>
              <w:t>本次技改项目固体废弃物依托现有一般固废暂存间和危废暂存间暂存</w:t>
            </w:r>
          </w:p>
        </w:tc>
        <w:tc>
          <w:tcPr>
            <w:tcW w:w="612" w:type="pct"/>
            <w:vAlign w:val="center"/>
          </w:tcPr>
          <w:p w14:paraId="4058BF6E">
            <w:pPr>
              <w:bidi w:val="0"/>
              <w:spacing w:line="240" w:lineRule="auto"/>
              <w:jc w:val="center"/>
              <w:rPr>
                <w:rFonts w:hint="default"/>
                <w:sz w:val="21"/>
                <w:szCs w:val="21"/>
                <w:lang w:val="en-US" w:eastAsia="zh-CN"/>
              </w:rPr>
            </w:pPr>
            <w:r>
              <w:rPr>
                <w:rFonts w:hint="eastAsia"/>
                <w:sz w:val="21"/>
                <w:szCs w:val="21"/>
                <w:lang w:val="en-US" w:eastAsia="zh-CN"/>
              </w:rPr>
              <w:t>0</w:t>
            </w:r>
          </w:p>
        </w:tc>
      </w:tr>
      <w:tr w14:paraId="135D4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375" w:type="pct"/>
            <w:vAlign w:val="center"/>
          </w:tcPr>
          <w:p w14:paraId="0A2D4E01">
            <w:pPr>
              <w:bidi w:val="0"/>
              <w:spacing w:line="240" w:lineRule="auto"/>
              <w:jc w:val="center"/>
              <w:rPr>
                <w:rFonts w:hint="default"/>
                <w:sz w:val="21"/>
                <w:szCs w:val="21"/>
                <w:lang w:val="en-US" w:eastAsia="zh-CN"/>
              </w:rPr>
            </w:pPr>
            <w:r>
              <w:rPr>
                <w:rFonts w:hint="default"/>
                <w:sz w:val="21"/>
                <w:szCs w:val="21"/>
                <w:lang w:val="en-US" w:eastAsia="zh-CN"/>
              </w:rPr>
              <w:t>5</w:t>
            </w:r>
          </w:p>
        </w:tc>
        <w:tc>
          <w:tcPr>
            <w:tcW w:w="583" w:type="pct"/>
            <w:vAlign w:val="center"/>
          </w:tcPr>
          <w:p w14:paraId="6FEDDD1C">
            <w:pPr>
              <w:bidi w:val="0"/>
              <w:spacing w:line="240" w:lineRule="auto"/>
              <w:jc w:val="center"/>
              <w:rPr>
                <w:rFonts w:hint="default"/>
                <w:sz w:val="21"/>
                <w:szCs w:val="21"/>
                <w:lang w:val="en-US" w:eastAsia="zh-CN"/>
              </w:rPr>
            </w:pPr>
            <w:r>
              <w:rPr>
                <w:rFonts w:hint="default"/>
                <w:sz w:val="21"/>
                <w:szCs w:val="21"/>
                <w:lang w:val="en-US" w:eastAsia="zh-CN"/>
              </w:rPr>
              <w:t>地下水</w:t>
            </w:r>
          </w:p>
        </w:tc>
        <w:tc>
          <w:tcPr>
            <w:tcW w:w="3429" w:type="pct"/>
            <w:vAlign w:val="center"/>
          </w:tcPr>
          <w:p w14:paraId="41668C02">
            <w:pPr>
              <w:bidi w:val="0"/>
              <w:spacing w:line="240" w:lineRule="auto"/>
              <w:jc w:val="center"/>
              <w:rPr>
                <w:rFonts w:hint="default"/>
                <w:sz w:val="21"/>
                <w:szCs w:val="21"/>
                <w:lang w:val="en-US" w:eastAsia="zh-CN"/>
              </w:rPr>
            </w:pPr>
            <w:r>
              <w:rPr>
                <w:rFonts w:hint="default" w:ascii="Times New Roman" w:hAnsi="Times New Roman" w:cs="Times New Roman"/>
                <w:b w:val="0"/>
                <w:bCs w:val="0"/>
                <w:color w:val="auto"/>
                <w:sz w:val="21"/>
                <w:szCs w:val="21"/>
                <w:lang w:val="en-US" w:eastAsia="zh-CN"/>
              </w:rPr>
              <w:t>本次技改项目依托现有环境风险防范措施</w:t>
            </w:r>
          </w:p>
        </w:tc>
        <w:tc>
          <w:tcPr>
            <w:tcW w:w="612" w:type="pct"/>
            <w:vAlign w:val="center"/>
          </w:tcPr>
          <w:p w14:paraId="0564A986">
            <w:pPr>
              <w:bidi w:val="0"/>
              <w:spacing w:line="240" w:lineRule="auto"/>
              <w:jc w:val="center"/>
              <w:rPr>
                <w:rFonts w:hint="default"/>
                <w:sz w:val="21"/>
                <w:szCs w:val="21"/>
                <w:lang w:val="en-US" w:eastAsia="zh-CN"/>
              </w:rPr>
            </w:pPr>
            <w:r>
              <w:rPr>
                <w:rFonts w:hint="eastAsia"/>
                <w:sz w:val="21"/>
                <w:szCs w:val="21"/>
                <w:lang w:val="en-US" w:eastAsia="zh-CN"/>
              </w:rPr>
              <w:t>0</w:t>
            </w:r>
          </w:p>
        </w:tc>
      </w:tr>
      <w:tr w14:paraId="7BBC8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87" w:type="pct"/>
            <w:gridSpan w:val="3"/>
            <w:vAlign w:val="center"/>
          </w:tcPr>
          <w:p w14:paraId="0A261C36">
            <w:pPr>
              <w:bidi w:val="0"/>
              <w:spacing w:line="240" w:lineRule="auto"/>
              <w:jc w:val="center"/>
              <w:rPr>
                <w:rFonts w:hint="default"/>
                <w:sz w:val="21"/>
                <w:szCs w:val="21"/>
                <w:lang w:val="en-US" w:eastAsia="zh-CN"/>
              </w:rPr>
            </w:pPr>
            <w:r>
              <w:rPr>
                <w:rFonts w:hint="default"/>
                <w:sz w:val="21"/>
                <w:szCs w:val="21"/>
                <w:lang w:val="en-US" w:eastAsia="zh-CN"/>
              </w:rPr>
              <w:t>合    计</w:t>
            </w:r>
          </w:p>
        </w:tc>
        <w:tc>
          <w:tcPr>
            <w:tcW w:w="612" w:type="pct"/>
            <w:vAlign w:val="center"/>
          </w:tcPr>
          <w:p w14:paraId="03616720">
            <w:pPr>
              <w:bidi w:val="0"/>
              <w:spacing w:line="240" w:lineRule="auto"/>
              <w:jc w:val="center"/>
              <w:rPr>
                <w:rFonts w:hint="default"/>
                <w:sz w:val="21"/>
                <w:szCs w:val="21"/>
                <w:lang w:val="en-US" w:eastAsia="zh-CN"/>
              </w:rPr>
            </w:pPr>
            <w:r>
              <w:rPr>
                <w:rFonts w:hint="eastAsia"/>
                <w:sz w:val="21"/>
                <w:szCs w:val="21"/>
                <w:lang w:val="en-US" w:eastAsia="zh-CN"/>
              </w:rPr>
              <w:t>500</w:t>
            </w:r>
          </w:p>
        </w:tc>
      </w:tr>
    </w:tbl>
    <w:p w14:paraId="3257BF5C">
      <w:pPr>
        <w:bidi w:val="0"/>
        <w:ind w:firstLine="480" w:firstLineChars="200"/>
        <w:rPr>
          <w:rFonts w:hint="default"/>
          <w:lang w:val="en-US" w:eastAsia="zh-CN"/>
        </w:rPr>
      </w:pPr>
      <w:r>
        <w:rPr>
          <w:rFonts w:hint="default"/>
          <w:lang w:val="en-US" w:eastAsia="zh-CN"/>
        </w:rPr>
        <w:t>由上表估算结果，项目总投资38898.6万元，其中环保投资500万元，占总投资的1.28%。</w:t>
      </w:r>
    </w:p>
    <w:p w14:paraId="6DD32058">
      <w:pPr>
        <w:pStyle w:val="2"/>
        <w:bidi w:val="0"/>
        <w:rPr>
          <w:rFonts w:hint="default"/>
          <w:lang w:val="en-US" w:eastAsia="zh-CN"/>
        </w:rPr>
      </w:pPr>
      <w:bookmarkStart w:id="122" w:name="_Toc19739"/>
      <w:bookmarkStart w:id="123" w:name="_Toc17846"/>
      <w:bookmarkStart w:id="124" w:name="_Toc458784948"/>
      <w:r>
        <w:rPr>
          <w:rFonts w:hint="default"/>
          <w:lang w:val="en-US" w:eastAsia="zh-CN"/>
        </w:rPr>
        <w:t>8.2 环保效益分析</w:t>
      </w:r>
      <w:bookmarkEnd w:id="122"/>
      <w:bookmarkEnd w:id="123"/>
      <w:bookmarkEnd w:id="124"/>
    </w:p>
    <w:p w14:paraId="1243EFD2">
      <w:pPr>
        <w:bidi w:val="0"/>
        <w:ind w:firstLine="480" w:firstLineChars="200"/>
        <w:rPr>
          <w:rFonts w:hint="default"/>
          <w:lang w:val="en-US" w:eastAsia="zh-CN"/>
        </w:rPr>
      </w:pPr>
      <w:r>
        <w:rPr>
          <w:rFonts w:hint="default"/>
          <w:lang w:val="en-US" w:eastAsia="zh-CN"/>
        </w:rPr>
        <w:t>本项目环保投资所获得的正面效益主要表现在以下几个方面：</w:t>
      </w:r>
    </w:p>
    <w:p w14:paraId="3519740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（1）本项目产生的有机废气主要通过</w:t>
      </w:r>
      <w:r>
        <w:rPr>
          <w:rFonts w:hint="eastAsia"/>
          <w:lang w:val="en-US" w:eastAsia="zh-CN"/>
        </w:rPr>
        <w:t>在线燃烧+活性炭吸附</w:t>
      </w:r>
      <w:r>
        <w:rPr>
          <w:rFonts w:hint="default"/>
          <w:lang w:val="en-US" w:eastAsia="zh-CN"/>
        </w:rPr>
        <w:t>方式处理，有效地减少了废气污染物的排放量，减轻了对周围空气质量的影响，有效减缓了对区域内人体健康和农业生态的影响；</w:t>
      </w:r>
    </w:p>
    <w:p w14:paraId="498306D8">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（2）危险废物的综合利用和处置减轻了对周围水体、大气、土壤等环境的影响；</w:t>
      </w:r>
    </w:p>
    <w:p w14:paraId="6662F4A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此外，本项目符合市场发展需求，可以提高公司的市场竞争力，经济效益明显。同时，随着本项目的实施，可以推动</w:t>
      </w:r>
      <w:r>
        <w:rPr>
          <w:rFonts w:hint="eastAsia"/>
          <w:lang w:val="en-US" w:eastAsia="zh-CN"/>
        </w:rPr>
        <w:t>合肥</w:t>
      </w:r>
      <w:r>
        <w:rPr>
          <w:rFonts w:hint="default"/>
          <w:lang w:val="en-US" w:eastAsia="zh-CN"/>
        </w:rPr>
        <w:t>市尤其是</w:t>
      </w:r>
      <w:r>
        <w:rPr>
          <w:rFonts w:hint="eastAsia"/>
          <w:lang w:val="en-US" w:eastAsia="zh-CN"/>
        </w:rPr>
        <w:t>合肥循环经济示范园</w:t>
      </w:r>
      <w:r>
        <w:rPr>
          <w:rFonts w:hint="default"/>
          <w:lang w:val="en-US" w:eastAsia="zh-CN"/>
        </w:rPr>
        <w:t>相关产业的发展，增加国民经济产值和当地政府税收，提高社会就业机会，其社会效益显著。</w:t>
      </w:r>
    </w:p>
    <w:p w14:paraId="436C02F9">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综合分析，本项目实施后环境效益显著，各项措施到位后可以有效规避环境污染事故发生，保护区域生态环境，并做到污染物达标排放。</w:t>
      </w:r>
    </w:p>
    <w:p w14:paraId="2A9CF529">
      <w:pPr>
        <w:pStyle w:val="2"/>
        <w:bidi w:val="0"/>
        <w:rPr>
          <w:rFonts w:hint="default"/>
          <w:lang w:val="en-US" w:eastAsia="zh-CN"/>
        </w:rPr>
      </w:pPr>
      <w:bookmarkStart w:id="125" w:name="_Toc23071"/>
      <w:bookmarkStart w:id="126" w:name="_Toc28741"/>
      <w:bookmarkStart w:id="127" w:name="_Toc458784949"/>
      <w:r>
        <w:rPr>
          <w:rFonts w:hint="default"/>
          <w:lang w:val="en-US" w:eastAsia="zh-CN"/>
        </w:rPr>
        <w:t>8.3 小结</w:t>
      </w:r>
      <w:bookmarkEnd w:id="125"/>
      <w:bookmarkEnd w:id="126"/>
      <w:bookmarkEnd w:id="127"/>
    </w:p>
    <w:p w14:paraId="1479BC1C">
      <w:pPr>
        <w:bidi w:val="0"/>
        <w:ind w:firstLine="480" w:firstLineChars="200"/>
        <w:rPr>
          <w:rFonts w:hint="default"/>
          <w:lang w:val="en-US" w:eastAsia="zh-CN"/>
        </w:rPr>
      </w:pPr>
      <w:r>
        <w:rPr>
          <w:rFonts w:hint="default"/>
          <w:lang w:val="en-US" w:eastAsia="zh-CN"/>
        </w:rPr>
        <w:t>因此，本次评价认为，项目的建设过程中，通过合理的环保投资，保证各项污染防治措施的落实，可以使运行后的各类污染物做到稳定、达标排放，从而实现经济效益、社会效益和环境效益的统一。</w:t>
      </w:r>
    </w:p>
    <w:p w14:paraId="04BEC00F">
      <w:pPr>
        <w:bidi w:val="0"/>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p>
    <w:p w14:paraId="46813854">
      <w:pPr>
        <w:pStyle w:val="3"/>
        <w:bidi w:val="0"/>
        <w:jc w:val="center"/>
        <w:rPr>
          <w:rFonts w:hint="eastAsia"/>
          <w:lang w:val="en-US" w:eastAsia="zh-CN"/>
        </w:rPr>
      </w:pPr>
      <w:bookmarkStart w:id="128" w:name="_Toc17799"/>
      <w:r>
        <w:rPr>
          <w:rFonts w:hint="eastAsia"/>
          <w:lang w:val="en-US" w:eastAsia="zh-CN"/>
        </w:rPr>
        <w:t>第九章 环境管理与监测计划</w:t>
      </w:r>
      <w:bookmarkEnd w:id="128"/>
    </w:p>
    <w:p w14:paraId="56C9BC69">
      <w:pPr>
        <w:bidi w:val="0"/>
        <w:ind w:firstLine="480" w:firstLineChars="200"/>
        <w:rPr>
          <w:rFonts w:hint="eastAsia"/>
          <w:lang w:val="en-US" w:eastAsia="zh-CN"/>
        </w:rPr>
      </w:pPr>
      <w:r>
        <w:rPr>
          <w:rFonts w:hint="eastAsia"/>
          <w:lang w:val="en-US" w:eastAsia="zh-CN"/>
        </w:rPr>
        <w:t>环境管理是企业管理中一项重要的专业管理。加强环境监督和管理力度，是实现环境效益、社会效益、经济效益协调发展和走可持续发展道路的重要措施。环境监测是工业污染防治的依据和环境管理的耳目。加强污染监控工作，是了解和掌握企业排污特征，研究污染发展趋势，开展环保技术研究和综合利用能源的有效途径。随着人民生活水平的不断提高和环保意识的不断增强，对于建设项目所引起的周围生活环境质量影响日益受到普遍关注，这就要求企业能够及时的掌握本企业的生产和排污状况，据此制定严格的环境管理与环境监控计划，并确保其认真落实，才能最大限度的减少污染物的产生与排放。</w:t>
      </w:r>
    </w:p>
    <w:p w14:paraId="43AC66A8">
      <w:pPr>
        <w:pStyle w:val="2"/>
        <w:bidi w:val="0"/>
        <w:rPr>
          <w:rFonts w:hint="eastAsia"/>
          <w:lang w:val="en-US" w:eastAsia="zh-CN"/>
        </w:rPr>
      </w:pPr>
      <w:bookmarkStart w:id="129" w:name="_Toc161056745"/>
      <w:bookmarkStart w:id="130" w:name="_Toc250734531"/>
      <w:bookmarkStart w:id="131" w:name="_Toc9913"/>
      <w:bookmarkStart w:id="132" w:name="_Toc482714080"/>
      <w:bookmarkStart w:id="133" w:name="_Toc215548936"/>
      <w:bookmarkStart w:id="134" w:name="_Toc181686489"/>
      <w:bookmarkStart w:id="135" w:name="_Toc180808321"/>
      <w:bookmarkStart w:id="136" w:name="_Toc162857337"/>
      <w:bookmarkStart w:id="137" w:name="_Toc24764"/>
      <w:bookmarkStart w:id="138" w:name="_Toc182638522"/>
      <w:bookmarkStart w:id="139" w:name="_Toc164000636"/>
      <w:bookmarkStart w:id="140" w:name="_Toc518309689"/>
      <w:bookmarkStart w:id="141" w:name="_Toc160508035"/>
      <w:bookmarkStart w:id="142" w:name="_Toc488339960"/>
      <w:bookmarkStart w:id="143" w:name="_Toc160145978"/>
      <w:bookmarkStart w:id="144" w:name="_Toc162859024"/>
      <w:bookmarkStart w:id="145" w:name="_Toc162858938"/>
      <w:bookmarkStart w:id="146" w:name="_Toc181015507"/>
      <w:bookmarkStart w:id="147" w:name="_Toc162858756"/>
      <w:bookmarkStart w:id="148" w:name="_Toc4454"/>
      <w:bookmarkStart w:id="149" w:name="_Toc289868677"/>
      <w:bookmarkStart w:id="150" w:name="_Toc160615899"/>
      <w:bookmarkStart w:id="151" w:name="_Toc162864545"/>
      <w:r>
        <w:rPr>
          <w:rFonts w:hint="eastAsia"/>
          <w:lang w:val="en-US" w:eastAsia="zh-CN"/>
        </w:rPr>
        <w:t>9.1 环境管理</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895A862">
      <w:pPr>
        <w:bidi w:val="0"/>
        <w:ind w:firstLine="480" w:firstLineChars="200"/>
        <w:rPr>
          <w:rFonts w:hint="eastAsia"/>
          <w:lang w:val="en-US" w:eastAsia="zh-CN"/>
        </w:rPr>
      </w:pPr>
      <w:r>
        <w:rPr>
          <w:rFonts w:hint="eastAsia"/>
          <w:lang w:val="en-US" w:eastAsia="zh-CN"/>
        </w:rPr>
        <w:t>企业环境管理的基本任务是以保护环境为目标，清洁生产为手段，发展生产与经济效益为目的，可以促进企业的生产管理、物资管理和技术管理，使资源、能源得到充分利用，降低企业能耗、物耗，减少污染物排放总量，起到保护环境，改善企业与周围群众的关系，同时也使企业达到提高经济效益的目的。</w:t>
      </w:r>
    </w:p>
    <w:p w14:paraId="67D2EDFD">
      <w:pPr>
        <w:bidi w:val="0"/>
        <w:rPr>
          <w:rFonts w:hint="eastAsia"/>
          <w:b/>
          <w:bCs/>
          <w:lang w:val="en-US" w:eastAsia="zh-CN"/>
        </w:rPr>
      </w:pPr>
      <w:r>
        <w:rPr>
          <w:rFonts w:hint="eastAsia"/>
          <w:b/>
          <w:bCs/>
          <w:lang w:val="en-US" w:eastAsia="zh-CN"/>
        </w:rPr>
        <w:t>9.1.1 施工期环境管理</w:t>
      </w:r>
    </w:p>
    <w:p w14:paraId="1974E70E">
      <w:pPr>
        <w:bidi w:val="0"/>
        <w:ind w:firstLine="480" w:firstLineChars="200"/>
        <w:rPr>
          <w:rFonts w:hint="eastAsia"/>
          <w:lang w:val="en-US" w:eastAsia="zh-CN"/>
        </w:rPr>
      </w:pPr>
      <w:r>
        <w:rPr>
          <w:rFonts w:hint="eastAsia"/>
          <w:lang w:val="en-US" w:eastAsia="zh-CN"/>
        </w:rPr>
        <w:t>为加强施工现场管理，防止施工扬尘污染和施工噪声扰民，本评价对项目施工期环境管理机构设置及其职责如下要求：</w:t>
      </w:r>
    </w:p>
    <w:p w14:paraId="3D272DEC">
      <w:pPr>
        <w:bidi w:val="0"/>
        <w:ind w:firstLine="480" w:firstLineChars="200"/>
        <w:rPr>
          <w:rFonts w:hint="eastAsia"/>
          <w:lang w:val="en-US" w:eastAsia="zh-CN"/>
        </w:rPr>
      </w:pPr>
      <w:r>
        <w:rPr>
          <w:rFonts w:hint="eastAsia"/>
          <w:lang w:val="en-US" w:eastAsia="zh-CN"/>
        </w:rPr>
        <w:t>（1）建设单位已配备若干名具有环保专业知识的技术人员，专职或兼职负责施工期的环境保护工作，其主要职责如下：</w:t>
      </w:r>
    </w:p>
    <w:p w14:paraId="75C012BE">
      <w:pPr>
        <w:bidi w:val="0"/>
        <w:ind w:firstLine="480" w:firstLineChars="200"/>
        <w:rPr>
          <w:rFonts w:hint="eastAsia"/>
          <w:lang w:val="en-US" w:eastAsia="zh-CN"/>
        </w:rPr>
      </w:pPr>
      <w:r>
        <w:rPr>
          <w:rFonts w:hint="eastAsia"/>
          <w:lang w:val="en-US" w:eastAsia="zh-CN"/>
        </w:rPr>
        <w:t>①根据国家及地方政策有关施工管理条例和施工操作规范，结合项目特点，制定施工环境管理条例，为施工单位的施工活动提出具体要求；</w:t>
      </w:r>
    </w:p>
    <w:p w14:paraId="2863E7B5">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②监督、检查施工单位对条例的执行情况；</w:t>
      </w:r>
    </w:p>
    <w:p w14:paraId="35A01265">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③受理对施工过程中的环境保护意见，并及时与施工单位协商解决；</w:t>
      </w:r>
    </w:p>
    <w:p w14:paraId="5EEFBBF6">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④参与有关环境纠纷和污染事故的调查处理工作。</w:t>
      </w:r>
    </w:p>
    <w:p w14:paraId="101486D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（2）施工单位设置若干名专职或兼职环境保护人员，其主要职责为：</w:t>
      </w:r>
    </w:p>
    <w:p w14:paraId="2B75DC8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①按建设单位和生态环境影响评价要求制定文明施工计划，向当地环保行政部分提交施工阶段环境保护报告。内容应包括：工程进度、主要施工内容及方法、造成的环境影响评述以及减缓环境影响措施的落实情况；</w:t>
      </w:r>
    </w:p>
    <w:p w14:paraId="4021EBC7">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②与业主单位环保人员一同制定本工程施工环境管理条例；</w:t>
      </w:r>
    </w:p>
    <w:p w14:paraId="3FEEF2D7">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③定期检查施工环境管理条例实施情况，并督促有关人员进行整改；</w:t>
      </w:r>
    </w:p>
    <w:p w14:paraId="0B921BD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④定期听取生态环境主管部门、建设单位和周围居民对施工污染影响的意见，以便进一步加强文明施工。</w:t>
      </w:r>
    </w:p>
    <w:p w14:paraId="6A8612B4">
      <w:pPr>
        <w:bidi w:val="0"/>
        <w:rPr>
          <w:rFonts w:hint="eastAsia"/>
          <w:b/>
          <w:bCs/>
          <w:lang w:val="en-US" w:eastAsia="zh-CN"/>
        </w:rPr>
      </w:pPr>
      <w:r>
        <w:rPr>
          <w:rFonts w:hint="eastAsia"/>
          <w:b/>
          <w:bCs/>
          <w:lang w:val="en-US" w:eastAsia="zh-CN"/>
        </w:rPr>
        <w:t>9.1.2 运营期环境管理</w:t>
      </w:r>
    </w:p>
    <w:p w14:paraId="2C1BBD9A">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（1）环境管理机构</w:t>
      </w:r>
    </w:p>
    <w:p w14:paraId="5EC2F5A4">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根据国家有关规定要求，为切实加强环境保护工作，做好全厂污染源的监控，环境保护管理应采取总经理负责制，并配备专职或兼职环保管理人员，负责项目的环保工作。</w:t>
      </w:r>
    </w:p>
    <w:p w14:paraId="58C18274">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（2）环境管理的职责及工作内容</w:t>
      </w:r>
    </w:p>
    <w:p w14:paraId="36613C6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①贯彻执行《中华人民共和国生态环境法典》及其有关法律、法规，按国家的环保政策、环境标准及环境监测要求，指定环境管理规章制度，并监督执行；</w:t>
      </w:r>
    </w:p>
    <w:p w14:paraId="48F6BAD8">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②掌握本企业各污染源治理措施工艺、设备、运行及维护等资料，掌握废物综合利用情况，建立污染控制管理档案及废气、废水控制系统管理台账；</w:t>
      </w:r>
    </w:p>
    <w:p w14:paraId="44959545">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③制定生产过程中各项污染物排放指标以及环保设施的运行参数，并定期考核统计；</w:t>
      </w:r>
    </w:p>
    <w:p w14:paraId="62C7BD3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④推广应用先进的环保技术和经验，组织开展环保专业技术培训，搞好环境保护的宣传工作，提高全厂人员的环境保护意识；</w:t>
      </w:r>
    </w:p>
    <w:p w14:paraId="125BAC5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⑤监督项目环保设施的安装、调试等工作，坚持“三同时”原则，保证环保设施的设计、施工、运行与主体工程同时进行；</w:t>
      </w:r>
    </w:p>
    <w:p w14:paraId="27E9EA0E">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⑥组织开展本单位环境保护专业技术培训，提高人员素质；</w:t>
      </w:r>
    </w:p>
    <w:p w14:paraId="28759ECC">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⑦认真落实企业污染物排放总量控制指标，解决落实过程出现的问题。</w:t>
      </w:r>
    </w:p>
    <w:p w14:paraId="02FB087C">
      <w:pPr>
        <w:pStyle w:val="2"/>
        <w:bidi w:val="0"/>
        <w:rPr>
          <w:rFonts w:hint="eastAsia"/>
          <w:lang w:val="en-US" w:eastAsia="zh-CN"/>
        </w:rPr>
      </w:pPr>
      <w:bookmarkStart w:id="152" w:name="_Toc27696"/>
      <w:bookmarkStart w:id="153" w:name="_Toc488339961"/>
      <w:bookmarkStart w:id="154" w:name="_Toc29489"/>
      <w:bookmarkStart w:id="155" w:name="_Toc518309690"/>
      <w:bookmarkStart w:id="156" w:name="_Toc11750"/>
      <w:bookmarkStart w:id="157" w:name="_Toc482714082"/>
      <w:bookmarkStart w:id="158" w:name="_Toc482714081"/>
      <w:r>
        <w:rPr>
          <w:rFonts w:hint="eastAsia"/>
          <w:lang w:val="en-US" w:eastAsia="zh-CN"/>
        </w:rPr>
        <w:t>9.2 环境监测计划</w:t>
      </w:r>
      <w:bookmarkEnd w:id="152"/>
      <w:bookmarkEnd w:id="153"/>
      <w:bookmarkEnd w:id="154"/>
      <w:bookmarkEnd w:id="155"/>
      <w:bookmarkEnd w:id="156"/>
      <w:bookmarkEnd w:id="157"/>
    </w:p>
    <w:p w14:paraId="7073B8DB">
      <w:pPr>
        <w:bidi w:val="0"/>
        <w:ind w:firstLine="480" w:firstLineChars="200"/>
        <w:rPr>
          <w:rFonts w:hint="eastAsia"/>
          <w:lang w:val="en-US" w:eastAsia="zh-CN"/>
        </w:rPr>
      </w:pPr>
      <w:r>
        <w:rPr>
          <w:rFonts w:hint="eastAsia"/>
          <w:lang w:val="en-US" w:eastAsia="zh-CN"/>
        </w:rPr>
        <w:t>根据工程特点，污染源、污染物排放情况及《排污单位自行监测技术指南总则》（HJ819-2017）、</w:t>
      </w:r>
      <w:r>
        <w:rPr>
          <w:rFonts w:hint="default"/>
        </w:rPr>
        <w:t>《排污许可申请与核发技术规范 电池工业》（HJ</w:t>
      </w:r>
      <w:r>
        <w:rPr>
          <w:rFonts w:hint="eastAsia"/>
          <w:lang w:val="en-US" w:eastAsia="zh-CN"/>
        </w:rPr>
        <w:t xml:space="preserve"> </w:t>
      </w:r>
      <w:r>
        <w:rPr>
          <w:rFonts w:hint="default"/>
        </w:rPr>
        <w:t>967-2018）</w:t>
      </w:r>
      <w:r>
        <w:rPr>
          <w:rFonts w:hint="eastAsia"/>
          <w:lang w:val="en-US" w:eastAsia="zh-CN"/>
        </w:rPr>
        <w:t>、</w:t>
      </w:r>
      <w:r>
        <w:rPr>
          <w:rFonts w:hint="eastAsia"/>
          <w:lang w:val="en-US" w:eastAsia="zh-CN"/>
        </w:rPr>
        <w:fldChar w:fldCharType="begin"/>
      </w:r>
      <w:r>
        <w:rPr>
          <w:rFonts w:hint="eastAsia"/>
          <w:lang w:val="en-US" w:eastAsia="zh-CN"/>
        </w:rPr>
        <w:instrText xml:space="preserve"> HYPERLINK "https://www.mee.gov.cn/ywgz/fgbz/bz/bzwb/jcffbz/202112/W020211206540057951639.pdf" </w:instrText>
      </w:r>
      <w:r>
        <w:rPr>
          <w:rFonts w:hint="eastAsia"/>
          <w:lang w:val="en-US" w:eastAsia="zh-CN"/>
        </w:rPr>
        <w:fldChar w:fldCharType="separate"/>
      </w:r>
      <w:r>
        <w:rPr>
          <w:rFonts w:hint="eastAsia"/>
          <w:lang w:val="en-US" w:eastAsia="zh-CN"/>
        </w:rPr>
        <w:t>排污单位自行监测技术指南 电池工业（HJ 1204—2021）</w:t>
      </w:r>
      <w:r>
        <w:rPr>
          <w:rFonts w:hint="eastAsia"/>
          <w:lang w:val="en-US" w:eastAsia="zh-CN"/>
        </w:rPr>
        <w:fldChar w:fldCharType="end"/>
      </w:r>
      <w:r>
        <w:rPr>
          <w:rFonts w:hint="eastAsia"/>
          <w:lang w:val="en-US" w:eastAsia="zh-CN"/>
        </w:rPr>
        <w:t>，提出如下监测要求：</w:t>
      </w:r>
    </w:p>
    <w:p w14:paraId="020A6CD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（1）应定期对产生的废气、废水及厂界噪声进行监测。</w:t>
      </w:r>
    </w:p>
    <w:p w14:paraId="568952E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厂区废水总排口、废气排口等应设置规范的排污标志。采样点一经确定，不得随意更改，并设置污染源标志牌，在厂总排水口标志牌内容包括点位名称、编号、排污去向及主要污染因子等，并在依托厂区总排水口现有在线监测设施。污水排放实施排放过程控制，企业安装排水过程控制系统，实现24小时在线智能监控和管理。</w:t>
      </w:r>
    </w:p>
    <w:p w14:paraId="730DEB74">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（3）定期向生态环境主管部门上报监测结果。</w:t>
      </w:r>
    </w:p>
    <w:p w14:paraId="5950F55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4）按照《污染源监测技术规范》设置采样点。废气排放口必须符合规定的高度和按《污染源监测技术规范》便于采样、监测的要求，设置直径不小于75mm的采样口，不监测时用管帽、盖板等封闭，并设置采样平台。如无法满足要求的，其采样口与环境监测部门共同确认。</w:t>
      </w:r>
    </w:p>
    <w:p w14:paraId="71198B6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（6）经确定的采样点是法定排污监测点，如因其它原因变更时，及时报请再行确定。</w:t>
      </w:r>
    </w:p>
    <w:p w14:paraId="0D763D1D">
      <w:pPr>
        <w:bidi w:val="0"/>
        <w:rPr>
          <w:rFonts w:hint="eastAsia"/>
          <w:b/>
          <w:bCs/>
          <w:lang w:val="en-US" w:eastAsia="zh-CN"/>
        </w:rPr>
      </w:pPr>
      <w:r>
        <w:rPr>
          <w:rFonts w:hint="eastAsia"/>
          <w:b/>
          <w:bCs/>
          <w:lang w:val="en-US" w:eastAsia="zh-CN"/>
        </w:rPr>
        <w:t>9.2.1 污染源监测计划</w:t>
      </w:r>
    </w:p>
    <w:p w14:paraId="295668A5">
      <w:pPr>
        <w:bidi w:val="0"/>
        <w:ind w:firstLine="480" w:firstLineChars="200"/>
        <w:rPr>
          <w:rFonts w:hint="eastAsia"/>
          <w:lang w:val="en-US" w:eastAsia="zh-CN"/>
        </w:rPr>
      </w:pPr>
      <w:r>
        <w:rPr>
          <w:rFonts w:hint="eastAsia"/>
          <w:lang w:val="en-US" w:eastAsia="zh-CN"/>
        </w:rPr>
        <w:t>项目产生废气、噪声可依托自有人员、场所、设备开展自行检测或委托其它监测机构代其开展监测，废水通过安装排水过程控制系统进行检测。本工程污染源监测计划依据《排污单位自行监测技术指南总则》（HJ819-2017）、</w:t>
      </w:r>
      <w:r>
        <w:rPr>
          <w:rFonts w:hint="default"/>
        </w:rPr>
        <w:t>《排污许可申请与核发技术规范 电池工业》（HJ</w:t>
      </w:r>
      <w:r>
        <w:rPr>
          <w:rFonts w:hint="eastAsia"/>
          <w:lang w:val="en-US" w:eastAsia="zh-CN"/>
        </w:rPr>
        <w:t xml:space="preserve"> </w:t>
      </w:r>
      <w:r>
        <w:rPr>
          <w:rFonts w:hint="default"/>
        </w:rPr>
        <w:t>967-2018）</w:t>
      </w:r>
      <w:r>
        <w:rPr>
          <w:rFonts w:hint="eastAsia"/>
          <w:lang w:val="en-US" w:eastAsia="zh-CN"/>
        </w:rPr>
        <w:t>、</w:t>
      </w:r>
      <w:r>
        <w:rPr>
          <w:rFonts w:hint="eastAsia"/>
          <w:lang w:val="en-US" w:eastAsia="zh-CN"/>
        </w:rPr>
        <w:fldChar w:fldCharType="begin"/>
      </w:r>
      <w:r>
        <w:rPr>
          <w:rFonts w:hint="eastAsia"/>
          <w:lang w:val="en-US" w:eastAsia="zh-CN"/>
        </w:rPr>
        <w:instrText xml:space="preserve"> HYPERLINK "https://www.mee.gov.cn/ywgz/fgbz/bz/bzwb/jcffbz/202112/W020211206540057951639.pdf" </w:instrText>
      </w:r>
      <w:r>
        <w:rPr>
          <w:rFonts w:hint="eastAsia"/>
          <w:lang w:val="en-US" w:eastAsia="zh-CN"/>
        </w:rPr>
        <w:fldChar w:fldCharType="separate"/>
      </w:r>
      <w:r>
        <w:rPr>
          <w:rFonts w:hint="eastAsia"/>
          <w:lang w:val="en-US" w:eastAsia="zh-CN"/>
        </w:rPr>
        <w:t>排污单位自行监测技术指南 电池工业（HJ 1204—2021）</w:t>
      </w:r>
      <w:r>
        <w:rPr>
          <w:rFonts w:hint="eastAsia"/>
          <w:lang w:val="en-US" w:eastAsia="zh-CN"/>
        </w:rPr>
        <w:fldChar w:fldCharType="end"/>
      </w:r>
      <w:r>
        <w:rPr>
          <w:rFonts w:hint="eastAsia"/>
          <w:lang w:val="en-US" w:eastAsia="zh-CN"/>
        </w:rPr>
        <w:t>执行，项目污染源监测计划见下表。</w:t>
      </w:r>
      <w:bookmarkStart w:id="159" w:name="_Toc518309691"/>
      <w:bookmarkStart w:id="160" w:name="_Toc488339962"/>
    </w:p>
    <w:p w14:paraId="79075258">
      <w:pPr>
        <w:bidi w:val="0"/>
        <w:jc w:val="center"/>
        <w:rPr>
          <w:rFonts w:hint="eastAsia"/>
          <w:b/>
          <w:bCs/>
          <w:lang w:val="en-US" w:eastAsia="zh-CN"/>
        </w:rPr>
      </w:pPr>
      <w:r>
        <w:rPr>
          <w:rFonts w:hint="eastAsia"/>
          <w:b/>
          <w:bCs/>
          <w:lang w:val="en-US" w:eastAsia="zh-CN"/>
        </w:rPr>
        <w:t>表9.2.1-1 污染源监测工作计划一览表</w:t>
      </w:r>
    </w:p>
    <w:tbl>
      <w:tblPr>
        <w:tblStyle w:val="17"/>
        <w:tblW w:w="5000" w:type="pct"/>
        <w:tblInd w:w="0" w:type="dxa"/>
        <w:tblLayout w:type="fixed"/>
        <w:tblCellMar>
          <w:top w:w="0" w:type="dxa"/>
          <w:left w:w="0" w:type="dxa"/>
          <w:bottom w:w="0" w:type="dxa"/>
          <w:right w:w="0" w:type="dxa"/>
        </w:tblCellMar>
      </w:tblPr>
      <w:tblGrid>
        <w:gridCol w:w="768"/>
        <w:gridCol w:w="1596"/>
        <w:gridCol w:w="1947"/>
        <w:gridCol w:w="3934"/>
        <w:gridCol w:w="1133"/>
      </w:tblGrid>
      <w:tr w14:paraId="63628C37">
        <w:tblPrEx>
          <w:tblCellMar>
            <w:top w:w="0" w:type="dxa"/>
            <w:left w:w="0" w:type="dxa"/>
            <w:bottom w:w="0" w:type="dxa"/>
            <w:right w:w="0" w:type="dxa"/>
          </w:tblCellMar>
        </w:tblPrEx>
        <w:trPr>
          <w:trHeight w:val="427" w:hRule="atLeast"/>
        </w:trPr>
        <w:tc>
          <w:tcPr>
            <w:tcW w:w="768"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0F0B7464">
            <w:pPr>
              <w:bidi w:val="0"/>
              <w:spacing w:line="240" w:lineRule="auto"/>
              <w:jc w:val="center"/>
              <w:rPr>
                <w:rFonts w:hint="eastAsia"/>
                <w:b/>
                <w:bCs/>
                <w:sz w:val="21"/>
                <w:szCs w:val="21"/>
                <w:lang w:val="en-US" w:eastAsia="zh-CN"/>
              </w:rPr>
            </w:pPr>
            <w:r>
              <w:rPr>
                <w:rFonts w:hint="eastAsia"/>
                <w:b/>
                <w:bCs/>
                <w:sz w:val="21"/>
                <w:szCs w:val="21"/>
                <w:lang w:val="en-US" w:eastAsia="zh-CN"/>
              </w:rPr>
              <w:t>类别</w:t>
            </w:r>
          </w:p>
        </w:tc>
        <w:tc>
          <w:tcPr>
            <w:tcW w:w="3543" w:type="dxa"/>
            <w:gridSpan w:val="2"/>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679F545C">
            <w:pPr>
              <w:bidi w:val="0"/>
              <w:spacing w:line="240" w:lineRule="auto"/>
              <w:jc w:val="center"/>
              <w:rPr>
                <w:rFonts w:hint="eastAsia"/>
                <w:b/>
                <w:bCs/>
                <w:sz w:val="21"/>
                <w:szCs w:val="21"/>
                <w:lang w:val="en-US" w:eastAsia="zh-CN"/>
              </w:rPr>
            </w:pPr>
            <w:r>
              <w:rPr>
                <w:rFonts w:hint="eastAsia"/>
                <w:b/>
                <w:bCs/>
                <w:sz w:val="21"/>
                <w:szCs w:val="21"/>
                <w:lang w:val="en-US" w:eastAsia="zh-CN"/>
              </w:rPr>
              <w:t>监测点位</w:t>
            </w:r>
          </w:p>
        </w:tc>
        <w:tc>
          <w:tcPr>
            <w:tcW w:w="4174"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4B3C77C0">
            <w:pPr>
              <w:bidi w:val="0"/>
              <w:spacing w:line="240" w:lineRule="auto"/>
              <w:jc w:val="center"/>
              <w:rPr>
                <w:rFonts w:hint="eastAsia"/>
                <w:b/>
                <w:bCs/>
                <w:sz w:val="21"/>
                <w:szCs w:val="21"/>
                <w:lang w:val="en-US" w:eastAsia="zh-CN"/>
              </w:rPr>
            </w:pPr>
            <w:r>
              <w:rPr>
                <w:rFonts w:hint="eastAsia"/>
                <w:b/>
                <w:bCs/>
                <w:sz w:val="21"/>
                <w:szCs w:val="21"/>
                <w:lang w:val="en-US" w:eastAsia="zh-CN"/>
              </w:rPr>
              <w:t>监测指标</w:t>
            </w:r>
          </w:p>
        </w:tc>
        <w:tc>
          <w:tcPr>
            <w:tcW w:w="1133"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2E4E982F">
            <w:pPr>
              <w:bidi w:val="0"/>
              <w:spacing w:line="240" w:lineRule="auto"/>
              <w:jc w:val="center"/>
              <w:rPr>
                <w:rFonts w:hint="eastAsia"/>
                <w:b/>
                <w:bCs/>
                <w:sz w:val="21"/>
                <w:szCs w:val="21"/>
                <w:lang w:val="en-US" w:eastAsia="zh-CN"/>
              </w:rPr>
            </w:pPr>
            <w:r>
              <w:rPr>
                <w:rFonts w:hint="eastAsia"/>
                <w:b/>
                <w:bCs/>
                <w:sz w:val="21"/>
                <w:szCs w:val="21"/>
                <w:lang w:val="en-US" w:eastAsia="zh-CN"/>
              </w:rPr>
              <w:t>监测频次</w:t>
            </w:r>
          </w:p>
        </w:tc>
      </w:tr>
      <w:tr w14:paraId="1DDA6FBB">
        <w:tblPrEx>
          <w:tblCellMar>
            <w:top w:w="0" w:type="dxa"/>
            <w:left w:w="0" w:type="dxa"/>
            <w:bottom w:w="0" w:type="dxa"/>
            <w:right w:w="0" w:type="dxa"/>
          </w:tblCellMar>
        </w:tblPrEx>
        <w:trPr>
          <w:trHeight w:val="716" w:hRule="atLeast"/>
        </w:trPr>
        <w:tc>
          <w:tcPr>
            <w:tcW w:w="768" w:type="dxa"/>
            <w:vMerge w:val="restart"/>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67C84068">
            <w:pPr>
              <w:bidi w:val="0"/>
              <w:spacing w:line="240" w:lineRule="auto"/>
              <w:jc w:val="center"/>
              <w:rPr>
                <w:rFonts w:hint="eastAsia"/>
                <w:sz w:val="21"/>
                <w:szCs w:val="21"/>
                <w:lang w:val="en-US" w:eastAsia="zh-CN"/>
              </w:rPr>
            </w:pPr>
            <w:r>
              <w:rPr>
                <w:rFonts w:hint="eastAsia"/>
                <w:sz w:val="21"/>
                <w:szCs w:val="21"/>
                <w:lang w:val="en-US" w:eastAsia="zh-CN"/>
              </w:rPr>
              <w:t>废气</w:t>
            </w:r>
          </w:p>
        </w:tc>
        <w:tc>
          <w:tcPr>
            <w:tcW w:w="3543" w:type="dxa"/>
            <w:gridSpan w:val="2"/>
            <w:tcBorders>
              <w:top w:val="single" w:color="000000" w:sz="4" w:space="0"/>
              <w:left w:val="single" w:color="000000" w:sz="4" w:space="0"/>
              <w:right w:val="single" w:color="000000" w:sz="4" w:space="0"/>
            </w:tcBorders>
            <w:tcMar>
              <w:top w:w="12" w:type="dxa"/>
              <w:left w:w="12" w:type="dxa"/>
              <w:right w:w="12" w:type="dxa"/>
            </w:tcMar>
            <w:vAlign w:val="center"/>
          </w:tcPr>
          <w:p w14:paraId="11DDF49D">
            <w:pPr>
              <w:bidi w:val="0"/>
              <w:spacing w:line="240" w:lineRule="auto"/>
              <w:jc w:val="center"/>
              <w:rPr>
                <w:rFonts w:hint="eastAsia" w:ascii="Times New Roman" w:hAnsi="Times New Roman" w:eastAsia="宋体" w:cs="宋体"/>
                <w:sz w:val="21"/>
                <w:szCs w:val="21"/>
                <w:lang w:val="en-US" w:eastAsia="zh-CN" w:bidi="ar-SA"/>
              </w:rPr>
            </w:pPr>
            <w:r>
              <w:rPr>
                <w:rFonts w:hint="eastAsia" w:ascii="Times New Roman" w:hAnsi="Times New Roman" w:eastAsia="宋体" w:cs="宋体"/>
                <w:sz w:val="21"/>
                <w:szCs w:val="21"/>
                <w:lang w:val="en-US" w:eastAsia="zh-CN" w:bidi="ar-SA"/>
              </w:rPr>
              <w:t>DA004</w:t>
            </w:r>
          </w:p>
        </w:tc>
        <w:tc>
          <w:tcPr>
            <w:tcW w:w="4174" w:type="dxa"/>
            <w:tcBorders>
              <w:top w:val="single" w:color="000000" w:sz="4" w:space="0"/>
              <w:left w:val="single" w:color="000000" w:sz="4" w:space="0"/>
              <w:right w:val="single" w:color="000000" w:sz="4" w:space="0"/>
            </w:tcBorders>
            <w:tcMar>
              <w:top w:w="12" w:type="dxa"/>
              <w:left w:w="12" w:type="dxa"/>
              <w:right w:w="12" w:type="dxa"/>
            </w:tcMar>
            <w:vAlign w:val="center"/>
          </w:tcPr>
          <w:p w14:paraId="75ED93B5">
            <w:pPr>
              <w:bidi w:val="0"/>
              <w:spacing w:line="240" w:lineRule="auto"/>
              <w:jc w:val="center"/>
              <w:rPr>
                <w:rFonts w:hint="eastAsia"/>
                <w:sz w:val="21"/>
                <w:szCs w:val="21"/>
                <w:lang w:val="en-US" w:eastAsia="zh-CN"/>
              </w:rPr>
            </w:pPr>
            <w:r>
              <w:rPr>
                <w:rFonts w:hint="eastAsia"/>
                <w:sz w:val="21"/>
                <w:szCs w:val="21"/>
                <w:lang w:val="en-US" w:eastAsia="zh-CN"/>
              </w:rPr>
              <w:t>颗粒物</w:t>
            </w:r>
          </w:p>
        </w:tc>
        <w:tc>
          <w:tcPr>
            <w:tcW w:w="1133"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2AB497D2">
            <w:pPr>
              <w:bidi w:val="0"/>
              <w:spacing w:line="240" w:lineRule="auto"/>
              <w:jc w:val="center"/>
              <w:rPr>
                <w:rFonts w:hint="eastAsia"/>
                <w:sz w:val="21"/>
                <w:szCs w:val="21"/>
                <w:lang w:val="en-US" w:eastAsia="zh-CN"/>
              </w:rPr>
            </w:pPr>
            <w:r>
              <w:rPr>
                <w:rFonts w:hint="eastAsia"/>
                <w:sz w:val="21"/>
                <w:szCs w:val="21"/>
                <w:lang w:val="en-US" w:eastAsia="zh-CN"/>
              </w:rPr>
              <w:t>1次/半年</w:t>
            </w:r>
          </w:p>
        </w:tc>
      </w:tr>
      <w:tr w14:paraId="54F03085">
        <w:tblPrEx>
          <w:tblCellMar>
            <w:top w:w="0" w:type="dxa"/>
            <w:left w:w="0" w:type="dxa"/>
            <w:bottom w:w="0" w:type="dxa"/>
            <w:right w:w="0" w:type="dxa"/>
          </w:tblCellMar>
        </w:tblPrEx>
        <w:trPr>
          <w:trHeight w:val="716" w:hRule="atLeast"/>
        </w:trPr>
        <w:tc>
          <w:tcPr>
            <w:tcW w:w="768" w:type="dxa"/>
            <w:vMerge w:val="continue"/>
            <w:tcBorders>
              <w:left w:val="single" w:color="000000" w:sz="4" w:space="0"/>
              <w:right w:val="single" w:color="000000" w:sz="4" w:space="0"/>
            </w:tcBorders>
            <w:tcMar>
              <w:top w:w="12" w:type="dxa"/>
              <w:left w:w="12" w:type="dxa"/>
              <w:right w:w="12" w:type="dxa"/>
            </w:tcMar>
            <w:vAlign w:val="center"/>
          </w:tcPr>
          <w:p w14:paraId="6579E888">
            <w:pPr>
              <w:bidi w:val="0"/>
              <w:spacing w:line="240" w:lineRule="auto"/>
              <w:jc w:val="center"/>
              <w:rPr>
                <w:rFonts w:hint="eastAsia"/>
                <w:sz w:val="21"/>
                <w:szCs w:val="21"/>
                <w:lang w:val="en-US" w:eastAsia="zh-CN"/>
              </w:rPr>
            </w:pPr>
          </w:p>
        </w:tc>
        <w:tc>
          <w:tcPr>
            <w:tcW w:w="3543" w:type="dxa"/>
            <w:gridSpan w:val="2"/>
            <w:tcBorders>
              <w:top w:val="single" w:color="000000" w:sz="4" w:space="0"/>
              <w:left w:val="single" w:color="000000" w:sz="4" w:space="0"/>
              <w:right w:val="single" w:color="000000" w:sz="4" w:space="0"/>
            </w:tcBorders>
            <w:tcMar>
              <w:top w:w="12" w:type="dxa"/>
              <w:left w:w="12" w:type="dxa"/>
              <w:right w:w="12" w:type="dxa"/>
            </w:tcMar>
            <w:vAlign w:val="center"/>
          </w:tcPr>
          <w:p w14:paraId="16220488">
            <w:pPr>
              <w:bidi w:val="0"/>
              <w:spacing w:line="240" w:lineRule="auto"/>
              <w:jc w:val="center"/>
              <w:rPr>
                <w:rFonts w:hint="default" w:ascii="Times New Roman" w:hAnsi="Times New Roman" w:eastAsia="宋体" w:cs="宋体"/>
                <w:sz w:val="21"/>
                <w:szCs w:val="21"/>
                <w:lang w:val="en-US" w:eastAsia="zh-CN" w:bidi="ar-SA"/>
              </w:rPr>
            </w:pPr>
            <w:r>
              <w:rPr>
                <w:rFonts w:hint="eastAsia" w:ascii="Times New Roman" w:hAnsi="Times New Roman" w:eastAsia="宋体" w:cs="宋体"/>
                <w:sz w:val="21"/>
                <w:szCs w:val="21"/>
                <w:lang w:val="en-US" w:eastAsia="zh-CN" w:bidi="ar-SA"/>
              </w:rPr>
              <w:t>DA008</w:t>
            </w:r>
          </w:p>
        </w:tc>
        <w:tc>
          <w:tcPr>
            <w:tcW w:w="4174" w:type="dxa"/>
            <w:tcBorders>
              <w:top w:val="single" w:color="000000" w:sz="4" w:space="0"/>
              <w:left w:val="single" w:color="000000" w:sz="4" w:space="0"/>
              <w:right w:val="single" w:color="000000" w:sz="4" w:space="0"/>
            </w:tcBorders>
            <w:tcMar>
              <w:top w:w="12" w:type="dxa"/>
              <w:left w:w="12" w:type="dxa"/>
              <w:right w:w="12" w:type="dxa"/>
            </w:tcMar>
            <w:vAlign w:val="center"/>
          </w:tcPr>
          <w:p w14:paraId="3FF84250">
            <w:pPr>
              <w:bidi w:val="0"/>
              <w:spacing w:line="240" w:lineRule="auto"/>
              <w:jc w:val="center"/>
              <w:rPr>
                <w:rFonts w:hint="eastAsia"/>
                <w:sz w:val="21"/>
                <w:szCs w:val="21"/>
                <w:lang w:val="en-US" w:eastAsia="zh-CN"/>
              </w:rPr>
            </w:pPr>
            <w:r>
              <w:rPr>
                <w:rFonts w:hint="eastAsia"/>
                <w:sz w:val="21"/>
                <w:szCs w:val="21"/>
                <w:lang w:val="en-US" w:eastAsia="zh-CN"/>
              </w:rPr>
              <w:t>非甲烷总烃</w:t>
            </w:r>
          </w:p>
        </w:tc>
        <w:tc>
          <w:tcPr>
            <w:tcW w:w="1133"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2B728F08">
            <w:pPr>
              <w:bidi w:val="0"/>
              <w:spacing w:line="240" w:lineRule="auto"/>
              <w:jc w:val="center"/>
              <w:rPr>
                <w:rFonts w:hint="eastAsia"/>
                <w:sz w:val="21"/>
                <w:szCs w:val="21"/>
                <w:lang w:val="en-US" w:eastAsia="zh-CN"/>
              </w:rPr>
            </w:pPr>
            <w:r>
              <w:rPr>
                <w:rFonts w:hint="eastAsia"/>
                <w:sz w:val="21"/>
                <w:szCs w:val="21"/>
                <w:lang w:val="en-US" w:eastAsia="zh-CN"/>
              </w:rPr>
              <w:t>1次/半年</w:t>
            </w:r>
          </w:p>
        </w:tc>
      </w:tr>
      <w:tr w14:paraId="1DFCA2C8">
        <w:tblPrEx>
          <w:tblCellMar>
            <w:top w:w="0" w:type="dxa"/>
            <w:left w:w="0" w:type="dxa"/>
            <w:bottom w:w="0" w:type="dxa"/>
            <w:right w:w="0" w:type="dxa"/>
          </w:tblCellMar>
        </w:tblPrEx>
        <w:trPr>
          <w:trHeight w:val="716" w:hRule="atLeast"/>
        </w:trPr>
        <w:tc>
          <w:tcPr>
            <w:tcW w:w="768" w:type="dxa"/>
            <w:vMerge w:val="continue"/>
            <w:tcBorders>
              <w:left w:val="single" w:color="000000" w:sz="4" w:space="0"/>
              <w:right w:val="single" w:color="000000" w:sz="4" w:space="0"/>
            </w:tcBorders>
            <w:tcMar>
              <w:top w:w="12" w:type="dxa"/>
              <w:left w:w="12" w:type="dxa"/>
              <w:right w:w="12" w:type="dxa"/>
            </w:tcMar>
            <w:vAlign w:val="center"/>
          </w:tcPr>
          <w:p w14:paraId="63CCA90A">
            <w:pPr>
              <w:bidi w:val="0"/>
              <w:spacing w:line="240" w:lineRule="auto"/>
              <w:jc w:val="center"/>
              <w:rPr>
                <w:rFonts w:hint="eastAsia"/>
                <w:sz w:val="21"/>
                <w:szCs w:val="21"/>
                <w:lang w:val="en-US" w:eastAsia="zh-CN"/>
              </w:rPr>
            </w:pPr>
          </w:p>
        </w:tc>
        <w:tc>
          <w:tcPr>
            <w:tcW w:w="3543" w:type="dxa"/>
            <w:gridSpan w:val="2"/>
            <w:tcBorders>
              <w:top w:val="single" w:color="000000" w:sz="4" w:space="0"/>
              <w:left w:val="single" w:color="000000" w:sz="4" w:space="0"/>
              <w:right w:val="single" w:color="000000" w:sz="4" w:space="0"/>
            </w:tcBorders>
            <w:tcMar>
              <w:top w:w="12" w:type="dxa"/>
              <w:left w:w="12" w:type="dxa"/>
              <w:right w:w="12" w:type="dxa"/>
            </w:tcMar>
            <w:vAlign w:val="center"/>
          </w:tcPr>
          <w:p w14:paraId="66265442">
            <w:pPr>
              <w:bidi w:val="0"/>
              <w:spacing w:line="240" w:lineRule="auto"/>
              <w:jc w:val="center"/>
              <w:rPr>
                <w:rFonts w:hint="default" w:ascii="Times New Roman" w:hAnsi="Times New Roman" w:eastAsia="宋体" w:cs="宋体"/>
                <w:sz w:val="21"/>
                <w:szCs w:val="21"/>
                <w:lang w:val="en-US" w:eastAsia="zh-CN" w:bidi="ar-SA"/>
              </w:rPr>
            </w:pPr>
            <w:r>
              <w:rPr>
                <w:rFonts w:hint="eastAsia" w:ascii="Times New Roman" w:hAnsi="Times New Roman" w:eastAsia="宋体" w:cs="宋体"/>
                <w:sz w:val="21"/>
                <w:szCs w:val="21"/>
                <w:lang w:val="en-US" w:eastAsia="zh-CN" w:bidi="ar-SA"/>
              </w:rPr>
              <w:t>DA023</w:t>
            </w:r>
          </w:p>
        </w:tc>
        <w:tc>
          <w:tcPr>
            <w:tcW w:w="4174" w:type="dxa"/>
            <w:tcBorders>
              <w:top w:val="single" w:color="000000" w:sz="4" w:space="0"/>
              <w:left w:val="single" w:color="000000" w:sz="4" w:space="0"/>
              <w:right w:val="single" w:color="000000" w:sz="4" w:space="0"/>
            </w:tcBorders>
            <w:tcMar>
              <w:top w:w="12" w:type="dxa"/>
              <w:left w:w="12" w:type="dxa"/>
              <w:right w:w="12" w:type="dxa"/>
            </w:tcMar>
            <w:vAlign w:val="center"/>
          </w:tcPr>
          <w:p w14:paraId="0D5A83E5">
            <w:pPr>
              <w:bidi w:val="0"/>
              <w:spacing w:line="240" w:lineRule="auto"/>
              <w:jc w:val="center"/>
              <w:rPr>
                <w:rFonts w:hint="eastAsia"/>
                <w:sz w:val="21"/>
                <w:szCs w:val="21"/>
                <w:lang w:val="en-US" w:eastAsia="zh-CN"/>
              </w:rPr>
            </w:pPr>
            <w:r>
              <w:rPr>
                <w:rFonts w:hint="eastAsia"/>
                <w:sz w:val="21"/>
                <w:szCs w:val="21"/>
                <w:lang w:val="en-US" w:eastAsia="zh-CN"/>
              </w:rPr>
              <w:t>非甲烷总烃</w:t>
            </w:r>
          </w:p>
        </w:tc>
        <w:tc>
          <w:tcPr>
            <w:tcW w:w="1133"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70CC0823">
            <w:pPr>
              <w:bidi w:val="0"/>
              <w:spacing w:line="240" w:lineRule="auto"/>
              <w:jc w:val="center"/>
              <w:rPr>
                <w:rFonts w:hint="eastAsia"/>
                <w:sz w:val="21"/>
                <w:szCs w:val="21"/>
                <w:lang w:val="en-US" w:eastAsia="zh-CN"/>
              </w:rPr>
            </w:pPr>
            <w:r>
              <w:rPr>
                <w:rFonts w:hint="eastAsia"/>
                <w:sz w:val="21"/>
                <w:szCs w:val="21"/>
                <w:lang w:val="en-US" w:eastAsia="zh-CN"/>
              </w:rPr>
              <w:t>1次/半年</w:t>
            </w:r>
          </w:p>
        </w:tc>
      </w:tr>
      <w:tr w14:paraId="0CCDCC1D">
        <w:tblPrEx>
          <w:tblCellMar>
            <w:top w:w="0" w:type="dxa"/>
            <w:left w:w="0" w:type="dxa"/>
            <w:bottom w:w="0" w:type="dxa"/>
            <w:right w:w="0" w:type="dxa"/>
          </w:tblCellMar>
        </w:tblPrEx>
        <w:trPr>
          <w:trHeight w:val="278" w:hRule="atLeast"/>
        </w:trPr>
        <w:tc>
          <w:tcPr>
            <w:tcW w:w="768" w:type="dxa"/>
            <w:vMerge w:val="continue"/>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6B3074F5">
            <w:pPr>
              <w:bidi w:val="0"/>
              <w:spacing w:line="240" w:lineRule="auto"/>
              <w:jc w:val="center"/>
              <w:rPr>
                <w:rFonts w:hint="eastAsia"/>
                <w:sz w:val="21"/>
                <w:szCs w:val="21"/>
                <w:lang w:val="en-US" w:eastAsia="zh-CN"/>
              </w:rPr>
            </w:pPr>
          </w:p>
        </w:tc>
        <w:tc>
          <w:tcPr>
            <w:tcW w:w="1596" w:type="dxa"/>
            <w:vMerge w:val="restart"/>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5D385008">
            <w:pPr>
              <w:bidi w:val="0"/>
              <w:spacing w:line="240" w:lineRule="auto"/>
              <w:jc w:val="center"/>
              <w:rPr>
                <w:rFonts w:hint="eastAsia"/>
                <w:sz w:val="21"/>
                <w:szCs w:val="21"/>
                <w:lang w:val="en-US" w:eastAsia="zh-CN"/>
              </w:rPr>
            </w:pPr>
            <w:r>
              <w:rPr>
                <w:rFonts w:hint="eastAsia"/>
                <w:sz w:val="21"/>
                <w:szCs w:val="21"/>
                <w:lang w:val="en-US" w:eastAsia="zh-CN"/>
              </w:rPr>
              <w:t>无组织</w:t>
            </w:r>
          </w:p>
        </w:tc>
        <w:tc>
          <w:tcPr>
            <w:tcW w:w="1947"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33D29C96">
            <w:pPr>
              <w:bidi w:val="0"/>
              <w:spacing w:line="240" w:lineRule="auto"/>
              <w:jc w:val="center"/>
              <w:rPr>
                <w:rFonts w:hint="eastAsia"/>
                <w:sz w:val="21"/>
                <w:szCs w:val="21"/>
                <w:lang w:val="en-US" w:eastAsia="zh-CN"/>
              </w:rPr>
            </w:pPr>
            <w:r>
              <w:rPr>
                <w:rFonts w:hint="eastAsia"/>
                <w:sz w:val="21"/>
                <w:szCs w:val="21"/>
                <w:lang w:val="en-US" w:eastAsia="zh-CN"/>
              </w:rPr>
              <w:t>厂界</w:t>
            </w:r>
          </w:p>
        </w:tc>
        <w:tc>
          <w:tcPr>
            <w:tcW w:w="4174"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7D348370">
            <w:pPr>
              <w:bidi w:val="0"/>
              <w:spacing w:line="240" w:lineRule="auto"/>
              <w:jc w:val="center"/>
              <w:rPr>
                <w:rFonts w:hint="eastAsia"/>
                <w:sz w:val="21"/>
                <w:szCs w:val="21"/>
                <w:lang w:val="en-US" w:eastAsia="zh-CN"/>
              </w:rPr>
            </w:pPr>
            <w:r>
              <w:rPr>
                <w:rFonts w:hint="eastAsia"/>
                <w:sz w:val="21"/>
                <w:szCs w:val="21"/>
                <w:lang w:val="en-US" w:eastAsia="zh-CN"/>
              </w:rPr>
              <w:t>颗粒物、非甲烷总烃</w:t>
            </w:r>
          </w:p>
        </w:tc>
        <w:tc>
          <w:tcPr>
            <w:tcW w:w="1133"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4454F4BC">
            <w:pPr>
              <w:bidi w:val="0"/>
              <w:spacing w:line="240" w:lineRule="auto"/>
              <w:jc w:val="center"/>
              <w:rPr>
                <w:rFonts w:hint="eastAsia"/>
                <w:sz w:val="21"/>
                <w:szCs w:val="21"/>
                <w:lang w:val="en-US" w:eastAsia="zh-CN"/>
              </w:rPr>
            </w:pPr>
            <w:r>
              <w:rPr>
                <w:rFonts w:hint="eastAsia"/>
                <w:sz w:val="21"/>
                <w:szCs w:val="21"/>
                <w:lang w:val="en-US" w:eastAsia="zh-CN"/>
              </w:rPr>
              <w:t>1次/半年</w:t>
            </w:r>
          </w:p>
        </w:tc>
      </w:tr>
      <w:tr w14:paraId="7625645D">
        <w:tblPrEx>
          <w:tblCellMar>
            <w:top w:w="0" w:type="dxa"/>
            <w:left w:w="0" w:type="dxa"/>
            <w:bottom w:w="0" w:type="dxa"/>
            <w:right w:w="0" w:type="dxa"/>
          </w:tblCellMar>
        </w:tblPrEx>
        <w:trPr>
          <w:trHeight w:val="278" w:hRule="atLeast"/>
        </w:trPr>
        <w:tc>
          <w:tcPr>
            <w:tcW w:w="768" w:type="dxa"/>
            <w:vMerge w:val="continue"/>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0984A3B0">
            <w:pPr>
              <w:bidi w:val="0"/>
              <w:spacing w:line="240" w:lineRule="auto"/>
              <w:jc w:val="center"/>
              <w:rPr>
                <w:rFonts w:hint="eastAsia"/>
                <w:sz w:val="21"/>
                <w:szCs w:val="21"/>
                <w:lang w:val="en-US" w:eastAsia="zh-CN"/>
              </w:rPr>
            </w:pPr>
          </w:p>
        </w:tc>
        <w:tc>
          <w:tcPr>
            <w:tcW w:w="1596" w:type="dxa"/>
            <w:vMerge w:val="continue"/>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75AC7A26">
            <w:pPr>
              <w:bidi w:val="0"/>
              <w:spacing w:line="240" w:lineRule="auto"/>
              <w:jc w:val="center"/>
              <w:rPr>
                <w:rFonts w:hint="eastAsia"/>
                <w:sz w:val="21"/>
                <w:szCs w:val="21"/>
                <w:lang w:val="en-US" w:eastAsia="zh-CN"/>
              </w:rPr>
            </w:pPr>
          </w:p>
        </w:tc>
        <w:tc>
          <w:tcPr>
            <w:tcW w:w="1947"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782D06F5">
            <w:pPr>
              <w:bidi w:val="0"/>
              <w:spacing w:line="240" w:lineRule="auto"/>
              <w:jc w:val="center"/>
              <w:rPr>
                <w:rFonts w:hint="eastAsia"/>
                <w:sz w:val="21"/>
                <w:szCs w:val="21"/>
                <w:lang w:val="en-US" w:eastAsia="zh-CN"/>
              </w:rPr>
            </w:pPr>
            <w:r>
              <w:rPr>
                <w:rFonts w:hint="eastAsia"/>
                <w:sz w:val="21"/>
                <w:szCs w:val="21"/>
                <w:lang w:val="en-US" w:eastAsia="zh-CN"/>
              </w:rPr>
              <w:t>厂区内厂房外</w:t>
            </w:r>
          </w:p>
        </w:tc>
        <w:tc>
          <w:tcPr>
            <w:tcW w:w="4174"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6B2D1723">
            <w:pPr>
              <w:bidi w:val="0"/>
              <w:spacing w:line="240" w:lineRule="auto"/>
              <w:jc w:val="center"/>
              <w:rPr>
                <w:rFonts w:hint="eastAsia"/>
                <w:sz w:val="21"/>
                <w:szCs w:val="21"/>
                <w:lang w:val="en-US" w:eastAsia="zh-CN"/>
              </w:rPr>
            </w:pPr>
            <w:r>
              <w:rPr>
                <w:rFonts w:hint="eastAsia"/>
                <w:sz w:val="21"/>
                <w:szCs w:val="21"/>
                <w:lang w:val="en-US" w:eastAsia="zh-CN"/>
              </w:rPr>
              <w:t>非甲烷总烃</w:t>
            </w:r>
          </w:p>
        </w:tc>
        <w:tc>
          <w:tcPr>
            <w:tcW w:w="1133"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20813549">
            <w:pPr>
              <w:bidi w:val="0"/>
              <w:spacing w:line="240" w:lineRule="auto"/>
              <w:jc w:val="center"/>
              <w:rPr>
                <w:rFonts w:hint="eastAsia"/>
                <w:sz w:val="21"/>
                <w:szCs w:val="21"/>
                <w:lang w:val="en-US" w:eastAsia="zh-CN"/>
              </w:rPr>
            </w:pPr>
            <w:r>
              <w:rPr>
                <w:rFonts w:hint="eastAsia"/>
                <w:sz w:val="21"/>
                <w:szCs w:val="21"/>
                <w:lang w:val="en-US" w:eastAsia="zh-CN"/>
              </w:rPr>
              <w:t>1次/年</w:t>
            </w:r>
          </w:p>
        </w:tc>
      </w:tr>
      <w:tr w14:paraId="7F4D14F3">
        <w:tblPrEx>
          <w:tblCellMar>
            <w:top w:w="0" w:type="dxa"/>
            <w:left w:w="0" w:type="dxa"/>
            <w:bottom w:w="0" w:type="dxa"/>
            <w:right w:w="0" w:type="dxa"/>
          </w:tblCellMar>
        </w:tblPrEx>
        <w:trPr>
          <w:trHeight w:val="280" w:hRule="atLeast"/>
        </w:trPr>
        <w:tc>
          <w:tcPr>
            <w:tcW w:w="768" w:type="dxa"/>
            <w:vMerge w:val="restart"/>
            <w:tcBorders>
              <w:top w:val="single" w:color="000000" w:sz="4" w:space="0"/>
              <w:left w:val="single" w:color="000000" w:sz="4" w:space="0"/>
              <w:right w:val="single" w:color="000000" w:sz="4" w:space="0"/>
            </w:tcBorders>
            <w:noWrap/>
            <w:tcMar>
              <w:top w:w="12" w:type="dxa"/>
              <w:left w:w="12" w:type="dxa"/>
              <w:right w:w="12" w:type="dxa"/>
            </w:tcMar>
            <w:vAlign w:val="center"/>
          </w:tcPr>
          <w:p w14:paraId="40B9E13F">
            <w:pPr>
              <w:bidi w:val="0"/>
              <w:spacing w:line="240" w:lineRule="auto"/>
              <w:jc w:val="center"/>
              <w:rPr>
                <w:rFonts w:hint="eastAsia"/>
                <w:sz w:val="21"/>
                <w:szCs w:val="21"/>
                <w:lang w:val="en-US" w:eastAsia="zh-CN"/>
              </w:rPr>
            </w:pPr>
            <w:r>
              <w:rPr>
                <w:rFonts w:hint="eastAsia"/>
                <w:sz w:val="21"/>
                <w:szCs w:val="21"/>
                <w:lang w:val="en-US" w:eastAsia="zh-CN"/>
              </w:rPr>
              <w:t>废水</w:t>
            </w:r>
          </w:p>
        </w:tc>
        <w:tc>
          <w:tcPr>
            <w:tcW w:w="3543" w:type="dxa"/>
            <w:gridSpan w:val="2"/>
            <w:vMerge w:val="restart"/>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6B6DC430">
            <w:pPr>
              <w:bidi w:val="0"/>
              <w:spacing w:line="240" w:lineRule="auto"/>
              <w:jc w:val="center"/>
              <w:rPr>
                <w:rFonts w:hint="eastAsia"/>
                <w:sz w:val="21"/>
                <w:szCs w:val="21"/>
                <w:lang w:val="en-US" w:eastAsia="zh-CN"/>
              </w:rPr>
            </w:pPr>
            <w:r>
              <w:rPr>
                <w:rFonts w:hint="eastAsia"/>
                <w:sz w:val="21"/>
                <w:szCs w:val="21"/>
                <w:lang w:val="en-US" w:eastAsia="zh-CN"/>
              </w:rPr>
              <w:t>废水总排口</w:t>
            </w:r>
          </w:p>
        </w:tc>
        <w:tc>
          <w:tcPr>
            <w:tcW w:w="4174"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top"/>
          </w:tcPr>
          <w:p w14:paraId="4A2F2EA1">
            <w:pPr>
              <w:bidi w:val="0"/>
              <w:spacing w:line="240" w:lineRule="auto"/>
              <w:jc w:val="center"/>
              <w:rPr>
                <w:rFonts w:hint="eastAsia"/>
                <w:sz w:val="21"/>
                <w:szCs w:val="21"/>
                <w:lang w:val="en-US" w:eastAsia="zh-CN"/>
              </w:rPr>
            </w:pPr>
            <w:r>
              <w:rPr>
                <w:sz w:val="21"/>
                <w:szCs w:val="21"/>
              </w:rPr>
              <w:t>pH、COD、NH</w:t>
            </w:r>
            <w:r>
              <w:rPr>
                <w:sz w:val="21"/>
                <w:szCs w:val="21"/>
                <w:vertAlign w:val="subscript"/>
              </w:rPr>
              <w:t>3</w:t>
            </w:r>
            <w:r>
              <w:rPr>
                <w:sz w:val="21"/>
                <w:szCs w:val="21"/>
              </w:rPr>
              <w:t>-N、TP、TN、氟化物</w:t>
            </w:r>
          </w:p>
        </w:tc>
        <w:tc>
          <w:tcPr>
            <w:tcW w:w="113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top"/>
          </w:tcPr>
          <w:p w14:paraId="676BB522">
            <w:pPr>
              <w:bidi w:val="0"/>
              <w:spacing w:line="240" w:lineRule="auto"/>
              <w:jc w:val="center"/>
              <w:rPr>
                <w:rFonts w:hint="eastAsia"/>
                <w:sz w:val="21"/>
                <w:szCs w:val="21"/>
                <w:lang w:val="en-US" w:eastAsia="zh-CN"/>
              </w:rPr>
            </w:pPr>
            <w:r>
              <w:rPr>
                <w:sz w:val="21"/>
                <w:szCs w:val="21"/>
              </w:rPr>
              <w:t>在线监测</w:t>
            </w:r>
          </w:p>
        </w:tc>
      </w:tr>
      <w:tr w14:paraId="6660C0E7">
        <w:tblPrEx>
          <w:tblCellMar>
            <w:top w:w="0" w:type="dxa"/>
            <w:left w:w="0" w:type="dxa"/>
            <w:bottom w:w="0" w:type="dxa"/>
            <w:right w:w="0" w:type="dxa"/>
          </w:tblCellMar>
        </w:tblPrEx>
        <w:trPr>
          <w:trHeight w:val="280" w:hRule="atLeast"/>
        </w:trPr>
        <w:tc>
          <w:tcPr>
            <w:tcW w:w="768" w:type="dxa"/>
            <w:vMerge w:val="continue"/>
            <w:tcBorders>
              <w:left w:val="single" w:color="000000" w:sz="4" w:space="0"/>
              <w:right w:val="single" w:color="000000" w:sz="4" w:space="0"/>
            </w:tcBorders>
            <w:noWrap/>
            <w:tcMar>
              <w:top w:w="12" w:type="dxa"/>
              <w:left w:w="12" w:type="dxa"/>
              <w:right w:w="12" w:type="dxa"/>
            </w:tcMar>
            <w:vAlign w:val="center"/>
          </w:tcPr>
          <w:p w14:paraId="210A6ED9">
            <w:pPr>
              <w:bidi w:val="0"/>
              <w:spacing w:line="240" w:lineRule="auto"/>
              <w:jc w:val="center"/>
              <w:rPr>
                <w:rFonts w:hint="eastAsia"/>
                <w:sz w:val="21"/>
                <w:szCs w:val="21"/>
                <w:lang w:val="en-US" w:eastAsia="zh-CN"/>
              </w:rPr>
            </w:pPr>
          </w:p>
        </w:tc>
        <w:tc>
          <w:tcPr>
            <w:tcW w:w="3543" w:type="dxa"/>
            <w:gridSpan w:val="2"/>
            <w:vMerge w:val="continue"/>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14EB606B">
            <w:pPr>
              <w:bidi w:val="0"/>
              <w:spacing w:line="240" w:lineRule="auto"/>
              <w:jc w:val="center"/>
              <w:rPr>
                <w:rFonts w:hint="eastAsia"/>
                <w:sz w:val="21"/>
                <w:szCs w:val="21"/>
                <w:lang w:val="en-US" w:eastAsia="zh-CN"/>
              </w:rPr>
            </w:pPr>
          </w:p>
        </w:tc>
        <w:tc>
          <w:tcPr>
            <w:tcW w:w="4174"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top"/>
          </w:tcPr>
          <w:p w14:paraId="548D5FA9">
            <w:pPr>
              <w:bidi w:val="0"/>
              <w:spacing w:line="240" w:lineRule="auto"/>
              <w:jc w:val="center"/>
              <w:rPr>
                <w:rFonts w:hint="eastAsia"/>
                <w:sz w:val="21"/>
                <w:szCs w:val="21"/>
                <w:lang w:val="en-US" w:eastAsia="zh-CN"/>
              </w:rPr>
            </w:pPr>
            <w:r>
              <w:rPr>
                <w:sz w:val="21"/>
                <w:szCs w:val="21"/>
              </w:rPr>
              <w:t>SS、氯化物</w:t>
            </w:r>
          </w:p>
        </w:tc>
        <w:tc>
          <w:tcPr>
            <w:tcW w:w="113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top"/>
          </w:tcPr>
          <w:p w14:paraId="2AEE93FA">
            <w:pPr>
              <w:bidi w:val="0"/>
              <w:spacing w:line="240" w:lineRule="auto"/>
              <w:jc w:val="center"/>
              <w:rPr>
                <w:rFonts w:hint="eastAsia"/>
                <w:sz w:val="21"/>
                <w:szCs w:val="21"/>
                <w:lang w:val="en-US" w:eastAsia="zh-CN"/>
              </w:rPr>
            </w:pPr>
            <w:r>
              <w:rPr>
                <w:sz w:val="21"/>
                <w:szCs w:val="21"/>
              </w:rPr>
              <w:t>1次/半年</w:t>
            </w:r>
          </w:p>
        </w:tc>
      </w:tr>
      <w:tr w14:paraId="18D7F75C">
        <w:tblPrEx>
          <w:tblCellMar>
            <w:top w:w="0" w:type="dxa"/>
            <w:left w:w="0" w:type="dxa"/>
            <w:bottom w:w="0" w:type="dxa"/>
            <w:right w:w="0" w:type="dxa"/>
          </w:tblCellMar>
        </w:tblPrEx>
        <w:trPr>
          <w:trHeight w:val="280" w:hRule="atLeast"/>
        </w:trPr>
        <w:tc>
          <w:tcPr>
            <w:tcW w:w="768" w:type="dxa"/>
            <w:vMerge w:val="continue"/>
            <w:tcBorders>
              <w:left w:val="single" w:color="000000" w:sz="4" w:space="0"/>
              <w:bottom w:val="single" w:color="000000" w:sz="4" w:space="0"/>
              <w:right w:val="single" w:color="000000" w:sz="4" w:space="0"/>
            </w:tcBorders>
            <w:noWrap/>
            <w:tcMar>
              <w:top w:w="12" w:type="dxa"/>
              <w:left w:w="12" w:type="dxa"/>
              <w:right w:w="12" w:type="dxa"/>
            </w:tcMar>
            <w:vAlign w:val="center"/>
          </w:tcPr>
          <w:p w14:paraId="46E091B8">
            <w:pPr>
              <w:bidi w:val="0"/>
              <w:spacing w:line="240" w:lineRule="auto"/>
              <w:jc w:val="center"/>
              <w:rPr>
                <w:rFonts w:hint="eastAsia"/>
                <w:sz w:val="21"/>
                <w:szCs w:val="21"/>
                <w:lang w:val="en-US" w:eastAsia="zh-CN"/>
              </w:rPr>
            </w:pPr>
          </w:p>
        </w:tc>
        <w:tc>
          <w:tcPr>
            <w:tcW w:w="3543"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top"/>
          </w:tcPr>
          <w:p w14:paraId="662EBA18">
            <w:pPr>
              <w:bidi w:val="0"/>
              <w:spacing w:line="240" w:lineRule="auto"/>
              <w:jc w:val="center"/>
              <w:rPr>
                <w:rFonts w:hint="eastAsia"/>
                <w:sz w:val="21"/>
                <w:szCs w:val="21"/>
                <w:lang w:val="en-US" w:eastAsia="zh-CN"/>
              </w:rPr>
            </w:pPr>
            <w:r>
              <w:rPr>
                <w:sz w:val="21"/>
                <w:szCs w:val="21"/>
              </w:rPr>
              <w:t>污水处理站进、出口</w:t>
            </w:r>
          </w:p>
        </w:tc>
        <w:tc>
          <w:tcPr>
            <w:tcW w:w="4174"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top"/>
          </w:tcPr>
          <w:p w14:paraId="427C8574">
            <w:pPr>
              <w:bidi w:val="0"/>
              <w:spacing w:line="240" w:lineRule="auto"/>
              <w:jc w:val="center"/>
              <w:rPr>
                <w:sz w:val="21"/>
                <w:szCs w:val="21"/>
                <w:lang w:val="en-US" w:eastAsia="en-US"/>
              </w:rPr>
            </w:pPr>
            <w:r>
              <w:rPr>
                <w:sz w:val="21"/>
                <w:szCs w:val="21"/>
              </w:rPr>
              <w:t>pH、COD、NH</w:t>
            </w:r>
            <w:r>
              <w:rPr>
                <w:sz w:val="21"/>
                <w:szCs w:val="21"/>
                <w:vertAlign w:val="subscript"/>
              </w:rPr>
              <w:t>3</w:t>
            </w:r>
            <w:r>
              <w:rPr>
                <w:sz w:val="21"/>
                <w:szCs w:val="21"/>
              </w:rPr>
              <w:t>-N、SS、TP、TN、氟化物、氯化物</w:t>
            </w:r>
          </w:p>
        </w:tc>
        <w:tc>
          <w:tcPr>
            <w:tcW w:w="113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top"/>
          </w:tcPr>
          <w:p w14:paraId="7BD7564A">
            <w:pPr>
              <w:bidi w:val="0"/>
              <w:spacing w:line="240" w:lineRule="auto"/>
              <w:jc w:val="center"/>
              <w:rPr>
                <w:sz w:val="21"/>
                <w:szCs w:val="21"/>
                <w:lang w:val="en-US" w:eastAsia="en-US"/>
              </w:rPr>
            </w:pPr>
            <w:r>
              <w:rPr>
                <w:sz w:val="21"/>
                <w:szCs w:val="21"/>
              </w:rPr>
              <w:t>1次/半年</w:t>
            </w:r>
          </w:p>
        </w:tc>
      </w:tr>
      <w:tr w14:paraId="0F78E47B">
        <w:tblPrEx>
          <w:tblCellMar>
            <w:top w:w="0" w:type="dxa"/>
            <w:left w:w="0" w:type="dxa"/>
            <w:bottom w:w="0" w:type="dxa"/>
            <w:right w:w="0" w:type="dxa"/>
          </w:tblCellMar>
        </w:tblPrEx>
        <w:trPr>
          <w:trHeight w:val="280" w:hRule="atLeast"/>
        </w:trPr>
        <w:tc>
          <w:tcPr>
            <w:tcW w:w="768"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0AA9E482">
            <w:pPr>
              <w:bidi w:val="0"/>
              <w:spacing w:line="240" w:lineRule="auto"/>
              <w:jc w:val="center"/>
              <w:rPr>
                <w:rFonts w:hint="eastAsia"/>
                <w:sz w:val="21"/>
                <w:szCs w:val="21"/>
                <w:lang w:val="en-US" w:eastAsia="zh-CN"/>
              </w:rPr>
            </w:pPr>
            <w:r>
              <w:rPr>
                <w:rFonts w:hint="eastAsia"/>
                <w:sz w:val="21"/>
                <w:szCs w:val="21"/>
                <w:lang w:val="en-US" w:eastAsia="zh-CN"/>
              </w:rPr>
              <w:t>噪声</w:t>
            </w:r>
          </w:p>
        </w:tc>
        <w:tc>
          <w:tcPr>
            <w:tcW w:w="3543" w:type="dxa"/>
            <w:gridSpan w:val="2"/>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76199547">
            <w:pPr>
              <w:bidi w:val="0"/>
              <w:spacing w:line="240" w:lineRule="auto"/>
              <w:jc w:val="center"/>
              <w:rPr>
                <w:rFonts w:hint="eastAsia"/>
                <w:sz w:val="21"/>
                <w:szCs w:val="21"/>
                <w:lang w:val="en-US" w:eastAsia="zh-CN"/>
              </w:rPr>
            </w:pPr>
            <w:r>
              <w:rPr>
                <w:rFonts w:hint="eastAsia"/>
                <w:sz w:val="21"/>
                <w:szCs w:val="21"/>
                <w:lang w:val="en-US" w:eastAsia="zh-CN"/>
              </w:rPr>
              <w:t>厂界</w:t>
            </w:r>
          </w:p>
        </w:tc>
        <w:tc>
          <w:tcPr>
            <w:tcW w:w="4174" w:type="dxa"/>
            <w:tcBorders>
              <w:top w:val="single" w:color="000000" w:sz="4" w:space="0"/>
              <w:left w:val="single" w:color="000000" w:sz="4" w:space="0"/>
              <w:bottom w:val="single" w:color="000000" w:sz="4" w:space="0"/>
              <w:right w:val="single" w:color="000000" w:sz="4" w:space="0"/>
            </w:tcBorders>
            <w:tcMar>
              <w:top w:w="12" w:type="dxa"/>
              <w:left w:w="12" w:type="dxa"/>
              <w:right w:w="12" w:type="dxa"/>
            </w:tcMar>
            <w:vAlign w:val="center"/>
          </w:tcPr>
          <w:p w14:paraId="42A6CA9F">
            <w:pPr>
              <w:bidi w:val="0"/>
              <w:spacing w:line="240" w:lineRule="auto"/>
              <w:jc w:val="center"/>
              <w:rPr>
                <w:rFonts w:hint="eastAsia"/>
                <w:sz w:val="21"/>
                <w:szCs w:val="21"/>
                <w:lang w:val="en-US" w:eastAsia="zh-CN"/>
              </w:rPr>
            </w:pPr>
            <w:r>
              <w:rPr>
                <w:rFonts w:hint="eastAsia"/>
                <w:sz w:val="21"/>
                <w:szCs w:val="21"/>
                <w:lang w:val="en-US" w:eastAsia="zh-CN"/>
              </w:rPr>
              <w:t>噪声</w:t>
            </w:r>
          </w:p>
        </w:tc>
        <w:tc>
          <w:tcPr>
            <w:tcW w:w="1133" w:type="dxa"/>
            <w:tcBorders>
              <w:top w:val="single" w:color="000000" w:sz="4" w:space="0"/>
              <w:left w:val="single" w:color="000000" w:sz="4" w:space="0"/>
              <w:bottom w:val="single" w:color="000000" w:sz="4" w:space="0"/>
              <w:right w:val="single" w:color="000000" w:sz="4" w:space="0"/>
            </w:tcBorders>
            <w:noWrap/>
            <w:tcMar>
              <w:top w:w="12" w:type="dxa"/>
              <w:left w:w="12" w:type="dxa"/>
              <w:right w:w="12" w:type="dxa"/>
            </w:tcMar>
            <w:vAlign w:val="center"/>
          </w:tcPr>
          <w:p w14:paraId="3B1AD1F3">
            <w:pPr>
              <w:bidi w:val="0"/>
              <w:spacing w:line="240" w:lineRule="auto"/>
              <w:jc w:val="center"/>
              <w:rPr>
                <w:rFonts w:hint="eastAsia"/>
                <w:sz w:val="21"/>
                <w:szCs w:val="21"/>
                <w:lang w:val="en-US" w:eastAsia="zh-CN"/>
              </w:rPr>
            </w:pPr>
            <w:r>
              <w:rPr>
                <w:sz w:val="21"/>
                <w:szCs w:val="21"/>
              </w:rPr>
              <w:t>1次/</w:t>
            </w:r>
            <w:r>
              <w:rPr>
                <w:rFonts w:hint="eastAsia"/>
                <w:sz w:val="21"/>
                <w:szCs w:val="21"/>
                <w:lang w:val="en-US" w:eastAsia="zh-CN"/>
              </w:rPr>
              <w:t>季度</w:t>
            </w:r>
          </w:p>
        </w:tc>
      </w:tr>
      <w:tr w14:paraId="44B2BDC7">
        <w:tblPrEx>
          <w:tblCellMar>
            <w:top w:w="0" w:type="dxa"/>
            <w:left w:w="0" w:type="dxa"/>
            <w:bottom w:w="0" w:type="dxa"/>
            <w:right w:w="0" w:type="dxa"/>
          </w:tblCellMar>
        </w:tblPrEx>
        <w:trPr>
          <w:trHeight w:val="280" w:hRule="atLeast"/>
        </w:trPr>
        <w:tc>
          <w:tcPr>
            <w:tcW w:w="768"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B3D42F3">
            <w:pPr>
              <w:bidi w:val="0"/>
              <w:spacing w:line="240" w:lineRule="auto"/>
              <w:jc w:val="center"/>
              <w:rPr>
                <w:rFonts w:hint="eastAsia"/>
                <w:sz w:val="21"/>
                <w:szCs w:val="21"/>
                <w:lang w:val="en-US" w:eastAsia="zh-CN"/>
              </w:rPr>
            </w:pPr>
            <w:r>
              <w:rPr>
                <w:sz w:val="21"/>
                <w:szCs w:val="21"/>
              </w:rPr>
              <w:t>地下水</w:t>
            </w:r>
          </w:p>
        </w:tc>
        <w:tc>
          <w:tcPr>
            <w:tcW w:w="3543" w:type="dxa"/>
            <w:gridSpan w:val="2"/>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A033703">
            <w:pPr>
              <w:bidi w:val="0"/>
              <w:spacing w:line="240" w:lineRule="auto"/>
              <w:jc w:val="center"/>
              <w:rPr>
                <w:rFonts w:hint="eastAsia"/>
                <w:sz w:val="21"/>
                <w:szCs w:val="21"/>
                <w:lang w:val="en-US" w:eastAsia="zh-CN"/>
              </w:rPr>
            </w:pPr>
            <w:r>
              <w:rPr>
                <w:sz w:val="21"/>
                <w:szCs w:val="21"/>
              </w:rPr>
              <w:t>项目厂界内下游污染监控井</w:t>
            </w:r>
          </w:p>
        </w:tc>
        <w:tc>
          <w:tcPr>
            <w:tcW w:w="4174" w:type="dxa"/>
            <w:tcBorders>
              <w:top w:val="single" w:color="000000" w:sz="4" w:space="0"/>
              <w:left w:val="single" w:color="000000" w:sz="4" w:space="0"/>
              <w:bottom w:val="single" w:color="000000" w:sz="4" w:space="0"/>
              <w:right w:val="single" w:color="000000" w:sz="4" w:space="0"/>
            </w:tcBorders>
            <w:shd w:val="clear" w:color="auto" w:fill="auto"/>
            <w:tcMar>
              <w:top w:w="12" w:type="dxa"/>
              <w:left w:w="12" w:type="dxa"/>
              <w:right w:w="12" w:type="dxa"/>
            </w:tcMar>
            <w:vAlign w:val="center"/>
          </w:tcPr>
          <w:p w14:paraId="058B3DD4">
            <w:pPr>
              <w:bidi w:val="0"/>
              <w:spacing w:line="240" w:lineRule="auto"/>
              <w:jc w:val="center"/>
              <w:rPr>
                <w:rFonts w:hint="eastAsia"/>
                <w:sz w:val="21"/>
                <w:szCs w:val="21"/>
                <w:lang w:val="en-US" w:eastAsia="zh-CN"/>
              </w:rPr>
            </w:pPr>
            <w:r>
              <w:rPr>
                <w:sz w:val="21"/>
                <w:szCs w:val="21"/>
              </w:rPr>
              <w:t>pH、氨氮、硝酸盐（以N计）、亚硝酸盐（以N计）、高锰酸盐指数、氯化物、总硬度、硫化物、挥发酚、总磷、石油</w:t>
            </w:r>
          </w:p>
        </w:tc>
        <w:tc>
          <w:tcPr>
            <w:tcW w:w="113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14:paraId="542BCC88">
            <w:pPr>
              <w:bidi w:val="0"/>
              <w:spacing w:line="240" w:lineRule="auto"/>
              <w:jc w:val="center"/>
              <w:rPr>
                <w:sz w:val="21"/>
                <w:szCs w:val="21"/>
                <w:lang w:val="en-US" w:eastAsia="en-US"/>
              </w:rPr>
            </w:pPr>
            <w:r>
              <w:rPr>
                <w:sz w:val="21"/>
                <w:szCs w:val="21"/>
              </w:rPr>
              <w:t>1次/年</w:t>
            </w:r>
          </w:p>
        </w:tc>
      </w:tr>
    </w:tbl>
    <w:p w14:paraId="3B9A4EB1">
      <w:pPr>
        <w:bidi w:val="0"/>
        <w:rPr>
          <w:rFonts w:hint="eastAsia"/>
          <w:b/>
          <w:bCs/>
          <w:lang w:val="en-US" w:eastAsia="zh-CN"/>
        </w:rPr>
      </w:pPr>
      <w:r>
        <w:rPr>
          <w:rFonts w:hint="eastAsia"/>
          <w:b/>
          <w:bCs/>
          <w:lang w:val="en-US" w:eastAsia="zh-CN"/>
        </w:rPr>
        <w:t>9.2.2 事故应急监测计划</w:t>
      </w:r>
    </w:p>
    <w:p w14:paraId="6A02A724">
      <w:pPr>
        <w:bidi w:val="0"/>
        <w:ind w:firstLine="480" w:firstLineChars="200"/>
        <w:rPr>
          <w:rFonts w:hint="eastAsia"/>
          <w:lang w:val="en-US" w:eastAsia="zh-CN"/>
        </w:rPr>
      </w:pPr>
      <w:r>
        <w:rPr>
          <w:rFonts w:hint="eastAsia"/>
          <w:lang w:val="en-US" w:eastAsia="zh-CN"/>
        </w:rPr>
        <w:t>企业若发生生产事故时，事故应急监测应按照《突发环境事件应急监测技术规范》（HJ 589-2021）以及《突发环境事件应急监测预案》要求开展监测。</w:t>
      </w:r>
    </w:p>
    <w:p w14:paraId="38D16D45">
      <w:pPr>
        <w:bidi w:val="0"/>
        <w:rPr>
          <w:rFonts w:hint="eastAsia"/>
          <w:b/>
          <w:bCs/>
          <w:lang w:val="en-US" w:eastAsia="zh-CN"/>
        </w:rPr>
      </w:pPr>
      <w:r>
        <w:rPr>
          <w:rFonts w:hint="eastAsia"/>
          <w:b/>
          <w:bCs/>
          <w:lang w:val="en-US" w:eastAsia="zh-CN"/>
        </w:rPr>
        <w:t>9.2.3 监测数据管理</w:t>
      </w:r>
    </w:p>
    <w:p w14:paraId="27CE1176">
      <w:pPr>
        <w:bidi w:val="0"/>
        <w:ind w:firstLine="480" w:firstLineChars="200"/>
        <w:rPr>
          <w:rFonts w:hint="eastAsia"/>
          <w:lang w:val="en-US" w:eastAsia="zh-CN"/>
        </w:rPr>
      </w:pPr>
      <w:r>
        <w:rPr>
          <w:rFonts w:hint="eastAsia"/>
          <w:lang w:val="en-US" w:eastAsia="zh-CN"/>
        </w:rPr>
        <w:t>企业应按照有关法律和《环境监测管理办法》、《排污单位自行监测技术指南总则》（HJ819-2017）、</w:t>
      </w:r>
      <w:r>
        <w:rPr>
          <w:rFonts w:hint="default"/>
        </w:rPr>
        <w:t>《排污许可申请与核发技术规范 电池工业》（HJ</w:t>
      </w:r>
      <w:r>
        <w:rPr>
          <w:rFonts w:hint="eastAsia"/>
          <w:lang w:val="en-US" w:eastAsia="zh-CN"/>
        </w:rPr>
        <w:t xml:space="preserve"> </w:t>
      </w:r>
      <w:r>
        <w:rPr>
          <w:rFonts w:hint="default"/>
        </w:rPr>
        <w:t>967-2018）</w:t>
      </w:r>
      <w:r>
        <w:rPr>
          <w:rFonts w:hint="eastAsia"/>
          <w:lang w:val="en-US" w:eastAsia="zh-CN"/>
        </w:rPr>
        <w:t>、</w:t>
      </w:r>
      <w:r>
        <w:rPr>
          <w:rFonts w:hint="eastAsia"/>
          <w:lang w:val="en-US" w:eastAsia="zh-CN"/>
        </w:rPr>
        <w:fldChar w:fldCharType="begin"/>
      </w:r>
      <w:r>
        <w:rPr>
          <w:rFonts w:hint="eastAsia"/>
          <w:lang w:val="en-US" w:eastAsia="zh-CN"/>
        </w:rPr>
        <w:instrText xml:space="preserve"> HYPERLINK "https://www.mee.gov.cn/ywgz/fgbz/bz/bzwb/jcffbz/202112/W020211206540057951639.pdf" </w:instrText>
      </w:r>
      <w:r>
        <w:rPr>
          <w:rFonts w:hint="eastAsia"/>
          <w:lang w:val="en-US" w:eastAsia="zh-CN"/>
        </w:rPr>
        <w:fldChar w:fldCharType="separate"/>
      </w:r>
      <w:r>
        <w:rPr>
          <w:rFonts w:hint="eastAsia"/>
          <w:lang w:val="en-US" w:eastAsia="zh-CN"/>
        </w:rPr>
        <w:t>排污单位自行监测技术指南 电池工业（HJ 1204—2021）</w:t>
      </w:r>
      <w:r>
        <w:rPr>
          <w:rFonts w:hint="eastAsia"/>
          <w:lang w:val="en-US" w:eastAsia="zh-CN"/>
        </w:rPr>
        <w:fldChar w:fldCharType="end"/>
      </w:r>
      <w:r>
        <w:rPr>
          <w:rFonts w:hint="eastAsia"/>
          <w:lang w:val="en-US" w:eastAsia="zh-CN"/>
        </w:rPr>
        <w:t>等规定，建立企业监测制度，制定监测方案，设置和维护监测设施、做好监测质量保证与质量控制、记录和保存监测数据，并向当地环境保护行政主管部门和行业主管部门备案。对污染物排放状况及其对周边环境质量的影响开展自行监测，保存原始监测记录，并公布监测结果。</w:t>
      </w:r>
    </w:p>
    <w:p w14:paraId="0F421F8A">
      <w:pPr>
        <w:pStyle w:val="2"/>
        <w:bidi w:val="0"/>
        <w:rPr>
          <w:rFonts w:hint="eastAsia"/>
          <w:lang w:val="en-US" w:eastAsia="zh-CN"/>
        </w:rPr>
      </w:pPr>
      <w:bookmarkStart w:id="161" w:name="_Toc26784"/>
      <w:bookmarkStart w:id="162" w:name="_Toc28298"/>
      <w:bookmarkStart w:id="163" w:name="_Toc3608"/>
      <w:r>
        <w:rPr>
          <w:rFonts w:hint="eastAsia"/>
          <w:lang w:val="en-US" w:eastAsia="zh-CN"/>
        </w:rPr>
        <w:t>9.3 污染源监控措施</w:t>
      </w:r>
      <w:bookmarkEnd w:id="159"/>
      <w:bookmarkEnd w:id="160"/>
      <w:bookmarkEnd w:id="161"/>
      <w:bookmarkEnd w:id="162"/>
      <w:bookmarkEnd w:id="163"/>
    </w:p>
    <w:p w14:paraId="031E5C4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（1）污水排放口规范化整治</w:t>
      </w:r>
    </w:p>
    <w:p w14:paraId="61379F48">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厂区污水排放管道应做到可视化。事故废水应进行预处理，经检测满足接管要求后，计量泵入园区污水管网，送循环经济园第二污水处理厂集中处理。公司设置总排水口采样点位，并在厂总排水口设置标志牌。采样点一经确定后，不得随意更改，标志牌内容包括点位名称、编号、排污去向、污染因子等。公司的废水外排总口监测点位必须进行标准规范化的整治，经常或定期进行排污口的清障、疏通工作。</w:t>
      </w:r>
    </w:p>
    <w:p w14:paraId="6D7C52B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（2）废气排放口规范化</w:t>
      </w:r>
    </w:p>
    <w:p w14:paraId="0378669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各废气处理装置排气筒出口设置Ф10cm的永久采样口1个，管道测点数的确定可在技术人员指导下设点开孔。不监测时用管帽、盖板等封闭，不得封死，便于在监测时开启使用，并在废气污染源处设置废气排放口标志。</w:t>
      </w:r>
    </w:p>
    <w:p w14:paraId="29D8200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（3）固废堆放</w:t>
      </w:r>
    </w:p>
    <w:p w14:paraId="29846ED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固废堆场应设置环境保护图形标志牌，将生活垃圾、一般固废、危险废物等分开存放，做到防火、防扬散、防渗漏，确保不对周围环境形成二次污染。</w:t>
      </w:r>
    </w:p>
    <w:tbl>
      <w:tblPr>
        <w:tblStyle w:val="17"/>
        <w:tblW w:w="4998" w:type="pct"/>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5" w:type="dxa"/>
          <w:left w:w="15" w:type="dxa"/>
          <w:bottom w:w="15" w:type="dxa"/>
          <w:right w:w="15" w:type="dxa"/>
        </w:tblCellMar>
      </w:tblPr>
      <w:tblGrid>
        <w:gridCol w:w="2355"/>
        <w:gridCol w:w="2351"/>
        <w:gridCol w:w="2351"/>
        <w:gridCol w:w="2343"/>
      </w:tblGrid>
      <w:tr w14:paraId="78AEAE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737" w:hRule="atLeast"/>
          <w:tblCellSpacing w:w="0" w:type="dxa"/>
          <w:jc w:val="center"/>
        </w:trPr>
        <w:tc>
          <w:tcPr>
            <w:tcW w:w="1252" w:type="pct"/>
            <w:vAlign w:val="center"/>
          </w:tcPr>
          <w:p w14:paraId="2FEE502F">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1009650"/>
                  <wp:effectExtent l="0" t="0" r="0" b="0"/>
                  <wp:docPr id="186" name="图片 186" descr="http://www.anquan.com.cn/tubiao/image/huanj/HP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http://www.anquan.com.cn/tubiao/image/huanj/HP00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009650" cy="1009650"/>
                          </a:xfrm>
                          <a:prstGeom prst="rect">
                            <a:avLst/>
                          </a:prstGeom>
                          <a:noFill/>
                          <a:ln>
                            <a:noFill/>
                          </a:ln>
                        </pic:spPr>
                      </pic:pic>
                    </a:graphicData>
                  </a:graphic>
                </wp:inline>
              </w:drawing>
            </w:r>
          </w:p>
        </w:tc>
        <w:tc>
          <w:tcPr>
            <w:tcW w:w="1250" w:type="pct"/>
            <w:vAlign w:val="center"/>
          </w:tcPr>
          <w:p w14:paraId="6F3193C3">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914400"/>
                  <wp:effectExtent l="0" t="0" r="0" b="0"/>
                  <wp:docPr id="185" name="图片 185" descr="http://www.anquan.com.cn/tubiao/image/huanj/HP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http://www.anquan.com.cn/tubiao/image/huanj/HP002.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009650" cy="914400"/>
                          </a:xfrm>
                          <a:prstGeom prst="rect">
                            <a:avLst/>
                          </a:prstGeom>
                          <a:noFill/>
                          <a:ln>
                            <a:noFill/>
                          </a:ln>
                        </pic:spPr>
                      </pic:pic>
                    </a:graphicData>
                  </a:graphic>
                </wp:inline>
              </w:drawing>
            </w:r>
          </w:p>
        </w:tc>
        <w:tc>
          <w:tcPr>
            <w:tcW w:w="1250" w:type="pct"/>
            <w:vAlign w:val="center"/>
          </w:tcPr>
          <w:p w14:paraId="7EDFAEFC">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1009650"/>
                  <wp:effectExtent l="0" t="0" r="0" b="0"/>
                  <wp:docPr id="184" name="图片 184" descr="http://www.anquan.com.cn/tubiao/image/huanj/HP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http://www.anquan.com.cn/tubiao/image/huanj/HP003.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009650" cy="1009650"/>
                          </a:xfrm>
                          <a:prstGeom prst="rect">
                            <a:avLst/>
                          </a:prstGeom>
                          <a:noFill/>
                          <a:ln>
                            <a:noFill/>
                          </a:ln>
                        </pic:spPr>
                      </pic:pic>
                    </a:graphicData>
                  </a:graphic>
                </wp:inline>
              </w:drawing>
            </w:r>
          </w:p>
        </w:tc>
        <w:tc>
          <w:tcPr>
            <w:tcW w:w="1246" w:type="pct"/>
            <w:vAlign w:val="center"/>
          </w:tcPr>
          <w:p w14:paraId="075413D9">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914400"/>
                  <wp:effectExtent l="0" t="0" r="0" b="0"/>
                  <wp:docPr id="183" name="图片 183" descr="http://www.anquan.com.cn/tubiao/image/huanj/HP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http://www.anquan.com.cn/tubiao/image/huanj/HP00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009650" cy="914400"/>
                          </a:xfrm>
                          <a:prstGeom prst="rect">
                            <a:avLst/>
                          </a:prstGeom>
                          <a:noFill/>
                          <a:ln>
                            <a:noFill/>
                          </a:ln>
                        </pic:spPr>
                      </pic:pic>
                    </a:graphicData>
                  </a:graphic>
                </wp:inline>
              </w:drawing>
            </w:r>
          </w:p>
        </w:tc>
      </w:tr>
      <w:tr w14:paraId="686D8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29" w:hRule="atLeast"/>
          <w:tblCellSpacing w:w="0" w:type="dxa"/>
          <w:jc w:val="center"/>
        </w:trPr>
        <w:tc>
          <w:tcPr>
            <w:tcW w:w="1252" w:type="pct"/>
            <w:vAlign w:val="center"/>
          </w:tcPr>
          <w:p w14:paraId="45295B9C">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污水排放口</w:t>
            </w:r>
          </w:p>
        </w:tc>
        <w:tc>
          <w:tcPr>
            <w:tcW w:w="1250" w:type="pct"/>
            <w:vAlign w:val="center"/>
          </w:tcPr>
          <w:p w14:paraId="5393C571">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污水排放口</w:t>
            </w:r>
          </w:p>
        </w:tc>
        <w:tc>
          <w:tcPr>
            <w:tcW w:w="1250" w:type="pct"/>
            <w:vAlign w:val="center"/>
          </w:tcPr>
          <w:p w14:paraId="41A9C958">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废气排放口</w:t>
            </w:r>
          </w:p>
        </w:tc>
        <w:tc>
          <w:tcPr>
            <w:tcW w:w="1246" w:type="pct"/>
            <w:vAlign w:val="center"/>
          </w:tcPr>
          <w:p w14:paraId="04632F95">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废气排放口</w:t>
            </w:r>
          </w:p>
        </w:tc>
      </w:tr>
      <w:tr w14:paraId="09FB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350" w:hRule="atLeast"/>
          <w:tblCellSpacing w:w="0" w:type="dxa"/>
          <w:jc w:val="center"/>
        </w:trPr>
        <w:tc>
          <w:tcPr>
            <w:tcW w:w="1252" w:type="pct"/>
            <w:vAlign w:val="center"/>
          </w:tcPr>
          <w:p w14:paraId="093E0A51">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1009650"/>
                  <wp:effectExtent l="0" t="0" r="0" b="0"/>
                  <wp:docPr id="68" name="图片 68" descr="http://www.anquan.com.cn/tubiao/image/huanj/HP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http://www.anquan.com.cn/tubiao/image/huanj/HP005.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009650" cy="1009650"/>
                          </a:xfrm>
                          <a:prstGeom prst="rect">
                            <a:avLst/>
                          </a:prstGeom>
                          <a:noFill/>
                          <a:ln>
                            <a:noFill/>
                          </a:ln>
                        </pic:spPr>
                      </pic:pic>
                    </a:graphicData>
                  </a:graphic>
                </wp:inline>
              </w:drawing>
            </w:r>
          </w:p>
        </w:tc>
        <w:tc>
          <w:tcPr>
            <w:tcW w:w="1250" w:type="pct"/>
            <w:vAlign w:val="center"/>
          </w:tcPr>
          <w:p w14:paraId="385B6BDF">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914400"/>
                  <wp:effectExtent l="0" t="0" r="0" b="0"/>
                  <wp:docPr id="69" name="图片 69" descr="http://www.anquan.com.cn/tubiao/image/huanj/HP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http://www.anquan.com.cn/tubiao/image/huanj/HP006.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009650" cy="914400"/>
                          </a:xfrm>
                          <a:prstGeom prst="rect">
                            <a:avLst/>
                          </a:prstGeom>
                          <a:noFill/>
                          <a:ln>
                            <a:noFill/>
                          </a:ln>
                        </pic:spPr>
                      </pic:pic>
                    </a:graphicData>
                  </a:graphic>
                </wp:inline>
              </w:drawing>
            </w:r>
          </w:p>
        </w:tc>
        <w:tc>
          <w:tcPr>
            <w:tcW w:w="1250" w:type="pct"/>
            <w:vAlign w:val="center"/>
          </w:tcPr>
          <w:p w14:paraId="47D051B9">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1009650"/>
                  <wp:effectExtent l="0" t="0" r="0" b="0"/>
                  <wp:docPr id="70" name="图片 70" descr="http://www.anquan.com.cn/tubiao/image/huanj/HP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http://www.anquan.com.cn/tubiao/image/huanj/HP007.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009650" cy="1009650"/>
                          </a:xfrm>
                          <a:prstGeom prst="rect">
                            <a:avLst/>
                          </a:prstGeom>
                          <a:noFill/>
                          <a:ln>
                            <a:noFill/>
                          </a:ln>
                        </pic:spPr>
                      </pic:pic>
                    </a:graphicData>
                  </a:graphic>
                </wp:inline>
              </w:drawing>
            </w:r>
          </w:p>
        </w:tc>
        <w:tc>
          <w:tcPr>
            <w:tcW w:w="1246" w:type="pct"/>
            <w:vAlign w:val="center"/>
          </w:tcPr>
          <w:p w14:paraId="69E5FD6A">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drawing>
                <wp:inline distT="0" distB="0" distL="0" distR="0">
                  <wp:extent cx="1009650" cy="914400"/>
                  <wp:effectExtent l="0" t="0" r="0" b="0"/>
                  <wp:docPr id="71" name="图片 71" descr="http://www.anquan.com.cn/tubiao/image/huanj/HP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http://www.anquan.com.cn/tubiao/image/huanj/HP008.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009650" cy="914400"/>
                          </a:xfrm>
                          <a:prstGeom prst="rect">
                            <a:avLst/>
                          </a:prstGeom>
                          <a:noFill/>
                          <a:ln>
                            <a:noFill/>
                          </a:ln>
                        </pic:spPr>
                      </pic:pic>
                    </a:graphicData>
                  </a:graphic>
                </wp:inline>
              </w:drawing>
            </w:r>
          </w:p>
        </w:tc>
      </w:tr>
      <w:tr w14:paraId="25E47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 w:hRule="atLeast"/>
          <w:tblCellSpacing w:w="0" w:type="dxa"/>
          <w:jc w:val="center"/>
        </w:trPr>
        <w:tc>
          <w:tcPr>
            <w:tcW w:w="1252" w:type="pct"/>
            <w:vAlign w:val="center"/>
          </w:tcPr>
          <w:p w14:paraId="0BA04F2F">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噪声排放源</w:t>
            </w:r>
          </w:p>
        </w:tc>
        <w:tc>
          <w:tcPr>
            <w:tcW w:w="1250" w:type="pct"/>
            <w:vAlign w:val="center"/>
          </w:tcPr>
          <w:p w14:paraId="3B4933C0">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噪声排放源</w:t>
            </w:r>
          </w:p>
        </w:tc>
        <w:tc>
          <w:tcPr>
            <w:tcW w:w="1250" w:type="pct"/>
            <w:vAlign w:val="center"/>
          </w:tcPr>
          <w:p w14:paraId="4C4FA51D">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一般固体废物</w:t>
            </w:r>
          </w:p>
        </w:tc>
        <w:tc>
          <w:tcPr>
            <w:tcW w:w="1246" w:type="pct"/>
            <w:vAlign w:val="center"/>
          </w:tcPr>
          <w:p w14:paraId="11AEF8A8">
            <w:pPr>
              <w:keepNext w:val="0"/>
              <w:keepLines w:val="0"/>
              <w:pageBreakBefore w:val="0"/>
              <w:widowControl/>
              <w:kinsoku/>
              <w:wordWrap/>
              <w:overflowPunct/>
              <w:topLinePunct w:val="0"/>
              <w:autoSpaceDE/>
              <w:autoSpaceDN/>
              <w:bidi w:val="0"/>
              <w:adjustRightInd/>
              <w:snapToGrid/>
              <w:ind w:firstLine="0" w:firstLineChars="0"/>
              <w:jc w:val="center"/>
              <w:textAlignment w:val="auto"/>
              <w:rPr>
                <w:rFonts w:hint="eastAsia"/>
                <w:lang w:val="en-US" w:eastAsia="zh-CN"/>
              </w:rPr>
            </w:pPr>
            <w:r>
              <w:rPr>
                <w:rFonts w:hint="eastAsia"/>
                <w:lang w:val="en-US" w:eastAsia="zh-CN"/>
              </w:rPr>
              <w:t>一般固体废物</w:t>
            </w:r>
          </w:p>
        </w:tc>
      </w:tr>
    </w:tbl>
    <w:p w14:paraId="69CCD7F7">
      <w:pPr>
        <w:bidi w:val="0"/>
        <w:jc w:val="center"/>
        <w:rPr>
          <w:rFonts w:hint="eastAsia"/>
          <w:b/>
          <w:bCs/>
          <w:lang w:val="en-US" w:eastAsia="zh-CN"/>
        </w:rPr>
      </w:pPr>
      <w:r>
        <w:rPr>
          <w:rFonts w:hint="eastAsia"/>
          <w:b/>
          <w:bCs/>
          <w:lang w:val="en-US" w:eastAsia="zh-CN"/>
        </w:rPr>
        <w:t>图9.3.1-1 环境保护图形标志—排放口（源）</w:t>
      </w:r>
    </w:p>
    <w:p w14:paraId="56B9BAC7">
      <w:pPr>
        <w:bidi w:val="0"/>
        <w:ind w:firstLine="480" w:firstLineChars="200"/>
        <w:rPr>
          <w:rFonts w:hint="eastAsia"/>
          <w:lang w:val="en-US" w:eastAsia="zh-CN"/>
        </w:rPr>
      </w:pPr>
      <w:r>
        <w:rPr>
          <w:rFonts w:hint="eastAsia"/>
          <w:lang w:val="en-US" w:eastAsia="zh-CN"/>
        </w:rPr>
        <w:t>（4）危废库标识要求由于本项目生产过程中会产生危险废物，按照《危险废物贮存污染控制标准》（GB18597-2023）要求，危废库及危险废物储存容器上需要张贴标签，具体要求如下：</w:t>
      </w:r>
    </w:p>
    <w:p w14:paraId="005DC5AE">
      <w:pPr>
        <w:bidi w:val="0"/>
        <w:jc w:val="center"/>
        <w:rPr>
          <w:rFonts w:hint="eastAsia"/>
          <w:b/>
          <w:bCs/>
          <w:lang w:val="en-US" w:eastAsia="zh-CN"/>
        </w:rPr>
      </w:pPr>
      <w:r>
        <w:rPr>
          <w:rFonts w:hint="eastAsia"/>
          <w:b/>
          <w:bCs/>
          <w:lang w:val="en-US" w:eastAsia="zh-CN"/>
        </w:rPr>
        <w:t>表9.3.1-1 危废库及储存容器标签示例</w:t>
      </w:r>
    </w:p>
    <w:tbl>
      <w:tblPr>
        <w:tblStyle w:val="17"/>
        <w:tblW w:w="500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94"/>
        <w:gridCol w:w="3100"/>
        <w:gridCol w:w="4887"/>
      </w:tblGrid>
      <w:tr w14:paraId="43BE54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7" w:hRule="atLeast"/>
          <w:tblHeader/>
          <w:jc w:val="center"/>
        </w:trPr>
        <w:tc>
          <w:tcPr>
            <w:tcW w:w="743" w:type="pct"/>
            <w:vAlign w:val="center"/>
          </w:tcPr>
          <w:p w14:paraId="5EC86D3D">
            <w:pPr>
              <w:bidi w:val="0"/>
              <w:spacing w:line="240" w:lineRule="auto"/>
              <w:jc w:val="center"/>
              <w:rPr>
                <w:rFonts w:hint="eastAsia"/>
                <w:b/>
                <w:bCs/>
                <w:sz w:val="21"/>
                <w:szCs w:val="21"/>
                <w:lang w:val="en-US" w:eastAsia="zh-CN"/>
              </w:rPr>
            </w:pPr>
            <w:r>
              <w:rPr>
                <w:rFonts w:hint="eastAsia"/>
                <w:b/>
                <w:bCs/>
                <w:sz w:val="21"/>
                <w:szCs w:val="21"/>
                <w:lang w:val="en-US" w:eastAsia="zh-CN"/>
              </w:rPr>
              <w:t>场合</w:t>
            </w:r>
          </w:p>
        </w:tc>
        <w:tc>
          <w:tcPr>
            <w:tcW w:w="1652" w:type="pct"/>
            <w:vAlign w:val="center"/>
          </w:tcPr>
          <w:p w14:paraId="2859AFAB">
            <w:pPr>
              <w:bidi w:val="0"/>
              <w:spacing w:line="240" w:lineRule="auto"/>
              <w:jc w:val="center"/>
              <w:rPr>
                <w:rFonts w:hint="eastAsia"/>
                <w:b/>
                <w:bCs/>
                <w:sz w:val="21"/>
                <w:szCs w:val="21"/>
                <w:lang w:val="en-US" w:eastAsia="zh-CN"/>
              </w:rPr>
            </w:pPr>
            <w:r>
              <w:rPr>
                <w:rFonts w:hint="eastAsia"/>
                <w:b/>
                <w:bCs/>
                <w:sz w:val="21"/>
                <w:szCs w:val="21"/>
                <w:lang w:val="en-US" w:eastAsia="zh-CN"/>
              </w:rPr>
              <w:t>样式</w:t>
            </w:r>
          </w:p>
        </w:tc>
        <w:tc>
          <w:tcPr>
            <w:tcW w:w="2604" w:type="pct"/>
            <w:vAlign w:val="center"/>
          </w:tcPr>
          <w:p w14:paraId="579ED1EB">
            <w:pPr>
              <w:bidi w:val="0"/>
              <w:spacing w:line="240" w:lineRule="auto"/>
              <w:jc w:val="center"/>
              <w:rPr>
                <w:rFonts w:hint="eastAsia"/>
                <w:b/>
                <w:bCs/>
                <w:sz w:val="21"/>
                <w:szCs w:val="21"/>
                <w:lang w:val="en-US" w:eastAsia="zh-CN"/>
              </w:rPr>
            </w:pPr>
            <w:r>
              <w:rPr>
                <w:rFonts w:hint="eastAsia"/>
                <w:b/>
                <w:bCs/>
                <w:sz w:val="21"/>
                <w:szCs w:val="21"/>
                <w:lang w:val="en-US" w:eastAsia="zh-CN"/>
              </w:rPr>
              <w:t>要求</w:t>
            </w:r>
          </w:p>
        </w:tc>
      </w:tr>
      <w:tr w14:paraId="4928D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7" w:hRule="atLeast"/>
          <w:jc w:val="center"/>
        </w:trPr>
        <w:tc>
          <w:tcPr>
            <w:tcW w:w="743" w:type="pct"/>
            <w:vAlign w:val="center"/>
          </w:tcPr>
          <w:p w14:paraId="7FF42593">
            <w:pPr>
              <w:bidi w:val="0"/>
              <w:spacing w:line="240" w:lineRule="auto"/>
              <w:jc w:val="center"/>
              <w:rPr>
                <w:rFonts w:hint="eastAsia"/>
                <w:sz w:val="21"/>
                <w:szCs w:val="21"/>
                <w:lang w:val="en-US" w:eastAsia="zh-CN"/>
              </w:rPr>
            </w:pPr>
            <w:r>
              <w:rPr>
                <w:rFonts w:hint="eastAsia"/>
                <w:sz w:val="21"/>
                <w:szCs w:val="21"/>
                <w:lang w:val="en-US" w:eastAsia="zh-CN"/>
              </w:rPr>
              <w:t>室外</w:t>
            </w:r>
          </w:p>
          <w:p w14:paraId="29EF39B2">
            <w:pPr>
              <w:bidi w:val="0"/>
              <w:spacing w:line="240" w:lineRule="auto"/>
              <w:jc w:val="center"/>
              <w:rPr>
                <w:rFonts w:hint="eastAsia"/>
                <w:sz w:val="21"/>
                <w:szCs w:val="21"/>
                <w:lang w:val="en-US" w:eastAsia="zh-CN"/>
              </w:rPr>
            </w:pPr>
            <w:r>
              <w:rPr>
                <w:rFonts w:hint="eastAsia"/>
                <w:sz w:val="21"/>
                <w:szCs w:val="21"/>
                <w:lang w:val="en-US" w:eastAsia="zh-CN"/>
              </w:rPr>
              <w:t>（粘贴于门上或悬挂）</w:t>
            </w:r>
          </w:p>
        </w:tc>
        <w:tc>
          <w:tcPr>
            <w:tcW w:w="1652" w:type="pct"/>
            <w:vAlign w:val="center"/>
          </w:tcPr>
          <w:p w14:paraId="18E8F6FF">
            <w:pPr>
              <w:bidi w:val="0"/>
              <w:spacing w:line="240" w:lineRule="auto"/>
              <w:jc w:val="center"/>
              <w:rPr>
                <w:rFonts w:hint="eastAsia"/>
                <w:sz w:val="21"/>
                <w:szCs w:val="21"/>
                <w:lang w:val="en-US" w:eastAsia="zh-CN"/>
              </w:rPr>
            </w:pPr>
            <w:r>
              <w:rPr>
                <w:rFonts w:hint="eastAsia"/>
                <w:sz w:val="21"/>
                <w:szCs w:val="21"/>
                <w:lang w:val="en-US" w:eastAsia="zh-CN"/>
              </w:rPr>
              <w:drawing>
                <wp:inline distT="0" distB="0" distL="114300" distR="114300">
                  <wp:extent cx="1527175" cy="1582420"/>
                  <wp:effectExtent l="0" t="0" r="15875" b="17780"/>
                  <wp:docPr id="135"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06"/>
                          <pic:cNvPicPr>
                            <a:picLocks noChangeAspect="1"/>
                          </pic:cNvPicPr>
                        </pic:nvPicPr>
                        <pic:blipFill>
                          <a:blip r:embed="rId53"/>
                          <a:stretch>
                            <a:fillRect/>
                          </a:stretch>
                        </pic:blipFill>
                        <pic:spPr>
                          <a:xfrm>
                            <a:off x="0" y="0"/>
                            <a:ext cx="1527175" cy="1582420"/>
                          </a:xfrm>
                          <a:prstGeom prst="rect">
                            <a:avLst/>
                          </a:prstGeom>
                          <a:noFill/>
                          <a:ln>
                            <a:noFill/>
                          </a:ln>
                        </pic:spPr>
                      </pic:pic>
                    </a:graphicData>
                  </a:graphic>
                </wp:inline>
              </w:drawing>
            </w:r>
          </w:p>
        </w:tc>
        <w:tc>
          <w:tcPr>
            <w:tcW w:w="2604" w:type="pct"/>
            <w:vAlign w:val="center"/>
          </w:tcPr>
          <w:p w14:paraId="7B941430">
            <w:pPr>
              <w:bidi w:val="0"/>
              <w:spacing w:line="240" w:lineRule="auto"/>
              <w:jc w:val="center"/>
              <w:rPr>
                <w:rFonts w:hint="eastAsia"/>
                <w:sz w:val="21"/>
                <w:szCs w:val="21"/>
                <w:lang w:val="en-US" w:eastAsia="zh-CN"/>
              </w:rPr>
            </w:pPr>
            <w:r>
              <w:rPr>
                <w:rFonts w:hint="eastAsia"/>
                <w:sz w:val="21"/>
                <w:szCs w:val="21"/>
                <w:lang w:val="en-US" w:eastAsia="zh-CN"/>
              </w:rPr>
              <w:t>1、危险废物警告标志规格颜色</w:t>
            </w:r>
          </w:p>
          <w:p w14:paraId="4CCFF85E">
            <w:pPr>
              <w:bidi w:val="0"/>
              <w:spacing w:line="240" w:lineRule="auto"/>
              <w:jc w:val="center"/>
              <w:rPr>
                <w:rFonts w:hint="eastAsia"/>
                <w:sz w:val="21"/>
                <w:szCs w:val="21"/>
                <w:lang w:val="en-US" w:eastAsia="zh-CN"/>
              </w:rPr>
            </w:pPr>
            <w:r>
              <w:rPr>
                <w:rFonts w:hint="eastAsia"/>
                <w:sz w:val="21"/>
                <w:szCs w:val="21"/>
                <w:lang w:val="en-US" w:eastAsia="zh-CN"/>
              </w:rPr>
              <w:t>形状：等边三角形，边长42cm</w:t>
            </w:r>
          </w:p>
          <w:p w14:paraId="52C6FCB7">
            <w:pPr>
              <w:bidi w:val="0"/>
              <w:spacing w:line="240" w:lineRule="auto"/>
              <w:jc w:val="center"/>
              <w:rPr>
                <w:rFonts w:hint="eastAsia"/>
                <w:sz w:val="21"/>
                <w:szCs w:val="21"/>
                <w:lang w:val="en-US" w:eastAsia="zh-CN"/>
              </w:rPr>
            </w:pPr>
            <w:r>
              <w:rPr>
                <w:rFonts w:hint="eastAsia"/>
                <w:sz w:val="21"/>
                <w:szCs w:val="21"/>
                <w:lang w:val="en-US" w:eastAsia="zh-CN"/>
              </w:rPr>
              <w:t>颜色：背景为黄色，图形为黑色</w:t>
            </w:r>
          </w:p>
          <w:p w14:paraId="7FC398F9">
            <w:pPr>
              <w:bidi w:val="0"/>
              <w:spacing w:line="240" w:lineRule="auto"/>
              <w:jc w:val="center"/>
              <w:rPr>
                <w:rFonts w:hint="eastAsia"/>
                <w:sz w:val="21"/>
                <w:szCs w:val="21"/>
                <w:lang w:val="en-US" w:eastAsia="zh-CN"/>
              </w:rPr>
            </w:pPr>
            <w:r>
              <w:rPr>
                <w:rFonts w:hint="eastAsia"/>
                <w:sz w:val="21"/>
                <w:szCs w:val="21"/>
                <w:lang w:val="en-US" w:eastAsia="zh-CN"/>
              </w:rPr>
              <w:t>2、警告标志外檐2.5cm</w:t>
            </w:r>
          </w:p>
          <w:p w14:paraId="2FD8C0BA">
            <w:pPr>
              <w:bidi w:val="0"/>
              <w:spacing w:line="240" w:lineRule="auto"/>
              <w:jc w:val="center"/>
              <w:rPr>
                <w:rFonts w:hint="eastAsia"/>
                <w:sz w:val="21"/>
                <w:szCs w:val="21"/>
                <w:lang w:val="en-US" w:eastAsia="zh-CN"/>
              </w:rPr>
            </w:pPr>
            <w:r>
              <w:rPr>
                <w:rFonts w:hint="eastAsia"/>
                <w:sz w:val="21"/>
                <w:szCs w:val="21"/>
                <w:lang w:val="en-US" w:eastAsia="zh-CN"/>
              </w:rPr>
              <w:t>3、使用于：危险废物贮存设施为房屋的，建有围墙或防护栅栏，且高度高于100cm时；部分危险废物利用、处置场所。</w:t>
            </w:r>
          </w:p>
        </w:tc>
      </w:tr>
    </w:tbl>
    <w:p w14:paraId="560C2D92">
      <w:pPr>
        <w:bidi w:val="0"/>
        <w:ind w:firstLine="480" w:firstLineChars="200"/>
        <w:rPr>
          <w:rFonts w:hint="eastAsia"/>
          <w:lang w:val="en-US" w:eastAsia="zh-CN"/>
        </w:rPr>
      </w:pPr>
      <w:bookmarkStart w:id="164" w:name="_Toc15047"/>
      <w:bookmarkStart w:id="165" w:name="_Toc518309692"/>
      <w:bookmarkStart w:id="166" w:name="_Toc488339963"/>
      <w:r>
        <w:rPr>
          <w:rFonts w:hint="eastAsia"/>
          <w:lang w:val="en-US" w:eastAsia="zh-CN"/>
        </w:rPr>
        <w:t>根据现场踏勘，企业基本已按照上述要求落实建设。</w:t>
      </w:r>
    </w:p>
    <w:p w14:paraId="01A82930">
      <w:pPr>
        <w:pStyle w:val="2"/>
        <w:bidi w:val="0"/>
        <w:rPr>
          <w:rFonts w:hint="eastAsia"/>
          <w:lang w:val="en-US" w:eastAsia="zh-CN"/>
        </w:rPr>
      </w:pPr>
      <w:bookmarkStart w:id="167" w:name="_Toc23513"/>
      <w:bookmarkStart w:id="168" w:name="_Toc1923"/>
      <w:r>
        <w:rPr>
          <w:rFonts w:hint="eastAsia"/>
          <w:lang w:val="en-US" w:eastAsia="zh-CN"/>
        </w:rPr>
        <w:t>9.4 污染物排放</w:t>
      </w:r>
      <w:bookmarkEnd w:id="158"/>
      <w:r>
        <w:rPr>
          <w:rFonts w:hint="eastAsia"/>
          <w:lang w:val="en-US" w:eastAsia="zh-CN"/>
        </w:rPr>
        <w:t>清单</w:t>
      </w:r>
      <w:bookmarkEnd w:id="164"/>
      <w:bookmarkEnd w:id="165"/>
      <w:bookmarkEnd w:id="166"/>
      <w:bookmarkEnd w:id="167"/>
      <w:bookmarkEnd w:id="168"/>
    </w:p>
    <w:p w14:paraId="0DFA6348">
      <w:pPr>
        <w:bidi w:val="0"/>
        <w:rPr>
          <w:rFonts w:hint="eastAsia"/>
          <w:b/>
          <w:bCs/>
          <w:lang w:val="en-US" w:eastAsia="zh-CN"/>
        </w:rPr>
      </w:pPr>
      <w:r>
        <w:rPr>
          <w:rFonts w:hint="eastAsia"/>
          <w:b/>
          <w:bCs/>
          <w:lang w:val="en-US" w:eastAsia="zh-CN"/>
        </w:rPr>
        <w:t>9.4.1 环保信息公示</w:t>
      </w:r>
    </w:p>
    <w:p w14:paraId="6573C7F7">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（1）公开内容</w:t>
      </w:r>
    </w:p>
    <w:p w14:paraId="1CEA13A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①基础信息</w:t>
      </w:r>
    </w:p>
    <w:p w14:paraId="3E2E324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企业名称：</w:t>
      </w:r>
      <w:bookmarkStart w:id="169" w:name="_Toc32257"/>
      <w:bookmarkStart w:id="170" w:name="_Toc6691"/>
      <w:r>
        <w:rPr>
          <w:rFonts w:hint="eastAsia"/>
          <w:lang w:val="en-US" w:eastAsia="zh-CN"/>
        </w:rPr>
        <w:t>安徽晶科能源有限公司</w:t>
      </w:r>
      <w:bookmarkEnd w:id="169"/>
      <w:bookmarkEnd w:id="170"/>
      <w:r>
        <w:rPr>
          <w:rFonts w:hint="eastAsia"/>
          <w:lang w:val="en-US" w:eastAsia="zh-CN"/>
        </w:rPr>
        <w:t>；</w:t>
      </w:r>
    </w:p>
    <w:p w14:paraId="71675C0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生产地址：</w:t>
      </w:r>
      <w:r>
        <w:rPr>
          <w:rFonts w:hint="default"/>
          <w:lang w:val="en-US" w:eastAsia="zh-CN"/>
        </w:rPr>
        <w:t>合肥循环经济示范园龙兴大道与乳泉路交口东北角</w:t>
      </w:r>
      <w:r>
        <w:rPr>
          <w:rFonts w:hint="eastAsia"/>
          <w:lang w:val="en-US" w:eastAsia="zh-CN"/>
        </w:rPr>
        <w:t>；</w:t>
      </w:r>
    </w:p>
    <w:p w14:paraId="570BA34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主要产品及规模：</w:t>
      </w:r>
      <w:r>
        <w:rPr>
          <w:rFonts w:hint="eastAsia" w:cs="Times New Roman"/>
          <w:color w:val="auto"/>
          <w:lang w:val="en-US" w:eastAsia="zh-CN"/>
        </w:rPr>
        <w:t>全厂维持年产新型太阳能高效电池片17.589GW的生产能力不变</w:t>
      </w:r>
      <w:r>
        <w:rPr>
          <w:rFonts w:hint="eastAsia"/>
          <w:lang w:val="en-US" w:eastAsia="zh-CN"/>
        </w:rPr>
        <w:t>。</w:t>
      </w:r>
    </w:p>
    <w:p w14:paraId="31CD7C0A">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①排污信息</w:t>
      </w:r>
    </w:p>
    <w:p w14:paraId="59D3F1C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bookmarkStart w:id="171" w:name="_Toc30231"/>
      <w:bookmarkStart w:id="172" w:name="_Toc20566"/>
      <w:r>
        <w:rPr>
          <w:rFonts w:hint="eastAsia"/>
          <w:lang w:val="en-US" w:eastAsia="zh-CN"/>
        </w:rPr>
        <w:t>安徽晶科能源有限公司高效太阳能电池片FP提效改造一期项目</w:t>
      </w:r>
      <w:bookmarkEnd w:id="171"/>
      <w:bookmarkEnd w:id="172"/>
      <w:r>
        <w:rPr>
          <w:rFonts w:hint="eastAsia"/>
          <w:lang w:val="en-US" w:eastAsia="zh-CN"/>
        </w:rPr>
        <w:t>排放的污染物种类、排放量。</w:t>
      </w:r>
    </w:p>
    <w:p w14:paraId="07624605">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②环境监测计划</w:t>
      </w:r>
    </w:p>
    <w:p w14:paraId="06573B8C">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安徽晶科能源有限公司高效太阳能电池片FP提效改造一期项目制定了相应的环境监测计划，分别见上表中污染源监测计划和环境质量监测计划一览表。</w:t>
      </w:r>
    </w:p>
    <w:p w14:paraId="0C47ED7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（2）公开方式及时间要求</w:t>
      </w:r>
    </w:p>
    <w:p w14:paraId="06794E5D">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公开方式：通过公司网站、信息公开平台或当地报刊等便于公众知晓的方式公开。</w:t>
      </w:r>
    </w:p>
    <w:p w14:paraId="7367725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公开时间要求：环境信息有新生成或者发生变更情形的，应当自环境信息生成或者变更之日起三十日内予以公开。法律、法规另有规定的，从其规定。</w:t>
      </w:r>
    </w:p>
    <w:p w14:paraId="0B1A6ABB">
      <w:pPr>
        <w:bidi w:val="0"/>
        <w:rPr>
          <w:rFonts w:hint="eastAsia"/>
          <w:b/>
          <w:bCs/>
          <w:lang w:val="en-US" w:eastAsia="zh-CN"/>
        </w:rPr>
      </w:pPr>
      <w:r>
        <w:rPr>
          <w:rFonts w:hint="eastAsia"/>
          <w:b/>
          <w:bCs/>
          <w:lang w:val="en-US" w:eastAsia="zh-CN"/>
        </w:rPr>
        <w:t>9.4.2 环境管理台账</w:t>
      </w:r>
    </w:p>
    <w:p w14:paraId="277111A5">
      <w:pPr>
        <w:bidi w:val="0"/>
        <w:ind w:firstLine="480" w:firstLineChars="200"/>
        <w:rPr>
          <w:rFonts w:hint="eastAsia"/>
          <w:lang w:val="en-US" w:eastAsia="zh-CN"/>
        </w:rPr>
      </w:pPr>
      <w:r>
        <w:rPr>
          <w:rFonts w:hint="eastAsia"/>
          <w:lang w:val="en-US" w:eastAsia="zh-CN"/>
        </w:rPr>
        <w:t>安徽晶科能源有限公司应按照有关要求，及时并如实记录项目原辅材料的消耗量及固废产生量等相关内容的环境管理台账，供环保检查。</w:t>
      </w:r>
    </w:p>
    <w:p w14:paraId="3BBA3648">
      <w:pPr>
        <w:bidi w:val="0"/>
        <w:rPr>
          <w:rFonts w:hint="eastAsia"/>
          <w:b/>
          <w:bCs/>
          <w:lang w:val="en-US" w:eastAsia="zh-CN"/>
        </w:rPr>
      </w:pPr>
      <w:r>
        <w:rPr>
          <w:rFonts w:hint="eastAsia"/>
          <w:b/>
          <w:bCs/>
          <w:lang w:val="en-US" w:eastAsia="zh-CN"/>
        </w:rPr>
        <w:t>9.4.3 污染物排放清单</w:t>
      </w:r>
    </w:p>
    <w:p w14:paraId="3742B42F">
      <w:pPr>
        <w:bidi w:val="0"/>
        <w:ind w:firstLine="480" w:firstLineChars="200"/>
        <w:rPr>
          <w:rFonts w:hint="eastAsia"/>
          <w:lang w:val="en-US" w:eastAsia="zh-CN"/>
        </w:rPr>
      </w:pPr>
      <w:r>
        <w:rPr>
          <w:rFonts w:hint="eastAsia"/>
          <w:lang w:val="en-US" w:eastAsia="zh-CN"/>
        </w:rPr>
        <w:t>项目污染物排放情况见下表。</w:t>
      </w:r>
    </w:p>
    <w:p w14:paraId="4A2E09FA">
      <w:pPr>
        <w:bidi w:val="0"/>
        <w:rPr>
          <w:rFonts w:hint="eastAsia"/>
          <w:lang w:val="en-US" w:eastAsia="zh-CN"/>
        </w:rPr>
        <w:sectPr>
          <w:pgSz w:w="11905" w:h="16838"/>
          <w:pgMar w:top="1417" w:right="1134" w:bottom="1134" w:left="1417" w:header="851" w:footer="992" w:gutter="0"/>
          <w:pgNumType w:fmt="decimal"/>
          <w:cols w:space="0" w:num="1"/>
          <w:rtlGutter w:val="0"/>
          <w:docGrid w:type="lines" w:linePitch="346" w:charSpace="0"/>
        </w:sectPr>
      </w:pPr>
    </w:p>
    <w:p w14:paraId="2530FF43">
      <w:pPr>
        <w:bidi w:val="0"/>
        <w:jc w:val="center"/>
        <w:rPr>
          <w:rFonts w:hint="eastAsia"/>
          <w:b/>
          <w:bCs/>
          <w:lang w:val="en-US" w:eastAsia="zh-CN"/>
        </w:rPr>
      </w:pPr>
      <w:r>
        <w:rPr>
          <w:rFonts w:hint="eastAsia"/>
          <w:b/>
          <w:bCs/>
          <w:lang w:val="en-US" w:eastAsia="zh-CN"/>
        </w:rPr>
        <w:t>表9.4.1-1 项目污染物排放清单一览表</w:t>
      </w:r>
    </w:p>
    <w:tbl>
      <w:tblPr>
        <w:tblStyle w:val="17"/>
        <w:tblW w:w="4996" w:type="pct"/>
        <w:tblInd w:w="0" w:type="dxa"/>
        <w:tblLayout w:type="fixed"/>
        <w:tblCellMar>
          <w:top w:w="0" w:type="dxa"/>
          <w:left w:w="108" w:type="dxa"/>
          <w:bottom w:w="0" w:type="dxa"/>
          <w:right w:w="108" w:type="dxa"/>
        </w:tblCellMar>
      </w:tblPr>
      <w:tblGrid>
        <w:gridCol w:w="433"/>
        <w:gridCol w:w="954"/>
        <w:gridCol w:w="1114"/>
        <w:gridCol w:w="1621"/>
        <w:gridCol w:w="1023"/>
        <w:gridCol w:w="1357"/>
        <w:gridCol w:w="1624"/>
        <w:gridCol w:w="1322"/>
        <w:gridCol w:w="971"/>
        <w:gridCol w:w="899"/>
        <w:gridCol w:w="809"/>
        <w:gridCol w:w="771"/>
        <w:gridCol w:w="699"/>
        <w:gridCol w:w="896"/>
      </w:tblGrid>
      <w:tr w14:paraId="7D464F8C">
        <w:tblPrEx>
          <w:tblCellMar>
            <w:top w:w="0" w:type="dxa"/>
            <w:left w:w="108" w:type="dxa"/>
            <w:bottom w:w="0" w:type="dxa"/>
            <w:right w:w="108" w:type="dxa"/>
          </w:tblCellMar>
        </w:tblPrEx>
        <w:trPr>
          <w:trHeight w:val="23" w:hRule="atLeast"/>
        </w:trPr>
        <w:tc>
          <w:tcPr>
            <w:tcW w:w="149" w:type="pct"/>
            <w:vMerge w:val="restart"/>
            <w:tcBorders>
              <w:top w:val="single" w:color="000000" w:sz="4" w:space="0"/>
              <w:left w:val="single" w:color="000000" w:sz="4" w:space="0"/>
              <w:right w:val="single" w:color="000000" w:sz="4" w:space="0"/>
            </w:tcBorders>
            <w:vAlign w:val="center"/>
          </w:tcPr>
          <w:p w14:paraId="087FB12E">
            <w:pPr>
              <w:bidi w:val="0"/>
              <w:spacing w:line="240" w:lineRule="auto"/>
              <w:jc w:val="center"/>
              <w:rPr>
                <w:rFonts w:hint="eastAsia"/>
                <w:b/>
                <w:bCs/>
                <w:sz w:val="21"/>
                <w:szCs w:val="21"/>
                <w:lang w:val="en-US" w:eastAsia="zh-CN"/>
              </w:rPr>
            </w:pPr>
            <w:r>
              <w:rPr>
                <w:rFonts w:hint="eastAsia"/>
                <w:b/>
                <w:bCs/>
                <w:sz w:val="21"/>
                <w:szCs w:val="21"/>
                <w:lang w:val="en-US" w:eastAsia="zh-CN"/>
              </w:rPr>
              <w:t>类别</w:t>
            </w:r>
          </w:p>
        </w:tc>
        <w:tc>
          <w:tcPr>
            <w:tcW w:w="329" w:type="pct"/>
            <w:vMerge w:val="restart"/>
            <w:tcBorders>
              <w:top w:val="single" w:color="000000" w:sz="4" w:space="0"/>
              <w:left w:val="single" w:color="000000" w:sz="4" w:space="0"/>
              <w:bottom w:val="single" w:color="000000" w:sz="4" w:space="0"/>
              <w:right w:val="single" w:color="000000" w:sz="4" w:space="0"/>
            </w:tcBorders>
            <w:vAlign w:val="center"/>
          </w:tcPr>
          <w:p w14:paraId="5D8EE957">
            <w:pPr>
              <w:bidi w:val="0"/>
              <w:spacing w:line="240" w:lineRule="auto"/>
              <w:jc w:val="center"/>
              <w:rPr>
                <w:rFonts w:hint="eastAsia"/>
                <w:b/>
                <w:bCs/>
                <w:sz w:val="21"/>
                <w:szCs w:val="21"/>
                <w:lang w:val="en-US" w:eastAsia="zh-CN"/>
              </w:rPr>
            </w:pPr>
            <w:r>
              <w:rPr>
                <w:rFonts w:hint="eastAsia"/>
                <w:b/>
                <w:bCs/>
                <w:sz w:val="21"/>
                <w:szCs w:val="21"/>
                <w:lang w:val="en-US" w:eastAsia="zh-CN"/>
              </w:rPr>
              <w:t>污染源</w:t>
            </w:r>
          </w:p>
        </w:tc>
        <w:tc>
          <w:tcPr>
            <w:tcW w:w="384" w:type="pct"/>
            <w:vMerge w:val="restart"/>
            <w:tcBorders>
              <w:top w:val="single" w:color="000000" w:sz="4" w:space="0"/>
              <w:left w:val="single" w:color="000000" w:sz="4" w:space="0"/>
              <w:bottom w:val="single" w:color="000000" w:sz="4" w:space="0"/>
              <w:right w:val="single" w:color="000000" w:sz="4" w:space="0"/>
            </w:tcBorders>
            <w:vAlign w:val="center"/>
          </w:tcPr>
          <w:p w14:paraId="07EF7572">
            <w:pPr>
              <w:bidi w:val="0"/>
              <w:spacing w:line="240" w:lineRule="auto"/>
              <w:jc w:val="center"/>
              <w:rPr>
                <w:rFonts w:hint="eastAsia"/>
                <w:b/>
                <w:bCs/>
                <w:sz w:val="21"/>
                <w:szCs w:val="21"/>
                <w:lang w:val="en-US" w:eastAsia="zh-CN"/>
              </w:rPr>
            </w:pPr>
            <w:r>
              <w:rPr>
                <w:rFonts w:hint="eastAsia"/>
                <w:b/>
                <w:bCs/>
                <w:sz w:val="21"/>
                <w:szCs w:val="21"/>
                <w:lang w:val="en-US" w:eastAsia="zh-CN"/>
              </w:rPr>
              <w:t>污染物名称</w:t>
            </w:r>
          </w:p>
        </w:tc>
        <w:tc>
          <w:tcPr>
            <w:tcW w:w="559" w:type="pct"/>
            <w:vMerge w:val="restart"/>
            <w:tcBorders>
              <w:top w:val="single" w:color="000000" w:sz="4" w:space="0"/>
              <w:left w:val="single" w:color="000000" w:sz="4" w:space="0"/>
              <w:bottom w:val="single" w:color="000000" w:sz="4" w:space="0"/>
              <w:right w:val="single" w:color="000000" w:sz="4" w:space="0"/>
            </w:tcBorders>
            <w:vAlign w:val="center"/>
          </w:tcPr>
          <w:p w14:paraId="6478E1C5">
            <w:pPr>
              <w:bidi w:val="0"/>
              <w:spacing w:line="240" w:lineRule="auto"/>
              <w:jc w:val="center"/>
              <w:rPr>
                <w:rFonts w:hint="eastAsia"/>
                <w:b/>
                <w:bCs/>
                <w:sz w:val="21"/>
                <w:szCs w:val="21"/>
                <w:lang w:val="en-US" w:eastAsia="zh-CN"/>
              </w:rPr>
            </w:pPr>
            <w:r>
              <w:rPr>
                <w:rFonts w:hint="eastAsia"/>
                <w:b/>
                <w:bCs/>
                <w:sz w:val="21"/>
                <w:szCs w:val="21"/>
                <w:lang w:val="en-US" w:eastAsia="zh-CN"/>
              </w:rPr>
              <w:t>治理措施</w:t>
            </w:r>
          </w:p>
        </w:tc>
        <w:tc>
          <w:tcPr>
            <w:tcW w:w="1381" w:type="pct"/>
            <w:gridSpan w:val="3"/>
            <w:tcBorders>
              <w:top w:val="single" w:color="000000" w:sz="4" w:space="0"/>
              <w:left w:val="single" w:color="000000" w:sz="4" w:space="0"/>
              <w:bottom w:val="single" w:color="000000" w:sz="4" w:space="0"/>
              <w:right w:val="single" w:color="000000" w:sz="4" w:space="0"/>
            </w:tcBorders>
            <w:vAlign w:val="center"/>
          </w:tcPr>
          <w:p w14:paraId="2302BE36">
            <w:pPr>
              <w:bidi w:val="0"/>
              <w:spacing w:line="240" w:lineRule="auto"/>
              <w:jc w:val="center"/>
              <w:rPr>
                <w:rFonts w:hint="eastAsia"/>
                <w:b/>
                <w:bCs/>
                <w:sz w:val="21"/>
                <w:szCs w:val="21"/>
                <w:lang w:val="en-US" w:eastAsia="zh-CN"/>
              </w:rPr>
            </w:pPr>
            <w:r>
              <w:rPr>
                <w:rFonts w:hint="eastAsia"/>
                <w:b/>
                <w:bCs/>
                <w:sz w:val="21"/>
                <w:szCs w:val="21"/>
                <w:lang w:val="en-US" w:eastAsia="zh-CN"/>
              </w:rPr>
              <w:t>技改后排放状况</w:t>
            </w:r>
          </w:p>
        </w:tc>
        <w:tc>
          <w:tcPr>
            <w:tcW w:w="791" w:type="pct"/>
            <w:gridSpan w:val="2"/>
            <w:tcBorders>
              <w:top w:val="single" w:color="000000" w:sz="4" w:space="0"/>
              <w:left w:val="single" w:color="000000" w:sz="4" w:space="0"/>
              <w:bottom w:val="single" w:color="000000" w:sz="4" w:space="0"/>
              <w:right w:val="single" w:color="000000" w:sz="4" w:space="0"/>
            </w:tcBorders>
            <w:vAlign w:val="center"/>
          </w:tcPr>
          <w:p w14:paraId="377503A7">
            <w:pPr>
              <w:bidi w:val="0"/>
              <w:spacing w:line="240" w:lineRule="auto"/>
              <w:jc w:val="center"/>
              <w:rPr>
                <w:rFonts w:hint="eastAsia"/>
                <w:b/>
                <w:bCs/>
                <w:sz w:val="21"/>
                <w:szCs w:val="21"/>
                <w:lang w:val="en-US" w:eastAsia="zh-CN"/>
              </w:rPr>
            </w:pPr>
            <w:r>
              <w:rPr>
                <w:rFonts w:hint="eastAsia"/>
                <w:b/>
                <w:bCs/>
                <w:sz w:val="21"/>
                <w:szCs w:val="21"/>
                <w:lang w:val="en-US" w:eastAsia="zh-CN"/>
              </w:rPr>
              <w:t>排放标准</w:t>
            </w:r>
          </w:p>
        </w:tc>
        <w:tc>
          <w:tcPr>
            <w:tcW w:w="1405" w:type="pct"/>
            <w:gridSpan w:val="5"/>
            <w:tcBorders>
              <w:top w:val="single" w:color="000000" w:sz="4" w:space="0"/>
              <w:left w:val="single" w:color="000000" w:sz="4" w:space="0"/>
              <w:bottom w:val="single" w:color="000000" w:sz="4" w:space="0"/>
              <w:right w:val="single" w:color="000000" w:sz="4" w:space="0"/>
            </w:tcBorders>
            <w:vAlign w:val="center"/>
          </w:tcPr>
          <w:p w14:paraId="5F645CEF">
            <w:pPr>
              <w:bidi w:val="0"/>
              <w:spacing w:line="240" w:lineRule="auto"/>
              <w:jc w:val="center"/>
              <w:rPr>
                <w:rFonts w:hint="eastAsia"/>
                <w:b/>
                <w:bCs/>
                <w:sz w:val="21"/>
                <w:szCs w:val="21"/>
                <w:lang w:val="en-US" w:eastAsia="zh-CN"/>
              </w:rPr>
            </w:pPr>
            <w:r>
              <w:rPr>
                <w:rFonts w:hint="eastAsia"/>
                <w:b/>
                <w:bCs/>
                <w:sz w:val="21"/>
                <w:szCs w:val="21"/>
                <w:lang w:val="en-US" w:eastAsia="zh-CN"/>
              </w:rPr>
              <w:t>排放参数</w:t>
            </w:r>
          </w:p>
        </w:tc>
      </w:tr>
      <w:tr w14:paraId="718750CC">
        <w:tblPrEx>
          <w:tblCellMar>
            <w:top w:w="0" w:type="dxa"/>
            <w:left w:w="108" w:type="dxa"/>
            <w:bottom w:w="0" w:type="dxa"/>
            <w:right w:w="108" w:type="dxa"/>
          </w:tblCellMar>
        </w:tblPrEx>
        <w:trPr>
          <w:trHeight w:val="23" w:hRule="atLeast"/>
        </w:trPr>
        <w:tc>
          <w:tcPr>
            <w:tcW w:w="149" w:type="pct"/>
            <w:vMerge w:val="continue"/>
            <w:tcBorders>
              <w:left w:val="single" w:color="000000" w:sz="4" w:space="0"/>
              <w:bottom w:val="single" w:color="000000" w:sz="4" w:space="0"/>
              <w:right w:val="single" w:color="000000" w:sz="4" w:space="0"/>
            </w:tcBorders>
            <w:vAlign w:val="center"/>
          </w:tcPr>
          <w:p w14:paraId="05C13360">
            <w:pPr>
              <w:bidi w:val="0"/>
              <w:spacing w:line="240" w:lineRule="auto"/>
              <w:jc w:val="center"/>
              <w:rPr>
                <w:rFonts w:hint="eastAsia"/>
                <w:b/>
                <w:bCs/>
                <w:sz w:val="21"/>
                <w:szCs w:val="21"/>
                <w:lang w:val="en-US" w:eastAsia="zh-CN"/>
              </w:rPr>
            </w:pPr>
          </w:p>
        </w:tc>
        <w:tc>
          <w:tcPr>
            <w:tcW w:w="329" w:type="pct"/>
            <w:vMerge w:val="continue"/>
            <w:tcBorders>
              <w:top w:val="single" w:color="000000" w:sz="4" w:space="0"/>
              <w:left w:val="single" w:color="000000" w:sz="4" w:space="0"/>
              <w:bottom w:val="single" w:color="000000" w:sz="4" w:space="0"/>
              <w:right w:val="single" w:color="000000" w:sz="4" w:space="0"/>
            </w:tcBorders>
            <w:vAlign w:val="center"/>
          </w:tcPr>
          <w:p w14:paraId="31DCD99B">
            <w:pPr>
              <w:bidi w:val="0"/>
              <w:spacing w:line="240" w:lineRule="auto"/>
              <w:jc w:val="center"/>
              <w:rPr>
                <w:rFonts w:hint="eastAsia"/>
                <w:b/>
                <w:bCs/>
                <w:sz w:val="21"/>
                <w:szCs w:val="21"/>
                <w:lang w:val="en-US" w:eastAsia="zh-CN"/>
              </w:rPr>
            </w:pPr>
          </w:p>
        </w:tc>
        <w:tc>
          <w:tcPr>
            <w:tcW w:w="384" w:type="pct"/>
            <w:vMerge w:val="continue"/>
            <w:tcBorders>
              <w:top w:val="single" w:color="000000" w:sz="4" w:space="0"/>
              <w:left w:val="single" w:color="000000" w:sz="4" w:space="0"/>
              <w:bottom w:val="single" w:color="000000" w:sz="4" w:space="0"/>
              <w:right w:val="single" w:color="000000" w:sz="4" w:space="0"/>
            </w:tcBorders>
            <w:vAlign w:val="center"/>
          </w:tcPr>
          <w:p w14:paraId="5F859473">
            <w:pPr>
              <w:bidi w:val="0"/>
              <w:spacing w:line="240" w:lineRule="auto"/>
              <w:jc w:val="center"/>
              <w:rPr>
                <w:rFonts w:hint="eastAsia"/>
                <w:b/>
                <w:bCs/>
                <w:sz w:val="21"/>
                <w:szCs w:val="21"/>
                <w:lang w:val="en-US" w:eastAsia="zh-CN"/>
              </w:rPr>
            </w:pPr>
          </w:p>
        </w:tc>
        <w:tc>
          <w:tcPr>
            <w:tcW w:w="559" w:type="pct"/>
            <w:vMerge w:val="continue"/>
            <w:tcBorders>
              <w:top w:val="single" w:color="000000" w:sz="4" w:space="0"/>
              <w:left w:val="single" w:color="000000" w:sz="4" w:space="0"/>
              <w:bottom w:val="single" w:color="000000" w:sz="4" w:space="0"/>
              <w:right w:val="single" w:color="000000" w:sz="4" w:space="0"/>
            </w:tcBorders>
            <w:vAlign w:val="center"/>
          </w:tcPr>
          <w:p w14:paraId="568C7B56">
            <w:pPr>
              <w:bidi w:val="0"/>
              <w:spacing w:line="240" w:lineRule="auto"/>
              <w:jc w:val="center"/>
              <w:rPr>
                <w:rFonts w:hint="eastAsia"/>
                <w:b/>
                <w:bCs/>
                <w:sz w:val="21"/>
                <w:szCs w:val="21"/>
                <w:lang w:val="en-US" w:eastAsia="zh-CN"/>
              </w:rPr>
            </w:pPr>
          </w:p>
        </w:tc>
        <w:tc>
          <w:tcPr>
            <w:tcW w:w="352" w:type="pct"/>
            <w:tcBorders>
              <w:top w:val="single" w:color="000000" w:sz="4" w:space="0"/>
              <w:left w:val="single" w:color="000000" w:sz="4" w:space="0"/>
              <w:bottom w:val="single" w:color="000000" w:sz="4" w:space="0"/>
              <w:right w:val="single" w:color="000000" w:sz="4" w:space="0"/>
            </w:tcBorders>
            <w:vAlign w:val="center"/>
          </w:tcPr>
          <w:p w14:paraId="0CF8B529">
            <w:pPr>
              <w:bidi w:val="0"/>
              <w:spacing w:line="240" w:lineRule="auto"/>
              <w:jc w:val="center"/>
              <w:rPr>
                <w:rFonts w:hint="eastAsia"/>
                <w:b/>
                <w:bCs/>
                <w:sz w:val="21"/>
                <w:szCs w:val="21"/>
                <w:lang w:val="en-US" w:eastAsia="zh-CN"/>
              </w:rPr>
            </w:pPr>
            <w:r>
              <w:rPr>
                <w:rFonts w:hint="eastAsia"/>
                <w:b/>
                <w:bCs/>
                <w:sz w:val="21"/>
                <w:szCs w:val="21"/>
                <w:lang w:val="en-US" w:eastAsia="zh-CN"/>
              </w:rPr>
              <w:t>排放量（t/a）</w:t>
            </w:r>
          </w:p>
        </w:tc>
        <w:tc>
          <w:tcPr>
            <w:tcW w:w="468" w:type="pct"/>
            <w:tcBorders>
              <w:top w:val="single" w:color="000000" w:sz="4" w:space="0"/>
              <w:left w:val="single" w:color="000000" w:sz="4" w:space="0"/>
              <w:bottom w:val="single" w:color="000000" w:sz="4" w:space="0"/>
              <w:right w:val="single" w:color="000000" w:sz="4" w:space="0"/>
            </w:tcBorders>
            <w:vAlign w:val="center"/>
          </w:tcPr>
          <w:p w14:paraId="79C16BA4">
            <w:pPr>
              <w:bidi w:val="0"/>
              <w:spacing w:line="240" w:lineRule="auto"/>
              <w:jc w:val="center"/>
              <w:rPr>
                <w:rFonts w:hint="eastAsia"/>
                <w:b/>
                <w:bCs/>
                <w:sz w:val="21"/>
                <w:szCs w:val="21"/>
                <w:lang w:val="en-US" w:eastAsia="zh-CN"/>
              </w:rPr>
            </w:pPr>
            <w:r>
              <w:rPr>
                <w:rFonts w:hint="eastAsia"/>
                <w:b/>
                <w:bCs/>
                <w:sz w:val="21"/>
                <w:szCs w:val="21"/>
                <w:lang w:val="en-US" w:eastAsia="zh-CN"/>
              </w:rPr>
              <w:t>排放速率（kg/h）</w:t>
            </w:r>
          </w:p>
        </w:tc>
        <w:tc>
          <w:tcPr>
            <w:tcW w:w="560" w:type="pct"/>
            <w:tcBorders>
              <w:top w:val="single" w:color="000000" w:sz="4" w:space="0"/>
              <w:left w:val="single" w:color="000000" w:sz="4" w:space="0"/>
              <w:bottom w:val="single" w:color="000000" w:sz="4" w:space="0"/>
              <w:right w:val="single" w:color="000000" w:sz="4" w:space="0"/>
            </w:tcBorders>
            <w:vAlign w:val="center"/>
          </w:tcPr>
          <w:p w14:paraId="72239EE7">
            <w:pPr>
              <w:bidi w:val="0"/>
              <w:spacing w:line="240" w:lineRule="auto"/>
              <w:jc w:val="center"/>
              <w:rPr>
                <w:rFonts w:hint="eastAsia"/>
                <w:b/>
                <w:bCs/>
                <w:sz w:val="21"/>
                <w:szCs w:val="21"/>
                <w:lang w:val="en-US" w:eastAsia="zh-CN"/>
              </w:rPr>
            </w:pPr>
            <w:r>
              <w:rPr>
                <w:rFonts w:hint="eastAsia"/>
                <w:b/>
                <w:bCs/>
                <w:sz w:val="21"/>
                <w:szCs w:val="21"/>
                <w:lang w:val="en-US" w:eastAsia="zh-CN"/>
              </w:rPr>
              <w:t>排放浓度（mg/m³）</w:t>
            </w:r>
          </w:p>
        </w:tc>
        <w:tc>
          <w:tcPr>
            <w:tcW w:w="456" w:type="pct"/>
            <w:tcBorders>
              <w:top w:val="single" w:color="000000" w:sz="4" w:space="0"/>
              <w:left w:val="single" w:color="000000" w:sz="4" w:space="0"/>
              <w:bottom w:val="single" w:color="000000" w:sz="4" w:space="0"/>
              <w:right w:val="single" w:color="000000" w:sz="4" w:space="0"/>
            </w:tcBorders>
            <w:vAlign w:val="center"/>
          </w:tcPr>
          <w:p w14:paraId="4BBDB675">
            <w:pPr>
              <w:bidi w:val="0"/>
              <w:spacing w:line="240" w:lineRule="auto"/>
              <w:jc w:val="center"/>
              <w:rPr>
                <w:rFonts w:hint="eastAsia"/>
                <w:b/>
                <w:bCs/>
                <w:sz w:val="21"/>
                <w:szCs w:val="21"/>
                <w:lang w:val="en-US" w:eastAsia="zh-CN"/>
              </w:rPr>
            </w:pPr>
            <w:r>
              <w:rPr>
                <w:rFonts w:hint="eastAsia"/>
                <w:b/>
                <w:bCs/>
                <w:sz w:val="21"/>
                <w:szCs w:val="21"/>
                <w:lang w:val="en-US" w:eastAsia="zh-CN"/>
              </w:rPr>
              <w:t>排放浓度</w:t>
            </w:r>
          </w:p>
          <w:p w14:paraId="12D36B30">
            <w:pPr>
              <w:bidi w:val="0"/>
              <w:spacing w:line="240" w:lineRule="auto"/>
              <w:jc w:val="center"/>
              <w:rPr>
                <w:rFonts w:hint="eastAsia"/>
                <w:b/>
                <w:bCs/>
                <w:sz w:val="21"/>
                <w:szCs w:val="21"/>
                <w:lang w:val="en-US" w:eastAsia="zh-CN"/>
              </w:rPr>
            </w:pPr>
            <w:r>
              <w:rPr>
                <w:rFonts w:hint="eastAsia"/>
                <w:b/>
                <w:bCs/>
                <w:sz w:val="21"/>
                <w:szCs w:val="21"/>
                <w:lang w:val="en-US" w:eastAsia="zh-CN"/>
              </w:rPr>
              <w:t>（mg/m³）</w:t>
            </w:r>
          </w:p>
        </w:tc>
        <w:tc>
          <w:tcPr>
            <w:tcW w:w="334" w:type="pct"/>
            <w:tcBorders>
              <w:top w:val="single" w:color="000000" w:sz="4" w:space="0"/>
              <w:left w:val="single" w:color="000000" w:sz="4" w:space="0"/>
              <w:bottom w:val="single" w:color="000000" w:sz="4" w:space="0"/>
              <w:right w:val="single" w:color="000000" w:sz="4" w:space="0"/>
            </w:tcBorders>
            <w:vAlign w:val="center"/>
          </w:tcPr>
          <w:p w14:paraId="6641339E">
            <w:pPr>
              <w:bidi w:val="0"/>
              <w:spacing w:line="240" w:lineRule="auto"/>
              <w:jc w:val="center"/>
              <w:rPr>
                <w:rFonts w:hint="eastAsia"/>
                <w:b/>
                <w:bCs/>
                <w:sz w:val="21"/>
                <w:szCs w:val="21"/>
                <w:lang w:val="en-US" w:eastAsia="zh-CN"/>
              </w:rPr>
            </w:pPr>
            <w:r>
              <w:rPr>
                <w:rFonts w:hint="eastAsia"/>
                <w:b/>
                <w:bCs/>
                <w:sz w:val="21"/>
                <w:szCs w:val="21"/>
                <w:lang w:val="en-US" w:eastAsia="zh-CN"/>
              </w:rPr>
              <w:t>排放速率（kg/h）</w:t>
            </w:r>
          </w:p>
        </w:tc>
        <w:tc>
          <w:tcPr>
            <w:tcW w:w="310" w:type="pct"/>
            <w:tcBorders>
              <w:top w:val="single" w:color="000000" w:sz="4" w:space="0"/>
              <w:left w:val="single" w:color="000000" w:sz="4" w:space="0"/>
              <w:bottom w:val="single" w:color="000000" w:sz="4" w:space="0"/>
              <w:right w:val="single" w:color="000000" w:sz="4" w:space="0"/>
            </w:tcBorders>
            <w:vAlign w:val="center"/>
          </w:tcPr>
          <w:p w14:paraId="4487FAED">
            <w:pPr>
              <w:bidi w:val="0"/>
              <w:spacing w:line="240" w:lineRule="auto"/>
              <w:jc w:val="center"/>
              <w:rPr>
                <w:rFonts w:hint="eastAsia"/>
                <w:b/>
                <w:bCs/>
                <w:sz w:val="21"/>
                <w:szCs w:val="21"/>
                <w:lang w:val="en-US" w:eastAsia="zh-CN"/>
              </w:rPr>
            </w:pPr>
            <w:r>
              <w:rPr>
                <w:rFonts w:hint="eastAsia"/>
                <w:b/>
                <w:bCs/>
                <w:sz w:val="21"/>
                <w:szCs w:val="21"/>
                <w:lang w:val="en-US" w:eastAsia="zh-CN"/>
              </w:rPr>
              <w:t>排气筒</w:t>
            </w:r>
          </w:p>
          <w:p w14:paraId="69891342">
            <w:pPr>
              <w:bidi w:val="0"/>
              <w:spacing w:line="240" w:lineRule="auto"/>
              <w:jc w:val="center"/>
              <w:rPr>
                <w:rFonts w:hint="eastAsia"/>
                <w:b/>
                <w:bCs/>
                <w:sz w:val="21"/>
                <w:szCs w:val="21"/>
                <w:lang w:val="en-US" w:eastAsia="zh-CN"/>
              </w:rPr>
            </w:pPr>
            <w:r>
              <w:rPr>
                <w:rFonts w:hint="eastAsia"/>
                <w:b/>
                <w:bCs/>
                <w:sz w:val="21"/>
                <w:szCs w:val="21"/>
                <w:lang w:val="en-US" w:eastAsia="zh-CN"/>
              </w:rPr>
              <w:t>编号</w:t>
            </w:r>
          </w:p>
        </w:tc>
        <w:tc>
          <w:tcPr>
            <w:tcW w:w="279" w:type="pct"/>
            <w:tcBorders>
              <w:top w:val="single" w:color="000000" w:sz="4" w:space="0"/>
              <w:left w:val="single" w:color="000000" w:sz="4" w:space="0"/>
              <w:bottom w:val="single" w:color="000000" w:sz="4" w:space="0"/>
              <w:right w:val="single" w:color="000000" w:sz="4" w:space="0"/>
            </w:tcBorders>
            <w:vAlign w:val="center"/>
          </w:tcPr>
          <w:p w14:paraId="485F9F8C">
            <w:pPr>
              <w:bidi w:val="0"/>
              <w:spacing w:line="240" w:lineRule="auto"/>
              <w:jc w:val="center"/>
              <w:rPr>
                <w:rFonts w:hint="eastAsia"/>
                <w:b/>
                <w:bCs/>
                <w:sz w:val="21"/>
                <w:szCs w:val="21"/>
                <w:lang w:val="en-US" w:eastAsia="zh-CN"/>
              </w:rPr>
            </w:pPr>
            <w:r>
              <w:rPr>
                <w:rFonts w:hint="eastAsia"/>
                <w:b/>
                <w:bCs/>
                <w:sz w:val="21"/>
                <w:szCs w:val="21"/>
                <w:lang w:val="en-US" w:eastAsia="zh-CN"/>
              </w:rPr>
              <w:t>排放口类型</w:t>
            </w:r>
          </w:p>
        </w:tc>
        <w:tc>
          <w:tcPr>
            <w:tcW w:w="265" w:type="pct"/>
            <w:tcBorders>
              <w:top w:val="single" w:color="000000" w:sz="4" w:space="0"/>
              <w:left w:val="single" w:color="000000" w:sz="4" w:space="0"/>
              <w:bottom w:val="single" w:color="000000" w:sz="4" w:space="0"/>
              <w:right w:val="single" w:color="000000" w:sz="4" w:space="0"/>
            </w:tcBorders>
            <w:vAlign w:val="center"/>
          </w:tcPr>
          <w:p w14:paraId="08EBC179">
            <w:pPr>
              <w:bidi w:val="0"/>
              <w:spacing w:line="240" w:lineRule="auto"/>
              <w:jc w:val="center"/>
              <w:rPr>
                <w:rFonts w:hint="eastAsia"/>
                <w:b/>
                <w:bCs/>
                <w:sz w:val="21"/>
                <w:szCs w:val="21"/>
                <w:lang w:val="en-US" w:eastAsia="zh-CN"/>
              </w:rPr>
            </w:pPr>
            <w:r>
              <w:rPr>
                <w:rFonts w:hint="eastAsia"/>
                <w:b/>
                <w:bCs/>
                <w:sz w:val="21"/>
                <w:szCs w:val="21"/>
                <w:lang w:val="en-US" w:eastAsia="zh-CN"/>
              </w:rPr>
              <w:t>高度（m）</w:t>
            </w:r>
          </w:p>
        </w:tc>
        <w:tc>
          <w:tcPr>
            <w:tcW w:w="241" w:type="pct"/>
            <w:tcBorders>
              <w:top w:val="single" w:color="000000" w:sz="4" w:space="0"/>
              <w:left w:val="single" w:color="000000" w:sz="4" w:space="0"/>
              <w:bottom w:val="single" w:color="000000" w:sz="4" w:space="0"/>
              <w:right w:val="single" w:color="000000" w:sz="4" w:space="0"/>
            </w:tcBorders>
            <w:vAlign w:val="center"/>
          </w:tcPr>
          <w:p w14:paraId="4C68FA03">
            <w:pPr>
              <w:bidi w:val="0"/>
              <w:spacing w:line="240" w:lineRule="auto"/>
              <w:jc w:val="center"/>
              <w:rPr>
                <w:rFonts w:hint="eastAsia"/>
                <w:b/>
                <w:bCs/>
                <w:sz w:val="21"/>
                <w:szCs w:val="21"/>
                <w:lang w:val="en-US" w:eastAsia="zh-CN"/>
              </w:rPr>
            </w:pPr>
            <w:r>
              <w:rPr>
                <w:rFonts w:hint="eastAsia"/>
                <w:b/>
                <w:bCs/>
                <w:sz w:val="21"/>
                <w:szCs w:val="21"/>
                <w:lang w:val="en-US" w:eastAsia="zh-CN"/>
              </w:rPr>
              <w:t>直径（m）</w:t>
            </w:r>
          </w:p>
        </w:tc>
        <w:tc>
          <w:tcPr>
            <w:tcW w:w="309" w:type="pct"/>
            <w:tcBorders>
              <w:top w:val="single" w:color="000000" w:sz="4" w:space="0"/>
              <w:left w:val="single" w:color="000000" w:sz="4" w:space="0"/>
              <w:bottom w:val="single" w:color="000000" w:sz="4" w:space="0"/>
              <w:right w:val="single" w:color="000000" w:sz="4" w:space="0"/>
            </w:tcBorders>
            <w:vAlign w:val="center"/>
          </w:tcPr>
          <w:p w14:paraId="42FF59E3">
            <w:pPr>
              <w:bidi w:val="0"/>
              <w:spacing w:line="240" w:lineRule="auto"/>
              <w:jc w:val="center"/>
              <w:rPr>
                <w:rFonts w:hint="eastAsia"/>
                <w:b/>
                <w:bCs/>
                <w:sz w:val="21"/>
                <w:szCs w:val="21"/>
                <w:lang w:val="en-US" w:eastAsia="zh-CN"/>
              </w:rPr>
            </w:pPr>
            <w:r>
              <w:rPr>
                <w:rFonts w:hint="eastAsia"/>
                <w:b/>
                <w:bCs/>
                <w:sz w:val="21"/>
                <w:szCs w:val="21"/>
                <w:lang w:val="en-US" w:eastAsia="zh-CN"/>
              </w:rPr>
              <w:t>温度（℃）</w:t>
            </w:r>
          </w:p>
        </w:tc>
      </w:tr>
      <w:tr w14:paraId="475D9940">
        <w:tblPrEx>
          <w:tblCellMar>
            <w:top w:w="0" w:type="dxa"/>
            <w:left w:w="108" w:type="dxa"/>
            <w:bottom w:w="0" w:type="dxa"/>
            <w:right w:w="108" w:type="dxa"/>
          </w:tblCellMar>
        </w:tblPrEx>
        <w:trPr>
          <w:trHeight w:val="23" w:hRule="atLeast"/>
        </w:trPr>
        <w:tc>
          <w:tcPr>
            <w:tcW w:w="149" w:type="pct"/>
            <w:vMerge w:val="restart"/>
            <w:tcBorders>
              <w:top w:val="single" w:color="000000" w:sz="4" w:space="0"/>
              <w:left w:val="single" w:color="000000" w:sz="4" w:space="0"/>
              <w:right w:val="single" w:color="000000" w:sz="4" w:space="0"/>
            </w:tcBorders>
            <w:vAlign w:val="center"/>
          </w:tcPr>
          <w:p w14:paraId="5D4C04EE">
            <w:pPr>
              <w:bidi w:val="0"/>
              <w:spacing w:line="240" w:lineRule="auto"/>
              <w:jc w:val="center"/>
              <w:rPr>
                <w:rFonts w:hint="eastAsia"/>
                <w:sz w:val="21"/>
                <w:szCs w:val="21"/>
                <w:lang w:val="en-US" w:eastAsia="zh-CN"/>
              </w:rPr>
            </w:pPr>
            <w:r>
              <w:rPr>
                <w:rFonts w:hint="eastAsia"/>
                <w:sz w:val="21"/>
                <w:szCs w:val="21"/>
                <w:lang w:val="en-US" w:eastAsia="zh-CN"/>
              </w:rPr>
              <w:t>废气</w:t>
            </w:r>
          </w:p>
        </w:tc>
        <w:tc>
          <w:tcPr>
            <w:tcW w:w="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98E3C6">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丝网印刷</w:t>
            </w:r>
            <w:r>
              <w:rPr>
                <w:rFonts w:hint="eastAsia" w:cs="Times New Roman" w:eastAsiaTheme="minorEastAsia"/>
                <w:color w:val="auto"/>
                <w:sz w:val="21"/>
                <w:szCs w:val="21"/>
                <w:lang w:val="en-US" w:eastAsia="zh-CN"/>
              </w:rPr>
              <w:t>、烧结/DA023</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359A5">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eastAsia="zh-CN"/>
              </w:rPr>
              <w:t>非甲烷总烃</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2E1A8">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设备自带在线燃烧装置</w:t>
            </w:r>
            <w:r>
              <w:rPr>
                <w:rFonts w:hint="default" w:ascii="Times New Roman" w:hAnsi="Times New Roman" w:cs="Times New Roman" w:eastAsiaTheme="minorEastAsia"/>
                <w:color w:val="auto"/>
                <w:sz w:val="21"/>
                <w:szCs w:val="21"/>
              </w:rPr>
              <w:t>+</w:t>
            </w:r>
            <w:r>
              <w:rPr>
                <w:rFonts w:hint="default" w:ascii="Times New Roman" w:hAnsi="Times New Roman" w:cs="Times New Roman" w:eastAsiaTheme="minorEastAsia"/>
                <w:color w:val="auto"/>
                <w:sz w:val="21"/>
                <w:szCs w:val="21"/>
                <w:lang w:val="en-US" w:eastAsia="zh-CN"/>
              </w:rPr>
              <w:t>6套一级活性炭吸附装置</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57FF9">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2.115</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4C64D">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0.267</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20E59E">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1.841</w:t>
            </w:r>
          </w:p>
        </w:tc>
        <w:tc>
          <w:tcPr>
            <w:tcW w:w="456" w:type="pct"/>
            <w:tcBorders>
              <w:top w:val="single" w:color="000000" w:sz="4" w:space="0"/>
              <w:left w:val="single" w:color="000000" w:sz="4" w:space="0"/>
              <w:bottom w:val="single" w:color="000000" w:sz="4" w:space="0"/>
              <w:right w:val="single" w:color="000000" w:sz="4" w:space="0"/>
            </w:tcBorders>
            <w:vAlign w:val="center"/>
          </w:tcPr>
          <w:p w14:paraId="6013D055">
            <w:pPr>
              <w:bidi w:val="0"/>
              <w:spacing w:line="240" w:lineRule="auto"/>
              <w:jc w:val="center"/>
              <w:rPr>
                <w:rFonts w:hint="default"/>
                <w:sz w:val="21"/>
                <w:szCs w:val="21"/>
                <w:lang w:val="en-US" w:eastAsia="zh-CN"/>
              </w:rPr>
            </w:pPr>
            <w:r>
              <w:rPr>
                <w:rFonts w:hint="eastAsia"/>
                <w:sz w:val="21"/>
                <w:szCs w:val="21"/>
                <w:lang w:val="en-US" w:eastAsia="zh-CN"/>
              </w:rPr>
              <w:t>50</w:t>
            </w:r>
          </w:p>
        </w:tc>
        <w:tc>
          <w:tcPr>
            <w:tcW w:w="334" w:type="pct"/>
            <w:tcBorders>
              <w:top w:val="single" w:color="000000" w:sz="4" w:space="0"/>
              <w:left w:val="single" w:color="000000" w:sz="4" w:space="0"/>
              <w:bottom w:val="single" w:color="000000" w:sz="4" w:space="0"/>
              <w:right w:val="single" w:color="000000" w:sz="4" w:space="0"/>
            </w:tcBorders>
            <w:vAlign w:val="center"/>
          </w:tcPr>
          <w:p w14:paraId="1ED98F9B">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0691D236">
            <w:pPr>
              <w:bidi w:val="0"/>
              <w:spacing w:line="240" w:lineRule="auto"/>
              <w:jc w:val="center"/>
              <w:rPr>
                <w:rFonts w:hint="eastAsia"/>
                <w:sz w:val="21"/>
                <w:szCs w:val="21"/>
                <w:lang w:val="en-US" w:eastAsia="zh-CN"/>
              </w:rPr>
            </w:pPr>
            <w:r>
              <w:rPr>
                <w:rFonts w:hint="eastAsia" w:cs="Times New Roman" w:eastAsiaTheme="minorEastAsia"/>
                <w:color w:val="auto"/>
                <w:sz w:val="21"/>
                <w:szCs w:val="21"/>
                <w:lang w:val="en-US" w:eastAsia="zh-CN"/>
              </w:rPr>
              <w:t>DA023</w:t>
            </w:r>
          </w:p>
        </w:tc>
        <w:tc>
          <w:tcPr>
            <w:tcW w:w="279" w:type="pct"/>
            <w:tcBorders>
              <w:top w:val="single" w:color="000000" w:sz="4" w:space="0"/>
              <w:left w:val="single" w:color="000000" w:sz="4" w:space="0"/>
              <w:bottom w:val="single" w:color="000000" w:sz="4" w:space="0"/>
              <w:right w:val="single" w:color="000000" w:sz="4" w:space="0"/>
            </w:tcBorders>
            <w:vAlign w:val="center"/>
          </w:tcPr>
          <w:p w14:paraId="1B5BB876">
            <w:pPr>
              <w:bidi w:val="0"/>
              <w:spacing w:line="240" w:lineRule="auto"/>
              <w:jc w:val="center"/>
              <w:rPr>
                <w:rFonts w:hint="eastAsia"/>
                <w:sz w:val="21"/>
                <w:szCs w:val="21"/>
                <w:lang w:val="en-US" w:eastAsia="zh-CN"/>
              </w:rPr>
            </w:pPr>
            <w:r>
              <w:rPr>
                <w:rFonts w:hint="eastAsia"/>
                <w:sz w:val="21"/>
                <w:szCs w:val="21"/>
                <w:lang w:val="en-US" w:eastAsia="zh-CN"/>
              </w:rPr>
              <w:t>一般排放口</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3DF5BD">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F4E86">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2.4</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83489">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color w:val="auto"/>
                <w:kern w:val="0"/>
                <w:sz w:val="21"/>
                <w:szCs w:val="21"/>
                <w:lang w:val="en-US" w:eastAsia="zh-CN"/>
              </w:rPr>
              <w:t>常温</w:t>
            </w:r>
          </w:p>
        </w:tc>
      </w:tr>
      <w:tr w14:paraId="2527D0DB">
        <w:tblPrEx>
          <w:tblCellMar>
            <w:top w:w="0" w:type="dxa"/>
            <w:left w:w="108" w:type="dxa"/>
            <w:bottom w:w="0" w:type="dxa"/>
            <w:right w:w="108" w:type="dxa"/>
          </w:tblCellMar>
        </w:tblPrEx>
        <w:trPr>
          <w:trHeight w:val="23" w:hRule="atLeast"/>
        </w:trPr>
        <w:tc>
          <w:tcPr>
            <w:tcW w:w="149" w:type="pct"/>
            <w:vMerge w:val="continue"/>
            <w:tcBorders>
              <w:left w:val="single" w:color="000000" w:sz="4" w:space="0"/>
              <w:right w:val="single" w:color="000000" w:sz="4" w:space="0"/>
            </w:tcBorders>
            <w:vAlign w:val="center"/>
          </w:tcPr>
          <w:p w14:paraId="18E7780B">
            <w:pPr>
              <w:bidi w:val="0"/>
              <w:spacing w:line="240" w:lineRule="auto"/>
              <w:jc w:val="center"/>
              <w:rPr>
                <w:rFonts w:hint="eastAsia"/>
                <w:sz w:val="21"/>
                <w:szCs w:val="21"/>
                <w:lang w:val="en-US" w:eastAsia="zh-CN"/>
              </w:rPr>
            </w:pPr>
          </w:p>
        </w:tc>
        <w:tc>
          <w:tcPr>
            <w:tcW w:w="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65908">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AC印刷、固化</w:t>
            </w:r>
            <w:r>
              <w:rPr>
                <w:rFonts w:hint="eastAsia" w:cs="Times New Roman" w:eastAsiaTheme="minorEastAsia"/>
                <w:color w:val="auto"/>
                <w:sz w:val="21"/>
                <w:szCs w:val="21"/>
                <w:lang w:val="en-US" w:eastAsia="zh-CN"/>
              </w:rPr>
              <w:t>/DA004</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1CD95">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eastAsia="zh-CN"/>
              </w:rPr>
              <w:t>非甲烷总烃</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6BCE2">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设备自带在线燃烧装置</w:t>
            </w:r>
            <w:r>
              <w:rPr>
                <w:rFonts w:hint="default" w:ascii="Times New Roman" w:hAnsi="Times New Roman" w:cs="Times New Roman" w:eastAsiaTheme="minorEastAsia"/>
                <w:color w:val="auto"/>
                <w:sz w:val="21"/>
                <w:szCs w:val="21"/>
              </w:rPr>
              <w:t>+</w:t>
            </w:r>
            <w:r>
              <w:rPr>
                <w:rFonts w:hint="default" w:ascii="Times New Roman" w:hAnsi="Times New Roman" w:cs="Times New Roman" w:eastAsiaTheme="minorEastAsia"/>
                <w:color w:val="auto"/>
                <w:sz w:val="21"/>
                <w:szCs w:val="21"/>
                <w:lang w:val="en-US" w:eastAsia="zh-CN"/>
              </w:rPr>
              <w:t>6套一级活性炭吸附装置</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2D77A7">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1.882</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C217C">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0.238</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AE8082">
            <w:pPr>
              <w:keepNext w:val="0"/>
              <w:keepLines w:val="0"/>
              <w:widowControl/>
              <w:suppressLineNumbers w:val="0"/>
              <w:spacing w:line="240" w:lineRule="auto"/>
              <w:jc w:val="center"/>
              <w:textAlignment w:val="center"/>
              <w:rPr>
                <w:rFonts w:hint="eastAsia" w:ascii="Times New Roman" w:hAnsi="Times New Roman" w:eastAsia="宋体" w:cs="Times New Roman"/>
                <w:i w:val="0"/>
                <w:iCs w:val="0"/>
                <w:color w:val="000000"/>
                <w:sz w:val="21"/>
                <w:szCs w:val="21"/>
                <w:u w:val="none"/>
                <w:lang w:val="en-US" w:eastAsia="zh-CN" w:bidi="ar-SA"/>
              </w:rPr>
            </w:pPr>
            <w:r>
              <w:rPr>
                <w:rFonts w:hint="default" w:ascii="Times New Roman" w:hAnsi="Times New Roman" w:eastAsia="宋体" w:cs="Times New Roman"/>
                <w:i w:val="0"/>
                <w:iCs w:val="0"/>
                <w:color w:val="000000"/>
                <w:kern w:val="0"/>
                <w:sz w:val="21"/>
                <w:szCs w:val="21"/>
                <w:u w:val="none"/>
                <w:lang w:val="en-US" w:eastAsia="zh-CN" w:bidi="ar"/>
              </w:rPr>
              <w:t>1.760</w:t>
            </w:r>
          </w:p>
        </w:tc>
        <w:tc>
          <w:tcPr>
            <w:tcW w:w="456" w:type="pct"/>
            <w:tcBorders>
              <w:top w:val="single" w:color="000000" w:sz="4" w:space="0"/>
              <w:left w:val="single" w:color="000000" w:sz="4" w:space="0"/>
              <w:bottom w:val="single" w:color="000000" w:sz="4" w:space="0"/>
              <w:right w:val="single" w:color="000000" w:sz="4" w:space="0"/>
            </w:tcBorders>
            <w:vAlign w:val="center"/>
          </w:tcPr>
          <w:p w14:paraId="64F45CF6">
            <w:pPr>
              <w:bidi w:val="0"/>
              <w:spacing w:line="240" w:lineRule="auto"/>
              <w:jc w:val="center"/>
              <w:rPr>
                <w:rFonts w:hint="eastAsia"/>
                <w:sz w:val="21"/>
                <w:szCs w:val="21"/>
                <w:lang w:val="en-US" w:eastAsia="zh-CN"/>
              </w:rPr>
            </w:pPr>
            <w:r>
              <w:rPr>
                <w:rFonts w:hint="eastAsia"/>
                <w:sz w:val="21"/>
                <w:szCs w:val="21"/>
                <w:lang w:val="en-US" w:eastAsia="zh-CN"/>
              </w:rPr>
              <w:t>50</w:t>
            </w:r>
          </w:p>
        </w:tc>
        <w:tc>
          <w:tcPr>
            <w:tcW w:w="334" w:type="pct"/>
            <w:tcBorders>
              <w:top w:val="single" w:color="000000" w:sz="4" w:space="0"/>
              <w:left w:val="single" w:color="000000" w:sz="4" w:space="0"/>
              <w:bottom w:val="single" w:color="000000" w:sz="4" w:space="0"/>
              <w:right w:val="single" w:color="000000" w:sz="4" w:space="0"/>
            </w:tcBorders>
            <w:vAlign w:val="center"/>
          </w:tcPr>
          <w:p w14:paraId="4E72F33B">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4E644F6F">
            <w:pPr>
              <w:bidi w:val="0"/>
              <w:spacing w:line="240" w:lineRule="auto"/>
              <w:jc w:val="center"/>
              <w:rPr>
                <w:rFonts w:hint="default"/>
                <w:sz w:val="21"/>
                <w:szCs w:val="21"/>
                <w:lang w:val="en-US" w:eastAsia="zh-CN"/>
              </w:rPr>
            </w:pPr>
            <w:r>
              <w:rPr>
                <w:rFonts w:hint="eastAsia"/>
                <w:sz w:val="21"/>
                <w:szCs w:val="21"/>
                <w:lang w:val="en-US" w:eastAsia="zh-CN"/>
              </w:rPr>
              <w:t>DA004</w:t>
            </w:r>
          </w:p>
        </w:tc>
        <w:tc>
          <w:tcPr>
            <w:tcW w:w="279" w:type="pct"/>
            <w:tcBorders>
              <w:top w:val="single" w:color="000000" w:sz="4" w:space="0"/>
              <w:left w:val="single" w:color="000000" w:sz="4" w:space="0"/>
              <w:bottom w:val="single" w:color="000000" w:sz="4" w:space="0"/>
              <w:right w:val="single" w:color="000000" w:sz="4" w:space="0"/>
            </w:tcBorders>
            <w:vAlign w:val="center"/>
          </w:tcPr>
          <w:p w14:paraId="7AB18FB2">
            <w:pPr>
              <w:bidi w:val="0"/>
              <w:spacing w:line="240" w:lineRule="auto"/>
              <w:jc w:val="center"/>
              <w:rPr>
                <w:rFonts w:hint="eastAsia"/>
                <w:sz w:val="21"/>
                <w:szCs w:val="21"/>
                <w:lang w:val="en-US" w:eastAsia="zh-CN"/>
              </w:rPr>
            </w:pPr>
            <w:r>
              <w:rPr>
                <w:rFonts w:hint="eastAsia"/>
                <w:sz w:val="21"/>
                <w:szCs w:val="21"/>
                <w:lang w:val="en-US" w:eastAsia="zh-CN"/>
              </w:rPr>
              <w:t>一般排放口</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443F1">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25</w:t>
            </w:r>
          </w:p>
        </w:tc>
        <w:tc>
          <w:tcPr>
            <w:tcW w:w="2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67ECB1">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2.4</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ECFD31">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color w:val="auto"/>
                <w:kern w:val="0"/>
                <w:sz w:val="21"/>
                <w:szCs w:val="21"/>
                <w:lang w:val="en-US" w:eastAsia="zh-CN"/>
              </w:rPr>
              <w:t>常温</w:t>
            </w:r>
          </w:p>
        </w:tc>
      </w:tr>
      <w:tr w14:paraId="3C004021">
        <w:tblPrEx>
          <w:tblCellMar>
            <w:top w:w="0" w:type="dxa"/>
            <w:left w:w="108" w:type="dxa"/>
            <w:bottom w:w="0" w:type="dxa"/>
            <w:right w:w="108" w:type="dxa"/>
          </w:tblCellMar>
        </w:tblPrEx>
        <w:trPr>
          <w:trHeight w:val="23" w:hRule="atLeast"/>
        </w:trPr>
        <w:tc>
          <w:tcPr>
            <w:tcW w:w="149" w:type="pct"/>
            <w:vMerge w:val="continue"/>
            <w:tcBorders>
              <w:left w:val="single" w:color="000000" w:sz="4" w:space="0"/>
              <w:right w:val="single" w:color="000000" w:sz="4" w:space="0"/>
            </w:tcBorders>
            <w:vAlign w:val="center"/>
          </w:tcPr>
          <w:p w14:paraId="63188AB9">
            <w:pPr>
              <w:bidi w:val="0"/>
              <w:spacing w:line="240" w:lineRule="auto"/>
              <w:jc w:val="center"/>
              <w:rPr>
                <w:rFonts w:hint="eastAsia"/>
                <w:sz w:val="21"/>
                <w:szCs w:val="21"/>
                <w:lang w:val="en-US" w:eastAsia="zh-CN"/>
              </w:rPr>
            </w:pPr>
          </w:p>
        </w:tc>
        <w:tc>
          <w:tcPr>
            <w:tcW w:w="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AFD5C">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Scrubber排气</w:t>
            </w:r>
            <w:r>
              <w:rPr>
                <w:rFonts w:hint="eastAsia" w:cs="Times New Roman" w:eastAsiaTheme="minorEastAsia"/>
                <w:color w:val="auto"/>
                <w:sz w:val="21"/>
                <w:szCs w:val="21"/>
                <w:lang w:val="en-US" w:eastAsia="zh-CN"/>
              </w:rPr>
              <w:t>/DA008</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7190E">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颗粒物</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E1CB3">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燃烧筒+2套二级水喷淋塔</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22FE63">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 xml:space="preserve">1.286 </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A0A8A">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 xml:space="preserve">0.162 </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B95E6">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 xml:space="preserve">16.239 </w:t>
            </w:r>
          </w:p>
        </w:tc>
        <w:tc>
          <w:tcPr>
            <w:tcW w:w="456" w:type="pct"/>
            <w:tcBorders>
              <w:top w:val="single" w:color="000000" w:sz="4" w:space="0"/>
              <w:left w:val="single" w:color="000000" w:sz="4" w:space="0"/>
              <w:bottom w:val="single" w:color="000000" w:sz="4" w:space="0"/>
              <w:right w:val="single" w:color="000000" w:sz="4" w:space="0"/>
            </w:tcBorders>
            <w:vAlign w:val="center"/>
          </w:tcPr>
          <w:p w14:paraId="7428C00C">
            <w:pPr>
              <w:bidi w:val="0"/>
              <w:spacing w:line="240" w:lineRule="auto"/>
              <w:jc w:val="center"/>
              <w:rPr>
                <w:rFonts w:hint="eastAsia"/>
                <w:sz w:val="21"/>
                <w:szCs w:val="21"/>
                <w:lang w:val="en-US" w:eastAsia="zh-CN"/>
              </w:rPr>
            </w:pPr>
            <w:r>
              <w:rPr>
                <w:rFonts w:hint="eastAsia"/>
                <w:sz w:val="21"/>
                <w:szCs w:val="21"/>
                <w:lang w:val="en-US" w:eastAsia="zh-CN"/>
              </w:rPr>
              <w:t>50</w:t>
            </w:r>
          </w:p>
        </w:tc>
        <w:tc>
          <w:tcPr>
            <w:tcW w:w="334" w:type="pct"/>
            <w:tcBorders>
              <w:top w:val="single" w:color="000000" w:sz="4" w:space="0"/>
              <w:left w:val="single" w:color="000000" w:sz="4" w:space="0"/>
              <w:bottom w:val="single" w:color="000000" w:sz="4" w:space="0"/>
              <w:right w:val="single" w:color="000000" w:sz="4" w:space="0"/>
            </w:tcBorders>
            <w:vAlign w:val="center"/>
          </w:tcPr>
          <w:p w14:paraId="1C882D94">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2CDA3F36">
            <w:pPr>
              <w:bidi w:val="0"/>
              <w:spacing w:line="240" w:lineRule="auto"/>
              <w:jc w:val="center"/>
              <w:rPr>
                <w:rFonts w:hint="eastAsia"/>
                <w:sz w:val="21"/>
                <w:szCs w:val="21"/>
                <w:lang w:val="en-US" w:eastAsia="zh-CN"/>
              </w:rPr>
            </w:pPr>
            <w:r>
              <w:rPr>
                <w:rFonts w:hint="eastAsia" w:cs="Times New Roman" w:eastAsiaTheme="minorEastAsia"/>
                <w:color w:val="auto"/>
                <w:sz w:val="21"/>
                <w:szCs w:val="21"/>
                <w:lang w:val="en-US" w:eastAsia="zh-CN"/>
              </w:rPr>
              <w:t>DA008</w:t>
            </w:r>
          </w:p>
        </w:tc>
        <w:tc>
          <w:tcPr>
            <w:tcW w:w="279" w:type="pct"/>
            <w:tcBorders>
              <w:top w:val="single" w:color="000000" w:sz="4" w:space="0"/>
              <w:left w:val="single" w:color="000000" w:sz="4" w:space="0"/>
              <w:bottom w:val="single" w:color="000000" w:sz="4" w:space="0"/>
              <w:right w:val="single" w:color="000000" w:sz="4" w:space="0"/>
            </w:tcBorders>
            <w:vAlign w:val="center"/>
          </w:tcPr>
          <w:p w14:paraId="67132382">
            <w:pPr>
              <w:bidi w:val="0"/>
              <w:spacing w:line="240" w:lineRule="auto"/>
              <w:jc w:val="center"/>
              <w:rPr>
                <w:rFonts w:hint="eastAsia"/>
                <w:sz w:val="21"/>
                <w:szCs w:val="21"/>
                <w:lang w:val="en-US" w:eastAsia="zh-CN"/>
              </w:rPr>
            </w:pPr>
            <w:r>
              <w:rPr>
                <w:rFonts w:hint="eastAsia"/>
                <w:sz w:val="21"/>
                <w:szCs w:val="21"/>
                <w:lang w:val="en-US" w:eastAsia="zh-CN"/>
              </w:rPr>
              <w:t>一般排放口</w:t>
            </w:r>
          </w:p>
        </w:tc>
        <w:tc>
          <w:tcPr>
            <w:tcW w:w="265" w:type="pct"/>
            <w:vMerge w:val="restart"/>
            <w:tcBorders>
              <w:top w:val="single" w:color="000000" w:sz="4" w:space="0"/>
              <w:left w:val="single" w:color="000000" w:sz="4" w:space="0"/>
              <w:right w:val="single" w:color="000000" w:sz="4" w:space="0"/>
            </w:tcBorders>
            <w:shd w:val="clear" w:color="auto" w:fill="auto"/>
            <w:vAlign w:val="center"/>
          </w:tcPr>
          <w:p w14:paraId="2115E6C9">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25</w:t>
            </w:r>
          </w:p>
        </w:tc>
        <w:tc>
          <w:tcPr>
            <w:tcW w:w="241" w:type="pct"/>
            <w:vMerge w:val="restart"/>
            <w:tcBorders>
              <w:top w:val="single" w:color="000000" w:sz="4" w:space="0"/>
              <w:left w:val="single" w:color="000000" w:sz="4" w:space="0"/>
              <w:right w:val="single" w:color="000000" w:sz="4" w:space="0"/>
            </w:tcBorders>
            <w:shd w:val="clear" w:color="auto" w:fill="auto"/>
            <w:vAlign w:val="center"/>
          </w:tcPr>
          <w:p w14:paraId="5B5DC364">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ascii="Times New Roman" w:hAnsi="Times New Roman" w:eastAsia="宋体"/>
                <w:color w:val="auto"/>
                <w:kern w:val="0"/>
                <w:sz w:val="21"/>
                <w:szCs w:val="21"/>
                <w:lang w:val="en-US" w:eastAsia="zh-CN"/>
              </w:rPr>
              <w:t>2.4</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7F15DF">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color w:val="auto"/>
                <w:kern w:val="0"/>
                <w:sz w:val="21"/>
                <w:szCs w:val="21"/>
                <w:lang w:val="en-US" w:eastAsia="zh-CN"/>
              </w:rPr>
              <w:t>常温</w:t>
            </w:r>
          </w:p>
        </w:tc>
      </w:tr>
      <w:tr w14:paraId="55D47500">
        <w:tblPrEx>
          <w:tblCellMar>
            <w:top w:w="0" w:type="dxa"/>
            <w:left w:w="108" w:type="dxa"/>
            <w:bottom w:w="0" w:type="dxa"/>
            <w:right w:w="108" w:type="dxa"/>
          </w:tblCellMar>
        </w:tblPrEx>
        <w:trPr>
          <w:trHeight w:val="23" w:hRule="atLeast"/>
        </w:trPr>
        <w:tc>
          <w:tcPr>
            <w:tcW w:w="149" w:type="pct"/>
            <w:vMerge w:val="continue"/>
            <w:tcBorders>
              <w:left w:val="single" w:color="000000" w:sz="4" w:space="0"/>
              <w:right w:val="single" w:color="000000" w:sz="4" w:space="0"/>
            </w:tcBorders>
            <w:vAlign w:val="center"/>
          </w:tcPr>
          <w:p w14:paraId="7909B059">
            <w:pPr>
              <w:bidi w:val="0"/>
              <w:spacing w:line="240" w:lineRule="auto"/>
              <w:jc w:val="center"/>
              <w:rPr>
                <w:rFonts w:hint="eastAsia"/>
                <w:sz w:val="21"/>
                <w:szCs w:val="21"/>
                <w:lang w:val="en-US" w:eastAsia="zh-CN"/>
              </w:rPr>
            </w:pPr>
          </w:p>
        </w:tc>
        <w:tc>
          <w:tcPr>
            <w:tcW w:w="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499D5">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真空泵排气</w:t>
            </w:r>
            <w:r>
              <w:rPr>
                <w:rFonts w:hint="eastAsia" w:cs="Times New Roman" w:eastAsiaTheme="minorEastAsia"/>
                <w:color w:val="auto"/>
                <w:sz w:val="21"/>
                <w:szCs w:val="21"/>
                <w:lang w:val="en-US" w:eastAsia="zh-CN"/>
              </w:rPr>
              <w:t>/DA008</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1DFEF">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颗粒物</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80BE9">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sz w:val="21"/>
                <w:szCs w:val="21"/>
                <w:lang w:val="en-US" w:eastAsia="zh-CN" w:bidi="ar-SA"/>
              </w:rPr>
              <w:t>燃烧</w:t>
            </w:r>
            <w:r>
              <w:rPr>
                <w:rFonts w:hint="default" w:ascii="Times New Roman" w:hAnsi="Times New Roman" w:cs="Times New Roman"/>
                <w:sz w:val="21"/>
                <w:szCs w:val="21"/>
                <w:lang w:val="en-US" w:eastAsia="zh-CN"/>
              </w:rPr>
              <w:t>筒</w:t>
            </w:r>
            <w:r>
              <w:rPr>
                <w:rFonts w:hint="default" w:ascii="Times New Roman" w:hAnsi="Times New Roman" w:cs="Times New Roman"/>
                <w:sz w:val="21"/>
                <w:szCs w:val="21"/>
                <w:lang w:val="en-US" w:eastAsia="zh-CN" w:bidi="ar-SA"/>
              </w:rPr>
              <w:t>+2套袋式除尘器+</w:t>
            </w:r>
            <w:r>
              <w:rPr>
                <w:rFonts w:hint="default" w:ascii="Times New Roman" w:hAnsi="Times New Roman" w:cs="Times New Roman"/>
                <w:sz w:val="21"/>
                <w:szCs w:val="21"/>
                <w:lang w:val="en-US" w:eastAsia="zh-CN"/>
              </w:rPr>
              <w:t>2套</w:t>
            </w:r>
            <w:r>
              <w:rPr>
                <w:rFonts w:hint="default" w:ascii="Times New Roman" w:hAnsi="Times New Roman" w:cs="Times New Roman"/>
                <w:sz w:val="21"/>
                <w:szCs w:val="21"/>
                <w:lang w:val="en-US" w:eastAsia="zh-CN" w:bidi="ar-SA"/>
              </w:rPr>
              <w:t>一级</w:t>
            </w:r>
            <w:r>
              <w:rPr>
                <w:rFonts w:hint="eastAsia" w:cs="Times New Roman"/>
                <w:sz w:val="21"/>
                <w:szCs w:val="21"/>
                <w:lang w:val="en-US" w:eastAsia="zh-CN"/>
              </w:rPr>
              <w:t>水</w:t>
            </w:r>
            <w:r>
              <w:rPr>
                <w:rFonts w:hint="default" w:ascii="Times New Roman" w:hAnsi="Times New Roman" w:cs="Times New Roman"/>
                <w:sz w:val="21"/>
                <w:szCs w:val="21"/>
                <w:lang w:val="en-US" w:eastAsia="zh-CN"/>
              </w:rPr>
              <w:t>喷淋塔</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26438">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 xml:space="preserve">0.032 </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E7155">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 xml:space="preserve">0.004 </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5D15B">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 xml:space="preserve">0.273 </w:t>
            </w:r>
          </w:p>
        </w:tc>
        <w:tc>
          <w:tcPr>
            <w:tcW w:w="456" w:type="pct"/>
            <w:tcBorders>
              <w:top w:val="single" w:color="000000" w:sz="4" w:space="0"/>
              <w:left w:val="single" w:color="000000" w:sz="4" w:space="0"/>
              <w:bottom w:val="single" w:color="000000" w:sz="4" w:space="0"/>
              <w:right w:val="single" w:color="000000" w:sz="4" w:space="0"/>
            </w:tcBorders>
            <w:vAlign w:val="center"/>
          </w:tcPr>
          <w:p w14:paraId="0E125DEE">
            <w:pPr>
              <w:bidi w:val="0"/>
              <w:spacing w:line="240" w:lineRule="auto"/>
              <w:jc w:val="center"/>
              <w:rPr>
                <w:rFonts w:hint="eastAsia"/>
                <w:sz w:val="21"/>
                <w:szCs w:val="21"/>
                <w:lang w:val="en-US" w:eastAsia="zh-CN"/>
              </w:rPr>
            </w:pPr>
            <w:r>
              <w:rPr>
                <w:rFonts w:hint="eastAsia"/>
                <w:sz w:val="21"/>
                <w:szCs w:val="21"/>
                <w:lang w:val="en-US" w:eastAsia="zh-CN"/>
              </w:rPr>
              <w:t>50</w:t>
            </w:r>
          </w:p>
        </w:tc>
        <w:tc>
          <w:tcPr>
            <w:tcW w:w="334" w:type="pct"/>
            <w:tcBorders>
              <w:top w:val="single" w:color="000000" w:sz="4" w:space="0"/>
              <w:left w:val="single" w:color="000000" w:sz="4" w:space="0"/>
              <w:bottom w:val="single" w:color="000000" w:sz="4" w:space="0"/>
              <w:right w:val="single" w:color="000000" w:sz="4" w:space="0"/>
            </w:tcBorders>
            <w:vAlign w:val="center"/>
          </w:tcPr>
          <w:p w14:paraId="062C7679">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5545B2F0">
            <w:pPr>
              <w:bidi w:val="0"/>
              <w:spacing w:line="240" w:lineRule="auto"/>
              <w:jc w:val="center"/>
              <w:rPr>
                <w:rFonts w:hint="eastAsia"/>
                <w:sz w:val="21"/>
                <w:szCs w:val="21"/>
                <w:lang w:val="en-US" w:eastAsia="zh-CN"/>
              </w:rPr>
            </w:pPr>
            <w:r>
              <w:rPr>
                <w:rFonts w:hint="eastAsia" w:cs="Times New Roman" w:eastAsiaTheme="minorEastAsia"/>
                <w:color w:val="auto"/>
                <w:sz w:val="21"/>
                <w:szCs w:val="21"/>
                <w:lang w:val="en-US" w:eastAsia="zh-CN"/>
              </w:rPr>
              <w:t>DA008</w:t>
            </w:r>
          </w:p>
        </w:tc>
        <w:tc>
          <w:tcPr>
            <w:tcW w:w="279" w:type="pct"/>
            <w:tcBorders>
              <w:top w:val="single" w:color="000000" w:sz="4" w:space="0"/>
              <w:left w:val="single" w:color="000000" w:sz="4" w:space="0"/>
              <w:bottom w:val="single" w:color="000000" w:sz="4" w:space="0"/>
              <w:right w:val="single" w:color="000000" w:sz="4" w:space="0"/>
            </w:tcBorders>
            <w:vAlign w:val="center"/>
          </w:tcPr>
          <w:p w14:paraId="59076520">
            <w:pPr>
              <w:bidi w:val="0"/>
              <w:spacing w:line="240" w:lineRule="auto"/>
              <w:jc w:val="center"/>
              <w:rPr>
                <w:rFonts w:hint="eastAsia"/>
                <w:sz w:val="21"/>
                <w:szCs w:val="21"/>
                <w:lang w:val="en-US" w:eastAsia="zh-CN"/>
              </w:rPr>
            </w:pPr>
            <w:r>
              <w:rPr>
                <w:rFonts w:hint="eastAsia"/>
                <w:sz w:val="21"/>
                <w:szCs w:val="21"/>
                <w:lang w:val="en-US" w:eastAsia="zh-CN"/>
              </w:rPr>
              <w:t>一般排放口</w:t>
            </w:r>
          </w:p>
        </w:tc>
        <w:tc>
          <w:tcPr>
            <w:tcW w:w="265" w:type="pct"/>
            <w:vMerge w:val="continue"/>
            <w:tcBorders>
              <w:left w:val="single" w:color="000000" w:sz="4" w:space="0"/>
              <w:right w:val="single" w:color="000000" w:sz="4" w:space="0"/>
            </w:tcBorders>
            <w:vAlign w:val="center"/>
          </w:tcPr>
          <w:p w14:paraId="25092C1D">
            <w:pPr>
              <w:bidi w:val="0"/>
              <w:spacing w:line="240" w:lineRule="auto"/>
              <w:jc w:val="center"/>
              <w:rPr>
                <w:rFonts w:hint="eastAsia"/>
                <w:sz w:val="21"/>
                <w:szCs w:val="21"/>
                <w:lang w:val="en-US" w:eastAsia="zh-CN"/>
              </w:rPr>
            </w:pPr>
          </w:p>
        </w:tc>
        <w:tc>
          <w:tcPr>
            <w:tcW w:w="241" w:type="pct"/>
            <w:vMerge w:val="continue"/>
            <w:tcBorders>
              <w:left w:val="single" w:color="000000" w:sz="4" w:space="0"/>
              <w:right w:val="single" w:color="000000" w:sz="4" w:space="0"/>
            </w:tcBorders>
            <w:vAlign w:val="center"/>
          </w:tcPr>
          <w:p w14:paraId="140DD887">
            <w:pPr>
              <w:bidi w:val="0"/>
              <w:spacing w:line="240" w:lineRule="auto"/>
              <w:jc w:val="center"/>
              <w:rPr>
                <w:rFonts w:hint="eastAsia"/>
                <w:sz w:val="21"/>
                <w:szCs w:val="21"/>
                <w:lang w:val="en-US" w:eastAsia="zh-CN"/>
              </w:rPr>
            </w:pP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E170A">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color w:val="auto"/>
                <w:kern w:val="0"/>
                <w:sz w:val="21"/>
                <w:szCs w:val="21"/>
                <w:lang w:val="en-US" w:eastAsia="zh-CN"/>
              </w:rPr>
              <w:t>常温</w:t>
            </w:r>
          </w:p>
        </w:tc>
      </w:tr>
      <w:tr w14:paraId="04C2F557">
        <w:tblPrEx>
          <w:tblCellMar>
            <w:top w:w="0" w:type="dxa"/>
            <w:left w:w="108" w:type="dxa"/>
            <w:bottom w:w="0" w:type="dxa"/>
            <w:right w:w="108" w:type="dxa"/>
          </w:tblCellMar>
        </w:tblPrEx>
        <w:trPr>
          <w:trHeight w:val="23" w:hRule="atLeast"/>
        </w:trPr>
        <w:tc>
          <w:tcPr>
            <w:tcW w:w="149" w:type="pct"/>
            <w:vMerge w:val="continue"/>
            <w:tcBorders>
              <w:left w:val="single" w:color="000000" w:sz="4" w:space="0"/>
              <w:right w:val="single" w:color="000000" w:sz="4" w:space="0"/>
            </w:tcBorders>
            <w:vAlign w:val="center"/>
          </w:tcPr>
          <w:p w14:paraId="7F715F39">
            <w:pPr>
              <w:bidi w:val="0"/>
              <w:spacing w:line="240" w:lineRule="auto"/>
              <w:jc w:val="center"/>
              <w:rPr>
                <w:rFonts w:hint="eastAsia"/>
                <w:sz w:val="21"/>
                <w:szCs w:val="21"/>
                <w:lang w:val="en-US" w:eastAsia="zh-CN"/>
              </w:rPr>
            </w:pPr>
          </w:p>
        </w:tc>
        <w:tc>
          <w:tcPr>
            <w:tcW w:w="3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E62A0">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合计</w:t>
            </w:r>
            <w:r>
              <w:rPr>
                <w:rFonts w:hint="eastAsia" w:cs="Times New Roman" w:eastAsiaTheme="minorEastAsia"/>
                <w:color w:val="auto"/>
                <w:sz w:val="21"/>
                <w:szCs w:val="21"/>
                <w:lang w:val="en-US" w:eastAsia="zh-CN"/>
              </w:rPr>
              <w:t>/DA008</w:t>
            </w:r>
          </w:p>
        </w:tc>
        <w:tc>
          <w:tcPr>
            <w:tcW w:w="3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A8980">
            <w:pPr>
              <w:spacing w:line="240" w:lineRule="auto"/>
              <w:jc w:val="center"/>
              <w:rPr>
                <w:rFonts w:hint="eastAsia" w:ascii="Times New Roman" w:hAnsi="Times New Roman" w:cs="Times New Roman" w:eastAsiaTheme="minorEastAsia"/>
                <w:color w:val="auto"/>
                <w:sz w:val="21"/>
                <w:szCs w:val="21"/>
                <w:lang w:val="en-US" w:eastAsia="zh-CN" w:bidi="ar-SA"/>
              </w:rPr>
            </w:pPr>
            <w:r>
              <w:rPr>
                <w:rFonts w:hint="eastAsia" w:ascii="Times New Roman" w:hAnsi="Times New Roman" w:cs="Times New Roman" w:eastAsiaTheme="minorEastAsia"/>
                <w:color w:val="auto"/>
                <w:sz w:val="21"/>
                <w:szCs w:val="21"/>
                <w:lang w:val="en-US" w:eastAsia="zh-CN"/>
              </w:rPr>
              <w:t>颗粒物</w:t>
            </w:r>
          </w:p>
        </w:tc>
        <w:tc>
          <w:tcPr>
            <w:tcW w:w="55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8137E">
            <w:pPr>
              <w:keepNext w:val="0"/>
              <w:keepLines w:val="0"/>
              <w:widowControl/>
              <w:suppressLineNumbers w:val="0"/>
              <w:spacing w:line="240" w:lineRule="auto"/>
              <w:jc w:val="center"/>
              <w:textAlignment w:val="center"/>
              <w:rPr>
                <w:rFonts w:hint="eastAsia" w:ascii="Times New Roman" w:hAnsi="Times New Roman" w:eastAsia="宋体" w:cs="Times New Roman"/>
                <w:sz w:val="21"/>
                <w:szCs w:val="21"/>
                <w:lang w:val="en-US" w:eastAsia="zh-CN" w:bidi="ar-SA"/>
              </w:rPr>
            </w:pPr>
            <w:r>
              <w:rPr>
                <w:rFonts w:hint="eastAsia" w:ascii="Times New Roman" w:hAnsi="Times New Roman" w:cs="Times New Roman"/>
                <w:sz w:val="21"/>
                <w:szCs w:val="21"/>
                <w:lang w:val="en-US" w:eastAsia="zh-CN" w:bidi="ar-SA"/>
              </w:rPr>
              <w:t>/</w:t>
            </w:r>
          </w:p>
        </w:tc>
        <w:tc>
          <w:tcPr>
            <w:tcW w:w="3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8D295">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 xml:space="preserve">1.319 </w:t>
            </w:r>
          </w:p>
        </w:tc>
        <w:tc>
          <w:tcPr>
            <w:tcW w:w="4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DF4F3">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 xml:space="preserve">0.166 </w:t>
            </w:r>
          </w:p>
        </w:tc>
        <w:tc>
          <w:tcPr>
            <w:tcW w:w="5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D2B7F7">
            <w:pPr>
              <w:keepNext w:val="0"/>
              <w:keepLines w:val="0"/>
              <w:widowControl/>
              <w:suppressLineNumbers w:val="0"/>
              <w:spacing w:line="240" w:lineRule="auto"/>
              <w:jc w:val="center"/>
              <w:textAlignment w:val="center"/>
              <w:rPr>
                <w:rFonts w:hint="eastAsia" w:ascii="Times New Roman" w:hAnsi="Times New Roman" w:cs="Times New Roman" w:eastAsiaTheme="minorEastAsia"/>
                <w:color w:val="auto"/>
                <w:sz w:val="21"/>
                <w:szCs w:val="21"/>
                <w:lang w:val="en-US" w:eastAsia="zh-CN" w:bidi="ar-SA"/>
              </w:rPr>
            </w:pPr>
            <w:r>
              <w:rPr>
                <w:rFonts w:hint="default" w:ascii="Times New Roman" w:hAnsi="Times New Roman" w:cs="Times New Roman" w:eastAsiaTheme="minorEastAsia"/>
                <w:color w:val="auto"/>
                <w:sz w:val="21"/>
                <w:szCs w:val="21"/>
                <w:lang w:val="en-US" w:eastAsia="zh-CN"/>
              </w:rPr>
              <w:t xml:space="preserve">6.659 </w:t>
            </w:r>
          </w:p>
        </w:tc>
        <w:tc>
          <w:tcPr>
            <w:tcW w:w="456" w:type="pct"/>
            <w:tcBorders>
              <w:top w:val="single" w:color="000000" w:sz="4" w:space="0"/>
              <w:left w:val="single" w:color="000000" w:sz="4" w:space="0"/>
              <w:bottom w:val="single" w:color="000000" w:sz="4" w:space="0"/>
              <w:right w:val="single" w:color="000000" w:sz="4" w:space="0"/>
            </w:tcBorders>
            <w:vAlign w:val="center"/>
          </w:tcPr>
          <w:p w14:paraId="63A99826">
            <w:pPr>
              <w:bidi w:val="0"/>
              <w:spacing w:line="240" w:lineRule="auto"/>
              <w:jc w:val="center"/>
              <w:rPr>
                <w:rFonts w:hint="eastAsia"/>
                <w:sz w:val="21"/>
                <w:szCs w:val="21"/>
                <w:lang w:val="en-US" w:eastAsia="zh-CN"/>
              </w:rPr>
            </w:pPr>
            <w:r>
              <w:rPr>
                <w:rFonts w:hint="eastAsia"/>
                <w:sz w:val="21"/>
                <w:szCs w:val="21"/>
                <w:lang w:val="en-US" w:eastAsia="zh-CN"/>
              </w:rPr>
              <w:t>50</w:t>
            </w:r>
          </w:p>
        </w:tc>
        <w:tc>
          <w:tcPr>
            <w:tcW w:w="334" w:type="pct"/>
            <w:tcBorders>
              <w:top w:val="single" w:color="000000" w:sz="4" w:space="0"/>
              <w:left w:val="single" w:color="000000" w:sz="4" w:space="0"/>
              <w:bottom w:val="single" w:color="000000" w:sz="4" w:space="0"/>
              <w:right w:val="single" w:color="000000" w:sz="4" w:space="0"/>
            </w:tcBorders>
            <w:vAlign w:val="center"/>
          </w:tcPr>
          <w:p w14:paraId="487CA612">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3438142B">
            <w:pPr>
              <w:bidi w:val="0"/>
              <w:spacing w:line="240" w:lineRule="auto"/>
              <w:jc w:val="center"/>
              <w:rPr>
                <w:rFonts w:hint="eastAsia"/>
                <w:sz w:val="21"/>
                <w:szCs w:val="21"/>
                <w:lang w:val="en-US" w:eastAsia="zh-CN"/>
              </w:rPr>
            </w:pPr>
            <w:r>
              <w:rPr>
                <w:rFonts w:hint="eastAsia" w:cs="Times New Roman" w:eastAsiaTheme="minorEastAsia"/>
                <w:color w:val="auto"/>
                <w:sz w:val="21"/>
                <w:szCs w:val="21"/>
                <w:lang w:val="en-US" w:eastAsia="zh-CN"/>
              </w:rPr>
              <w:t>DA008</w:t>
            </w:r>
          </w:p>
        </w:tc>
        <w:tc>
          <w:tcPr>
            <w:tcW w:w="279" w:type="pct"/>
            <w:tcBorders>
              <w:top w:val="single" w:color="000000" w:sz="4" w:space="0"/>
              <w:left w:val="single" w:color="000000" w:sz="4" w:space="0"/>
              <w:bottom w:val="single" w:color="000000" w:sz="4" w:space="0"/>
              <w:right w:val="single" w:color="000000" w:sz="4" w:space="0"/>
            </w:tcBorders>
            <w:vAlign w:val="center"/>
          </w:tcPr>
          <w:p w14:paraId="5FC478A5">
            <w:pPr>
              <w:bidi w:val="0"/>
              <w:spacing w:line="240" w:lineRule="auto"/>
              <w:jc w:val="center"/>
              <w:rPr>
                <w:rFonts w:hint="eastAsia"/>
                <w:sz w:val="21"/>
                <w:szCs w:val="21"/>
                <w:lang w:val="en-US" w:eastAsia="zh-CN"/>
              </w:rPr>
            </w:pPr>
            <w:r>
              <w:rPr>
                <w:rFonts w:hint="eastAsia"/>
                <w:sz w:val="21"/>
                <w:szCs w:val="21"/>
                <w:lang w:val="en-US" w:eastAsia="zh-CN"/>
              </w:rPr>
              <w:t>一般排放口</w:t>
            </w:r>
          </w:p>
        </w:tc>
        <w:tc>
          <w:tcPr>
            <w:tcW w:w="265" w:type="pct"/>
            <w:vMerge w:val="continue"/>
            <w:tcBorders>
              <w:left w:val="single" w:color="000000" w:sz="4" w:space="0"/>
              <w:bottom w:val="single" w:color="000000" w:sz="4" w:space="0"/>
              <w:right w:val="single" w:color="000000" w:sz="4" w:space="0"/>
            </w:tcBorders>
            <w:vAlign w:val="center"/>
          </w:tcPr>
          <w:p w14:paraId="1248519B">
            <w:pPr>
              <w:bidi w:val="0"/>
              <w:spacing w:line="240" w:lineRule="auto"/>
              <w:jc w:val="center"/>
              <w:rPr>
                <w:rFonts w:hint="eastAsia"/>
                <w:sz w:val="21"/>
                <w:szCs w:val="21"/>
                <w:lang w:val="en-US" w:eastAsia="zh-CN"/>
              </w:rPr>
            </w:pPr>
          </w:p>
        </w:tc>
        <w:tc>
          <w:tcPr>
            <w:tcW w:w="241" w:type="pct"/>
            <w:vMerge w:val="continue"/>
            <w:tcBorders>
              <w:left w:val="single" w:color="000000" w:sz="4" w:space="0"/>
              <w:bottom w:val="single" w:color="000000" w:sz="4" w:space="0"/>
              <w:right w:val="single" w:color="000000" w:sz="4" w:space="0"/>
            </w:tcBorders>
            <w:vAlign w:val="center"/>
          </w:tcPr>
          <w:p w14:paraId="54E58CE9">
            <w:pPr>
              <w:bidi w:val="0"/>
              <w:spacing w:line="240" w:lineRule="auto"/>
              <w:jc w:val="center"/>
              <w:rPr>
                <w:rFonts w:hint="eastAsia"/>
                <w:sz w:val="21"/>
                <w:szCs w:val="21"/>
                <w:lang w:val="en-US" w:eastAsia="zh-CN"/>
              </w:rPr>
            </w:pP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B02BE">
            <w:pPr>
              <w:widowControl/>
              <w:spacing w:line="240" w:lineRule="auto"/>
              <w:jc w:val="center"/>
              <w:rPr>
                <w:rFonts w:hint="eastAsia" w:ascii="Times New Roman" w:hAnsi="Times New Roman" w:eastAsia="宋体" w:cs="宋体"/>
                <w:color w:val="auto"/>
                <w:kern w:val="0"/>
                <w:sz w:val="21"/>
                <w:szCs w:val="21"/>
                <w:lang w:val="en-US" w:eastAsia="zh-CN" w:bidi="ar-SA"/>
              </w:rPr>
            </w:pPr>
            <w:r>
              <w:rPr>
                <w:rFonts w:hint="eastAsia"/>
                <w:color w:val="auto"/>
                <w:kern w:val="0"/>
                <w:sz w:val="21"/>
                <w:szCs w:val="21"/>
                <w:lang w:val="en-US" w:eastAsia="zh-CN"/>
              </w:rPr>
              <w:t>常温</w:t>
            </w:r>
          </w:p>
        </w:tc>
      </w:tr>
      <w:tr w14:paraId="6F73E09A">
        <w:tblPrEx>
          <w:tblCellMar>
            <w:top w:w="0" w:type="dxa"/>
            <w:left w:w="108" w:type="dxa"/>
            <w:bottom w:w="0" w:type="dxa"/>
            <w:right w:w="108" w:type="dxa"/>
          </w:tblCellMar>
        </w:tblPrEx>
        <w:trPr>
          <w:trHeight w:val="23" w:hRule="atLeast"/>
        </w:trPr>
        <w:tc>
          <w:tcPr>
            <w:tcW w:w="478" w:type="pct"/>
            <w:gridSpan w:val="2"/>
            <w:vMerge w:val="restart"/>
            <w:tcBorders>
              <w:top w:val="single" w:color="000000" w:sz="4" w:space="0"/>
              <w:left w:val="single" w:color="000000" w:sz="4" w:space="0"/>
              <w:bottom w:val="single" w:color="000000" w:sz="4" w:space="0"/>
              <w:right w:val="single" w:color="000000" w:sz="4" w:space="0"/>
            </w:tcBorders>
            <w:vAlign w:val="center"/>
          </w:tcPr>
          <w:p w14:paraId="774A3123">
            <w:pPr>
              <w:bidi w:val="0"/>
              <w:spacing w:line="240" w:lineRule="auto"/>
              <w:jc w:val="center"/>
              <w:rPr>
                <w:rFonts w:hint="eastAsia"/>
                <w:sz w:val="21"/>
                <w:szCs w:val="21"/>
                <w:lang w:val="en-US" w:eastAsia="zh-CN"/>
              </w:rPr>
            </w:pPr>
            <w:r>
              <w:rPr>
                <w:rFonts w:hint="eastAsia"/>
                <w:sz w:val="21"/>
                <w:szCs w:val="21"/>
                <w:lang w:val="en-US" w:eastAsia="zh-CN"/>
              </w:rPr>
              <w:t>废水</w:t>
            </w:r>
          </w:p>
        </w:tc>
        <w:tc>
          <w:tcPr>
            <w:tcW w:w="384" w:type="pct"/>
            <w:tcBorders>
              <w:top w:val="single" w:color="000000" w:sz="4" w:space="0"/>
              <w:left w:val="single" w:color="000000" w:sz="4" w:space="0"/>
              <w:bottom w:val="single" w:color="000000" w:sz="4" w:space="0"/>
              <w:right w:val="single" w:color="000000" w:sz="4" w:space="0"/>
            </w:tcBorders>
            <w:vAlign w:val="center"/>
          </w:tcPr>
          <w:p w14:paraId="64AE581A">
            <w:pPr>
              <w:bidi w:val="0"/>
              <w:spacing w:line="240" w:lineRule="auto"/>
              <w:jc w:val="center"/>
              <w:rPr>
                <w:rFonts w:hint="eastAsia"/>
                <w:sz w:val="21"/>
                <w:szCs w:val="21"/>
                <w:lang w:val="en-US" w:eastAsia="zh-CN"/>
              </w:rPr>
            </w:pPr>
            <w:r>
              <w:rPr>
                <w:rFonts w:hint="eastAsia"/>
                <w:sz w:val="21"/>
                <w:szCs w:val="21"/>
                <w:lang w:val="en-US" w:eastAsia="zh-CN"/>
              </w:rPr>
              <w:t>COD</w:t>
            </w:r>
          </w:p>
        </w:tc>
        <w:tc>
          <w:tcPr>
            <w:tcW w:w="559" w:type="pct"/>
            <w:vMerge w:val="restart"/>
            <w:tcBorders>
              <w:top w:val="single" w:color="000000" w:sz="4" w:space="0"/>
              <w:left w:val="single" w:color="000000" w:sz="4" w:space="0"/>
              <w:right w:val="single" w:color="000000" w:sz="4" w:space="0"/>
            </w:tcBorders>
            <w:vAlign w:val="center"/>
          </w:tcPr>
          <w:p w14:paraId="1170E4E0">
            <w:pPr>
              <w:bidi w:val="0"/>
              <w:spacing w:line="240" w:lineRule="auto"/>
              <w:jc w:val="center"/>
              <w:rPr>
                <w:rFonts w:hint="default"/>
                <w:sz w:val="21"/>
                <w:szCs w:val="21"/>
                <w:lang w:val="en-US" w:eastAsia="zh-CN"/>
              </w:rPr>
            </w:pPr>
            <w:r>
              <w:rPr>
                <w:rFonts w:hint="eastAsia"/>
                <w:sz w:val="21"/>
                <w:szCs w:val="21"/>
                <w:lang w:val="en-US" w:eastAsia="zh-CN"/>
              </w:rPr>
              <w:t>厂区污水处理站除氟系统</w:t>
            </w:r>
          </w:p>
        </w:tc>
        <w:tc>
          <w:tcPr>
            <w:tcW w:w="821" w:type="pct"/>
            <w:gridSpan w:val="2"/>
            <w:vMerge w:val="restart"/>
            <w:tcBorders>
              <w:top w:val="single" w:color="000000" w:sz="4" w:space="0"/>
              <w:left w:val="single" w:color="000000" w:sz="4" w:space="0"/>
              <w:right w:val="single" w:color="000000" w:sz="4" w:space="0"/>
            </w:tcBorders>
            <w:vAlign w:val="center"/>
          </w:tcPr>
          <w:p w14:paraId="2817948B">
            <w:pPr>
              <w:bidi w:val="0"/>
              <w:spacing w:line="240" w:lineRule="auto"/>
              <w:jc w:val="center"/>
              <w:rPr>
                <w:rFonts w:hint="eastAsia"/>
                <w:sz w:val="21"/>
                <w:szCs w:val="21"/>
                <w:lang w:val="en-US" w:eastAsia="zh-CN"/>
              </w:rPr>
            </w:pPr>
            <w:r>
              <w:rPr>
                <w:rFonts w:hint="eastAsia"/>
                <w:sz w:val="21"/>
                <w:szCs w:val="21"/>
                <w:lang w:val="en-US" w:eastAsia="zh-CN"/>
              </w:rPr>
              <w:t>2.986t/d</w:t>
            </w:r>
          </w:p>
        </w:tc>
        <w:tc>
          <w:tcPr>
            <w:tcW w:w="560" w:type="pct"/>
            <w:tcBorders>
              <w:top w:val="single" w:color="000000" w:sz="4" w:space="0"/>
              <w:left w:val="single" w:color="000000" w:sz="4" w:space="0"/>
              <w:bottom w:val="single" w:color="000000" w:sz="4" w:space="0"/>
              <w:right w:val="single" w:color="000000" w:sz="4" w:space="0"/>
            </w:tcBorders>
            <w:vAlign w:val="center"/>
          </w:tcPr>
          <w:p w14:paraId="445DFF6E">
            <w:pPr>
              <w:bidi w:val="0"/>
              <w:spacing w:line="240" w:lineRule="auto"/>
              <w:jc w:val="center"/>
              <w:rPr>
                <w:rFonts w:hint="eastAsia"/>
                <w:sz w:val="21"/>
                <w:szCs w:val="21"/>
                <w:lang w:val="en-US" w:eastAsia="zh-CN"/>
              </w:rPr>
            </w:pPr>
            <w:r>
              <w:rPr>
                <w:rFonts w:hint="eastAsia"/>
                <w:sz w:val="21"/>
                <w:szCs w:val="21"/>
                <w:lang w:val="en-US" w:eastAsia="zh-CN"/>
              </w:rPr>
              <w:t>mg/L</w:t>
            </w:r>
          </w:p>
        </w:tc>
        <w:tc>
          <w:tcPr>
            <w:tcW w:w="456" w:type="pct"/>
            <w:tcBorders>
              <w:top w:val="single" w:color="000000" w:sz="4" w:space="0"/>
              <w:left w:val="single" w:color="000000" w:sz="4" w:space="0"/>
              <w:bottom w:val="single" w:color="000000" w:sz="4" w:space="0"/>
              <w:right w:val="single" w:color="000000" w:sz="4" w:space="0"/>
            </w:tcBorders>
            <w:vAlign w:val="center"/>
          </w:tcPr>
          <w:p w14:paraId="1EC1ECAA">
            <w:pPr>
              <w:bidi w:val="0"/>
              <w:spacing w:line="240" w:lineRule="auto"/>
              <w:jc w:val="center"/>
              <w:rPr>
                <w:rFonts w:hint="eastAsia"/>
                <w:sz w:val="21"/>
                <w:szCs w:val="21"/>
                <w:lang w:val="en-US" w:eastAsia="zh-CN"/>
              </w:rPr>
            </w:pPr>
            <w:r>
              <w:rPr>
                <w:rFonts w:hint="eastAsia"/>
                <w:sz w:val="21"/>
                <w:szCs w:val="21"/>
                <w:lang w:val="en-US" w:eastAsia="zh-CN"/>
              </w:rPr>
              <w:t>99.612mg/L</w:t>
            </w:r>
          </w:p>
        </w:tc>
        <w:tc>
          <w:tcPr>
            <w:tcW w:w="334" w:type="pct"/>
            <w:tcBorders>
              <w:top w:val="single" w:color="000000" w:sz="4" w:space="0"/>
              <w:left w:val="single" w:color="000000" w:sz="4" w:space="0"/>
              <w:bottom w:val="single" w:color="000000" w:sz="4" w:space="0"/>
              <w:right w:val="single" w:color="000000" w:sz="4" w:space="0"/>
            </w:tcBorders>
            <w:vAlign w:val="center"/>
          </w:tcPr>
          <w:p w14:paraId="1E90A813">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vMerge w:val="restart"/>
            <w:tcBorders>
              <w:top w:val="single" w:color="000000" w:sz="4" w:space="0"/>
              <w:left w:val="single" w:color="000000" w:sz="4" w:space="0"/>
              <w:right w:val="single" w:color="000000" w:sz="4" w:space="0"/>
            </w:tcBorders>
            <w:vAlign w:val="center"/>
          </w:tcPr>
          <w:p w14:paraId="79E98604">
            <w:pPr>
              <w:bidi w:val="0"/>
              <w:spacing w:line="240" w:lineRule="auto"/>
              <w:jc w:val="center"/>
              <w:rPr>
                <w:rFonts w:hint="eastAsia"/>
                <w:sz w:val="21"/>
                <w:szCs w:val="21"/>
                <w:lang w:val="en-US" w:eastAsia="zh-CN"/>
              </w:rPr>
            </w:pPr>
            <w:r>
              <w:rPr>
                <w:rFonts w:hint="eastAsia"/>
                <w:sz w:val="21"/>
                <w:szCs w:val="21"/>
                <w:lang w:val="en-US" w:eastAsia="zh-CN"/>
              </w:rPr>
              <w:t>DW001</w:t>
            </w:r>
          </w:p>
        </w:tc>
        <w:tc>
          <w:tcPr>
            <w:tcW w:w="279" w:type="pct"/>
            <w:vMerge w:val="restart"/>
            <w:tcBorders>
              <w:top w:val="single" w:color="000000" w:sz="4" w:space="0"/>
              <w:left w:val="single" w:color="000000" w:sz="4" w:space="0"/>
              <w:right w:val="single" w:color="000000" w:sz="4" w:space="0"/>
            </w:tcBorders>
            <w:vAlign w:val="center"/>
          </w:tcPr>
          <w:p w14:paraId="3587BF42">
            <w:pPr>
              <w:bidi w:val="0"/>
              <w:spacing w:line="240" w:lineRule="auto"/>
              <w:jc w:val="center"/>
              <w:rPr>
                <w:rFonts w:hint="eastAsia"/>
                <w:sz w:val="21"/>
                <w:szCs w:val="21"/>
                <w:lang w:val="en-US" w:eastAsia="zh-CN"/>
              </w:rPr>
            </w:pPr>
            <w:r>
              <w:rPr>
                <w:rFonts w:hint="eastAsia"/>
                <w:sz w:val="21"/>
                <w:szCs w:val="21"/>
                <w:lang w:val="en-US" w:eastAsia="zh-CN"/>
              </w:rPr>
              <w:t>主要排放口</w:t>
            </w:r>
          </w:p>
        </w:tc>
        <w:tc>
          <w:tcPr>
            <w:tcW w:w="265" w:type="pct"/>
            <w:vMerge w:val="restart"/>
            <w:tcBorders>
              <w:top w:val="single" w:color="000000" w:sz="4" w:space="0"/>
              <w:left w:val="single" w:color="000000" w:sz="4" w:space="0"/>
              <w:right w:val="single" w:color="000000" w:sz="4" w:space="0"/>
            </w:tcBorders>
            <w:vAlign w:val="center"/>
          </w:tcPr>
          <w:p w14:paraId="32FDA269">
            <w:pPr>
              <w:bidi w:val="0"/>
              <w:spacing w:line="240" w:lineRule="auto"/>
              <w:jc w:val="center"/>
              <w:rPr>
                <w:rFonts w:hint="eastAsia"/>
                <w:sz w:val="21"/>
                <w:szCs w:val="21"/>
                <w:lang w:val="en-US" w:eastAsia="zh-CN"/>
              </w:rPr>
            </w:pPr>
            <w:r>
              <w:rPr>
                <w:rFonts w:hint="eastAsia"/>
                <w:sz w:val="21"/>
                <w:szCs w:val="21"/>
                <w:lang w:val="en-US" w:eastAsia="zh-CN"/>
              </w:rPr>
              <w:t>/</w:t>
            </w:r>
          </w:p>
        </w:tc>
        <w:tc>
          <w:tcPr>
            <w:tcW w:w="241" w:type="pct"/>
            <w:vMerge w:val="restart"/>
            <w:tcBorders>
              <w:top w:val="single" w:color="000000" w:sz="4" w:space="0"/>
              <w:left w:val="single" w:color="000000" w:sz="4" w:space="0"/>
              <w:right w:val="single" w:color="000000" w:sz="4" w:space="0"/>
            </w:tcBorders>
            <w:vAlign w:val="center"/>
          </w:tcPr>
          <w:p w14:paraId="267DFAE8">
            <w:pPr>
              <w:bidi w:val="0"/>
              <w:spacing w:line="240" w:lineRule="auto"/>
              <w:jc w:val="center"/>
              <w:rPr>
                <w:rFonts w:hint="eastAsia"/>
                <w:sz w:val="21"/>
                <w:szCs w:val="21"/>
                <w:lang w:val="en-US" w:eastAsia="zh-CN"/>
              </w:rPr>
            </w:pPr>
            <w:r>
              <w:rPr>
                <w:rFonts w:hint="eastAsia"/>
                <w:sz w:val="21"/>
                <w:szCs w:val="21"/>
                <w:lang w:val="en-US" w:eastAsia="zh-CN"/>
              </w:rPr>
              <w:t>/</w:t>
            </w:r>
          </w:p>
        </w:tc>
        <w:tc>
          <w:tcPr>
            <w:tcW w:w="309" w:type="pct"/>
            <w:vMerge w:val="restart"/>
            <w:tcBorders>
              <w:top w:val="single" w:color="000000" w:sz="4" w:space="0"/>
              <w:left w:val="single" w:color="000000" w:sz="4" w:space="0"/>
              <w:right w:val="single" w:color="000000" w:sz="4" w:space="0"/>
            </w:tcBorders>
            <w:vAlign w:val="center"/>
          </w:tcPr>
          <w:p w14:paraId="50BFB225">
            <w:pPr>
              <w:bidi w:val="0"/>
              <w:spacing w:line="240" w:lineRule="auto"/>
              <w:jc w:val="center"/>
              <w:rPr>
                <w:rFonts w:hint="eastAsia"/>
                <w:sz w:val="21"/>
                <w:szCs w:val="21"/>
                <w:lang w:val="en-US" w:eastAsia="zh-CN"/>
              </w:rPr>
            </w:pPr>
            <w:r>
              <w:rPr>
                <w:rFonts w:hint="eastAsia"/>
                <w:sz w:val="21"/>
                <w:szCs w:val="21"/>
                <w:lang w:val="en-US" w:eastAsia="zh-CN"/>
              </w:rPr>
              <w:t>/</w:t>
            </w:r>
          </w:p>
        </w:tc>
      </w:tr>
      <w:tr w14:paraId="771E9786">
        <w:tblPrEx>
          <w:tblCellMar>
            <w:top w:w="0" w:type="dxa"/>
            <w:left w:w="108" w:type="dxa"/>
            <w:bottom w:w="0" w:type="dxa"/>
            <w:right w:w="108" w:type="dxa"/>
          </w:tblCellMar>
        </w:tblPrEx>
        <w:trPr>
          <w:trHeight w:val="23" w:hRule="atLeast"/>
        </w:trPr>
        <w:tc>
          <w:tcPr>
            <w:tcW w:w="478" w:type="pct"/>
            <w:gridSpan w:val="2"/>
            <w:vMerge w:val="continue"/>
            <w:tcBorders>
              <w:top w:val="single" w:color="000000" w:sz="4" w:space="0"/>
              <w:left w:val="single" w:color="000000" w:sz="4" w:space="0"/>
              <w:bottom w:val="single" w:color="000000" w:sz="4" w:space="0"/>
              <w:right w:val="single" w:color="000000" w:sz="4" w:space="0"/>
            </w:tcBorders>
            <w:vAlign w:val="center"/>
          </w:tcPr>
          <w:p w14:paraId="035C3C68">
            <w:pPr>
              <w:bidi w:val="0"/>
              <w:spacing w:line="240" w:lineRule="auto"/>
              <w:jc w:val="center"/>
              <w:rPr>
                <w:rFonts w:hint="eastAsia"/>
                <w:sz w:val="21"/>
                <w:szCs w:val="21"/>
                <w:lang w:val="en-US" w:eastAsia="zh-CN"/>
              </w:rPr>
            </w:pPr>
          </w:p>
        </w:tc>
        <w:tc>
          <w:tcPr>
            <w:tcW w:w="384" w:type="pct"/>
            <w:tcBorders>
              <w:top w:val="single" w:color="000000" w:sz="4" w:space="0"/>
              <w:left w:val="single" w:color="000000" w:sz="4" w:space="0"/>
              <w:bottom w:val="single" w:color="000000" w:sz="4" w:space="0"/>
              <w:right w:val="single" w:color="000000" w:sz="4" w:space="0"/>
            </w:tcBorders>
            <w:vAlign w:val="center"/>
          </w:tcPr>
          <w:p w14:paraId="332565C7">
            <w:pPr>
              <w:bidi w:val="0"/>
              <w:spacing w:line="240" w:lineRule="auto"/>
              <w:jc w:val="center"/>
              <w:rPr>
                <w:rFonts w:hint="default"/>
                <w:sz w:val="21"/>
                <w:szCs w:val="21"/>
                <w:lang w:val="en-US" w:eastAsia="zh-CN"/>
              </w:rPr>
            </w:pPr>
            <w:r>
              <w:rPr>
                <w:rFonts w:hint="eastAsia"/>
                <w:sz w:val="21"/>
                <w:szCs w:val="21"/>
                <w:lang w:val="en-US" w:eastAsia="zh-CN"/>
              </w:rPr>
              <w:t>SS</w:t>
            </w:r>
          </w:p>
        </w:tc>
        <w:tc>
          <w:tcPr>
            <w:tcW w:w="559" w:type="pct"/>
            <w:vMerge w:val="continue"/>
            <w:tcBorders>
              <w:left w:val="single" w:color="000000" w:sz="4" w:space="0"/>
              <w:bottom w:val="single" w:color="000000" w:sz="4" w:space="0"/>
              <w:right w:val="single" w:color="000000" w:sz="4" w:space="0"/>
            </w:tcBorders>
            <w:vAlign w:val="center"/>
          </w:tcPr>
          <w:p w14:paraId="3A526C86">
            <w:pPr>
              <w:bidi w:val="0"/>
              <w:spacing w:line="240" w:lineRule="auto"/>
              <w:jc w:val="center"/>
              <w:rPr>
                <w:rFonts w:hint="eastAsia"/>
                <w:sz w:val="21"/>
                <w:szCs w:val="21"/>
                <w:lang w:val="en-US" w:eastAsia="zh-CN"/>
              </w:rPr>
            </w:pPr>
          </w:p>
        </w:tc>
        <w:tc>
          <w:tcPr>
            <w:tcW w:w="821" w:type="pct"/>
            <w:gridSpan w:val="2"/>
            <w:vMerge w:val="continue"/>
            <w:tcBorders>
              <w:left w:val="single" w:color="000000" w:sz="4" w:space="0"/>
              <w:bottom w:val="single" w:color="000000" w:sz="4" w:space="0"/>
              <w:right w:val="single" w:color="000000" w:sz="4" w:space="0"/>
            </w:tcBorders>
            <w:vAlign w:val="center"/>
          </w:tcPr>
          <w:p w14:paraId="4D353455">
            <w:pPr>
              <w:bidi w:val="0"/>
              <w:spacing w:line="240" w:lineRule="auto"/>
              <w:jc w:val="center"/>
              <w:rPr>
                <w:rFonts w:hint="eastAsia"/>
                <w:sz w:val="21"/>
                <w:szCs w:val="21"/>
                <w:lang w:val="en-US" w:eastAsia="zh-CN"/>
              </w:rPr>
            </w:pPr>
          </w:p>
        </w:tc>
        <w:tc>
          <w:tcPr>
            <w:tcW w:w="560" w:type="pct"/>
            <w:tcBorders>
              <w:top w:val="single" w:color="000000" w:sz="4" w:space="0"/>
              <w:left w:val="single" w:color="000000" w:sz="4" w:space="0"/>
              <w:bottom w:val="single" w:color="000000" w:sz="4" w:space="0"/>
              <w:right w:val="single" w:color="000000" w:sz="4" w:space="0"/>
            </w:tcBorders>
            <w:vAlign w:val="center"/>
          </w:tcPr>
          <w:p w14:paraId="68E3B09F">
            <w:pPr>
              <w:bidi w:val="0"/>
              <w:spacing w:line="240" w:lineRule="auto"/>
              <w:jc w:val="center"/>
              <w:rPr>
                <w:rFonts w:hint="eastAsia"/>
                <w:sz w:val="21"/>
                <w:szCs w:val="21"/>
                <w:lang w:val="en-US" w:eastAsia="zh-CN"/>
              </w:rPr>
            </w:pPr>
            <w:r>
              <w:rPr>
                <w:rFonts w:hint="eastAsia"/>
                <w:sz w:val="21"/>
                <w:szCs w:val="21"/>
                <w:lang w:val="en-US" w:eastAsia="zh-CN"/>
              </w:rPr>
              <w:t>mg/L</w:t>
            </w:r>
          </w:p>
        </w:tc>
        <w:tc>
          <w:tcPr>
            <w:tcW w:w="456" w:type="pct"/>
            <w:tcBorders>
              <w:top w:val="single" w:color="000000" w:sz="4" w:space="0"/>
              <w:left w:val="single" w:color="000000" w:sz="4" w:space="0"/>
              <w:bottom w:val="single" w:color="000000" w:sz="4" w:space="0"/>
              <w:right w:val="single" w:color="000000" w:sz="4" w:space="0"/>
            </w:tcBorders>
            <w:vAlign w:val="center"/>
          </w:tcPr>
          <w:p w14:paraId="16445767">
            <w:pPr>
              <w:bidi w:val="0"/>
              <w:spacing w:line="240" w:lineRule="auto"/>
              <w:jc w:val="center"/>
              <w:rPr>
                <w:rFonts w:hint="eastAsia"/>
                <w:sz w:val="21"/>
                <w:szCs w:val="21"/>
                <w:lang w:val="en-US" w:eastAsia="zh-CN"/>
              </w:rPr>
            </w:pPr>
            <w:r>
              <w:rPr>
                <w:rFonts w:hint="eastAsia"/>
                <w:sz w:val="21"/>
                <w:szCs w:val="21"/>
                <w:lang w:val="en-US" w:eastAsia="zh-CN"/>
              </w:rPr>
              <w:t>24.917mg/L</w:t>
            </w:r>
          </w:p>
        </w:tc>
        <w:tc>
          <w:tcPr>
            <w:tcW w:w="334" w:type="pct"/>
            <w:tcBorders>
              <w:top w:val="single" w:color="000000" w:sz="4" w:space="0"/>
              <w:left w:val="single" w:color="000000" w:sz="4" w:space="0"/>
              <w:bottom w:val="single" w:color="000000" w:sz="4" w:space="0"/>
              <w:right w:val="single" w:color="000000" w:sz="4" w:space="0"/>
            </w:tcBorders>
            <w:vAlign w:val="center"/>
          </w:tcPr>
          <w:p w14:paraId="7E86BB6F">
            <w:pPr>
              <w:bidi w:val="0"/>
              <w:spacing w:line="240" w:lineRule="auto"/>
              <w:jc w:val="center"/>
              <w:rPr>
                <w:rFonts w:hint="eastAsia"/>
                <w:sz w:val="21"/>
                <w:szCs w:val="21"/>
                <w:lang w:val="en-US" w:eastAsia="zh-CN"/>
              </w:rPr>
            </w:pPr>
            <w:r>
              <w:rPr>
                <w:rFonts w:hint="eastAsia"/>
                <w:sz w:val="21"/>
                <w:szCs w:val="21"/>
                <w:lang w:val="en-US" w:eastAsia="zh-CN"/>
              </w:rPr>
              <w:t>/</w:t>
            </w:r>
          </w:p>
        </w:tc>
        <w:tc>
          <w:tcPr>
            <w:tcW w:w="310" w:type="pct"/>
            <w:vMerge w:val="continue"/>
            <w:tcBorders>
              <w:left w:val="single" w:color="000000" w:sz="4" w:space="0"/>
              <w:bottom w:val="single" w:color="000000" w:sz="4" w:space="0"/>
              <w:right w:val="single" w:color="000000" w:sz="4" w:space="0"/>
            </w:tcBorders>
            <w:vAlign w:val="center"/>
          </w:tcPr>
          <w:p w14:paraId="63E7A24E">
            <w:pPr>
              <w:bidi w:val="0"/>
              <w:spacing w:line="240" w:lineRule="auto"/>
              <w:jc w:val="center"/>
              <w:rPr>
                <w:rFonts w:hint="eastAsia"/>
                <w:sz w:val="21"/>
                <w:szCs w:val="21"/>
                <w:lang w:val="en-US" w:eastAsia="zh-CN"/>
              </w:rPr>
            </w:pPr>
          </w:p>
        </w:tc>
        <w:tc>
          <w:tcPr>
            <w:tcW w:w="279" w:type="pct"/>
            <w:vMerge w:val="continue"/>
            <w:tcBorders>
              <w:left w:val="single" w:color="000000" w:sz="4" w:space="0"/>
              <w:bottom w:val="single" w:color="000000" w:sz="4" w:space="0"/>
              <w:right w:val="single" w:color="000000" w:sz="4" w:space="0"/>
            </w:tcBorders>
            <w:vAlign w:val="center"/>
          </w:tcPr>
          <w:p w14:paraId="08E9E8D9">
            <w:pPr>
              <w:bidi w:val="0"/>
              <w:spacing w:line="240" w:lineRule="auto"/>
              <w:jc w:val="center"/>
              <w:rPr>
                <w:rFonts w:hint="eastAsia"/>
                <w:sz w:val="21"/>
                <w:szCs w:val="21"/>
                <w:lang w:val="en-US" w:eastAsia="zh-CN"/>
              </w:rPr>
            </w:pPr>
          </w:p>
        </w:tc>
        <w:tc>
          <w:tcPr>
            <w:tcW w:w="265" w:type="pct"/>
            <w:vMerge w:val="continue"/>
            <w:tcBorders>
              <w:left w:val="single" w:color="000000" w:sz="4" w:space="0"/>
              <w:bottom w:val="single" w:color="000000" w:sz="4" w:space="0"/>
              <w:right w:val="single" w:color="000000" w:sz="4" w:space="0"/>
            </w:tcBorders>
            <w:vAlign w:val="center"/>
          </w:tcPr>
          <w:p w14:paraId="115C93F8">
            <w:pPr>
              <w:bidi w:val="0"/>
              <w:spacing w:line="240" w:lineRule="auto"/>
              <w:jc w:val="center"/>
              <w:rPr>
                <w:rFonts w:hint="eastAsia"/>
                <w:sz w:val="21"/>
                <w:szCs w:val="21"/>
                <w:lang w:val="en-US" w:eastAsia="zh-CN"/>
              </w:rPr>
            </w:pPr>
          </w:p>
        </w:tc>
        <w:tc>
          <w:tcPr>
            <w:tcW w:w="241" w:type="pct"/>
            <w:vMerge w:val="continue"/>
            <w:tcBorders>
              <w:left w:val="single" w:color="000000" w:sz="4" w:space="0"/>
              <w:bottom w:val="single" w:color="000000" w:sz="4" w:space="0"/>
              <w:right w:val="single" w:color="000000" w:sz="4" w:space="0"/>
            </w:tcBorders>
            <w:vAlign w:val="center"/>
          </w:tcPr>
          <w:p w14:paraId="613FBB1B">
            <w:pPr>
              <w:bidi w:val="0"/>
              <w:spacing w:line="240" w:lineRule="auto"/>
              <w:jc w:val="center"/>
              <w:rPr>
                <w:rFonts w:hint="eastAsia"/>
                <w:sz w:val="21"/>
                <w:szCs w:val="21"/>
                <w:lang w:val="en-US" w:eastAsia="zh-CN"/>
              </w:rPr>
            </w:pPr>
          </w:p>
        </w:tc>
        <w:tc>
          <w:tcPr>
            <w:tcW w:w="309" w:type="pct"/>
            <w:vMerge w:val="continue"/>
            <w:tcBorders>
              <w:left w:val="single" w:color="000000" w:sz="4" w:space="0"/>
              <w:bottom w:val="single" w:color="000000" w:sz="4" w:space="0"/>
              <w:right w:val="single" w:color="000000" w:sz="4" w:space="0"/>
            </w:tcBorders>
            <w:vAlign w:val="center"/>
          </w:tcPr>
          <w:p w14:paraId="314DD260">
            <w:pPr>
              <w:bidi w:val="0"/>
              <w:spacing w:line="240" w:lineRule="auto"/>
              <w:jc w:val="center"/>
              <w:rPr>
                <w:rFonts w:hint="eastAsia"/>
                <w:sz w:val="21"/>
                <w:szCs w:val="21"/>
                <w:lang w:val="en-US" w:eastAsia="zh-CN"/>
              </w:rPr>
            </w:pPr>
          </w:p>
        </w:tc>
      </w:tr>
      <w:tr w14:paraId="692699F3">
        <w:tblPrEx>
          <w:tblCellMar>
            <w:top w:w="0" w:type="dxa"/>
            <w:left w:w="108" w:type="dxa"/>
            <w:bottom w:w="0" w:type="dxa"/>
            <w:right w:w="108" w:type="dxa"/>
          </w:tblCellMar>
        </w:tblPrEx>
        <w:trPr>
          <w:trHeight w:val="23" w:hRule="atLeast"/>
        </w:trPr>
        <w:tc>
          <w:tcPr>
            <w:tcW w:w="478" w:type="pct"/>
            <w:gridSpan w:val="2"/>
            <w:tcBorders>
              <w:top w:val="single" w:color="000000" w:sz="4" w:space="0"/>
              <w:left w:val="single" w:color="000000" w:sz="4" w:space="0"/>
              <w:bottom w:val="single" w:color="000000" w:sz="4" w:space="0"/>
              <w:right w:val="single" w:color="000000" w:sz="4" w:space="0"/>
            </w:tcBorders>
            <w:vAlign w:val="center"/>
          </w:tcPr>
          <w:p w14:paraId="0BB93030">
            <w:pPr>
              <w:bidi w:val="0"/>
              <w:spacing w:line="240" w:lineRule="auto"/>
              <w:jc w:val="center"/>
              <w:rPr>
                <w:rFonts w:hint="eastAsia"/>
                <w:sz w:val="21"/>
                <w:szCs w:val="21"/>
                <w:lang w:val="en-US" w:eastAsia="zh-CN"/>
              </w:rPr>
            </w:pPr>
            <w:r>
              <w:rPr>
                <w:rFonts w:hint="eastAsia"/>
                <w:sz w:val="21"/>
                <w:szCs w:val="21"/>
                <w:lang w:val="en-US" w:eastAsia="zh-CN"/>
              </w:rPr>
              <w:t>噪声</w:t>
            </w:r>
          </w:p>
        </w:tc>
        <w:tc>
          <w:tcPr>
            <w:tcW w:w="384" w:type="pct"/>
            <w:tcBorders>
              <w:top w:val="single" w:color="000000" w:sz="4" w:space="0"/>
              <w:left w:val="single" w:color="000000" w:sz="4" w:space="0"/>
              <w:bottom w:val="single" w:color="000000" w:sz="4" w:space="0"/>
              <w:right w:val="single" w:color="000000" w:sz="4" w:space="0"/>
            </w:tcBorders>
            <w:vAlign w:val="center"/>
          </w:tcPr>
          <w:p w14:paraId="3F774FD9">
            <w:pPr>
              <w:bidi w:val="0"/>
              <w:spacing w:line="240" w:lineRule="auto"/>
              <w:jc w:val="center"/>
              <w:rPr>
                <w:rFonts w:hint="eastAsia"/>
                <w:sz w:val="21"/>
                <w:szCs w:val="21"/>
                <w:lang w:val="en-US" w:eastAsia="zh-CN"/>
              </w:rPr>
            </w:pPr>
            <w:r>
              <w:rPr>
                <w:rFonts w:hint="eastAsia"/>
                <w:sz w:val="21"/>
                <w:szCs w:val="21"/>
                <w:lang w:val="en-US" w:eastAsia="zh-CN"/>
              </w:rPr>
              <w:t>LAeq</w:t>
            </w:r>
          </w:p>
        </w:tc>
        <w:tc>
          <w:tcPr>
            <w:tcW w:w="559" w:type="pct"/>
            <w:tcBorders>
              <w:top w:val="single" w:color="000000" w:sz="4" w:space="0"/>
              <w:left w:val="single" w:color="000000" w:sz="4" w:space="0"/>
              <w:bottom w:val="single" w:color="000000" w:sz="4" w:space="0"/>
              <w:right w:val="single" w:color="000000" w:sz="4" w:space="0"/>
            </w:tcBorders>
            <w:vAlign w:val="center"/>
          </w:tcPr>
          <w:p w14:paraId="533BEF4E">
            <w:pPr>
              <w:bidi w:val="0"/>
              <w:spacing w:line="240" w:lineRule="auto"/>
              <w:jc w:val="center"/>
              <w:rPr>
                <w:rFonts w:hint="eastAsia"/>
                <w:sz w:val="21"/>
                <w:szCs w:val="21"/>
                <w:lang w:val="en-US" w:eastAsia="zh-CN"/>
              </w:rPr>
            </w:pPr>
            <w:r>
              <w:rPr>
                <w:rFonts w:hint="eastAsia"/>
                <w:sz w:val="21"/>
                <w:szCs w:val="21"/>
                <w:lang w:val="en-US" w:eastAsia="zh-CN"/>
              </w:rPr>
              <w:t>基础减振、厂房隔声、消声等</w:t>
            </w:r>
          </w:p>
        </w:tc>
        <w:tc>
          <w:tcPr>
            <w:tcW w:w="1381" w:type="pct"/>
            <w:gridSpan w:val="3"/>
            <w:tcBorders>
              <w:top w:val="single" w:color="000000" w:sz="4" w:space="0"/>
              <w:left w:val="single" w:color="000000" w:sz="4" w:space="0"/>
              <w:bottom w:val="single" w:color="000000" w:sz="4" w:space="0"/>
              <w:right w:val="single" w:color="000000" w:sz="4" w:space="0"/>
            </w:tcBorders>
            <w:vAlign w:val="center"/>
          </w:tcPr>
          <w:p w14:paraId="370918C4">
            <w:pPr>
              <w:bidi w:val="0"/>
              <w:spacing w:line="240" w:lineRule="auto"/>
              <w:jc w:val="center"/>
              <w:rPr>
                <w:rFonts w:hint="eastAsia"/>
                <w:sz w:val="21"/>
                <w:szCs w:val="21"/>
                <w:lang w:val="en-US" w:eastAsia="zh-CN"/>
              </w:rPr>
            </w:pPr>
            <w:r>
              <w:rPr>
                <w:rFonts w:hint="eastAsia"/>
                <w:sz w:val="21"/>
                <w:szCs w:val="21"/>
                <w:lang w:val="en-US" w:eastAsia="zh-CN"/>
              </w:rPr>
              <w:t>厂界外1m</w:t>
            </w:r>
          </w:p>
        </w:tc>
        <w:tc>
          <w:tcPr>
            <w:tcW w:w="791" w:type="pct"/>
            <w:gridSpan w:val="2"/>
            <w:tcBorders>
              <w:top w:val="single" w:color="000000" w:sz="4" w:space="0"/>
              <w:left w:val="single" w:color="000000" w:sz="4" w:space="0"/>
              <w:bottom w:val="single" w:color="000000" w:sz="4" w:space="0"/>
              <w:right w:val="single" w:color="000000" w:sz="4" w:space="0"/>
            </w:tcBorders>
            <w:vAlign w:val="center"/>
          </w:tcPr>
          <w:p w14:paraId="6AB6B588">
            <w:pPr>
              <w:bidi w:val="0"/>
              <w:spacing w:line="240" w:lineRule="auto"/>
              <w:jc w:val="center"/>
              <w:rPr>
                <w:rFonts w:hint="eastAsia"/>
                <w:sz w:val="21"/>
                <w:szCs w:val="21"/>
                <w:lang w:val="en-US" w:eastAsia="zh-CN"/>
              </w:rPr>
            </w:pPr>
            <w:r>
              <w:rPr>
                <w:rFonts w:hint="eastAsia"/>
                <w:sz w:val="21"/>
                <w:szCs w:val="21"/>
                <w:lang w:val="en-US" w:eastAsia="zh-CN"/>
              </w:rPr>
              <w:t>昼间：65dB（A）</w:t>
            </w:r>
          </w:p>
          <w:p w14:paraId="5DF6FC7A">
            <w:pPr>
              <w:bidi w:val="0"/>
              <w:spacing w:line="240" w:lineRule="auto"/>
              <w:jc w:val="center"/>
              <w:rPr>
                <w:rFonts w:hint="eastAsia"/>
                <w:sz w:val="21"/>
                <w:szCs w:val="21"/>
                <w:lang w:val="en-US" w:eastAsia="zh-CN"/>
              </w:rPr>
            </w:pPr>
            <w:r>
              <w:rPr>
                <w:rFonts w:hint="eastAsia"/>
                <w:sz w:val="21"/>
                <w:szCs w:val="21"/>
                <w:lang w:val="en-US" w:eastAsia="zh-CN"/>
              </w:rPr>
              <w:t>夜间：55dB（A）</w:t>
            </w:r>
          </w:p>
        </w:tc>
        <w:tc>
          <w:tcPr>
            <w:tcW w:w="310" w:type="pct"/>
            <w:tcBorders>
              <w:top w:val="single" w:color="000000" w:sz="4" w:space="0"/>
              <w:left w:val="single" w:color="000000" w:sz="4" w:space="0"/>
              <w:bottom w:val="single" w:color="000000" w:sz="4" w:space="0"/>
              <w:right w:val="single" w:color="000000" w:sz="4" w:space="0"/>
            </w:tcBorders>
            <w:vAlign w:val="center"/>
          </w:tcPr>
          <w:p w14:paraId="7F88E5F3">
            <w:pPr>
              <w:bidi w:val="0"/>
              <w:spacing w:line="240" w:lineRule="auto"/>
              <w:jc w:val="center"/>
              <w:rPr>
                <w:rFonts w:hint="eastAsia"/>
                <w:sz w:val="21"/>
                <w:szCs w:val="21"/>
                <w:lang w:val="en-US" w:eastAsia="zh-CN"/>
              </w:rPr>
            </w:pPr>
            <w:r>
              <w:rPr>
                <w:rFonts w:hint="eastAsia"/>
                <w:sz w:val="21"/>
                <w:szCs w:val="21"/>
                <w:lang w:val="en-US" w:eastAsia="zh-CN"/>
              </w:rPr>
              <w:t>/</w:t>
            </w:r>
          </w:p>
        </w:tc>
        <w:tc>
          <w:tcPr>
            <w:tcW w:w="279" w:type="pct"/>
            <w:tcBorders>
              <w:top w:val="single" w:color="000000" w:sz="4" w:space="0"/>
              <w:left w:val="single" w:color="000000" w:sz="4" w:space="0"/>
              <w:bottom w:val="single" w:color="000000" w:sz="4" w:space="0"/>
              <w:right w:val="single" w:color="000000" w:sz="4" w:space="0"/>
            </w:tcBorders>
            <w:vAlign w:val="center"/>
          </w:tcPr>
          <w:p w14:paraId="5F829538">
            <w:pPr>
              <w:bidi w:val="0"/>
              <w:spacing w:line="240" w:lineRule="auto"/>
              <w:jc w:val="center"/>
              <w:rPr>
                <w:rFonts w:hint="eastAsia"/>
                <w:sz w:val="21"/>
                <w:szCs w:val="21"/>
                <w:lang w:val="en-US" w:eastAsia="zh-CN"/>
              </w:rPr>
            </w:pPr>
            <w:r>
              <w:rPr>
                <w:rFonts w:hint="eastAsia"/>
                <w:sz w:val="21"/>
                <w:szCs w:val="21"/>
                <w:lang w:val="en-US" w:eastAsia="zh-CN"/>
              </w:rPr>
              <w:t>/</w:t>
            </w:r>
          </w:p>
        </w:tc>
        <w:tc>
          <w:tcPr>
            <w:tcW w:w="265" w:type="pct"/>
            <w:tcBorders>
              <w:top w:val="single" w:color="000000" w:sz="4" w:space="0"/>
              <w:left w:val="single" w:color="000000" w:sz="4" w:space="0"/>
              <w:bottom w:val="single" w:color="000000" w:sz="4" w:space="0"/>
              <w:right w:val="single" w:color="000000" w:sz="4" w:space="0"/>
            </w:tcBorders>
            <w:vAlign w:val="center"/>
          </w:tcPr>
          <w:p w14:paraId="78A44204">
            <w:pPr>
              <w:bidi w:val="0"/>
              <w:spacing w:line="240" w:lineRule="auto"/>
              <w:jc w:val="center"/>
              <w:rPr>
                <w:rFonts w:hint="eastAsia"/>
                <w:sz w:val="21"/>
                <w:szCs w:val="21"/>
                <w:lang w:val="en-US" w:eastAsia="zh-CN"/>
              </w:rPr>
            </w:pPr>
            <w:r>
              <w:rPr>
                <w:rFonts w:hint="eastAsia"/>
                <w:sz w:val="21"/>
                <w:szCs w:val="21"/>
                <w:lang w:val="en-US" w:eastAsia="zh-CN"/>
              </w:rPr>
              <w:t>/</w:t>
            </w:r>
          </w:p>
        </w:tc>
        <w:tc>
          <w:tcPr>
            <w:tcW w:w="241" w:type="pct"/>
            <w:tcBorders>
              <w:top w:val="single" w:color="000000" w:sz="4" w:space="0"/>
              <w:left w:val="single" w:color="000000" w:sz="4" w:space="0"/>
              <w:bottom w:val="single" w:color="000000" w:sz="4" w:space="0"/>
              <w:right w:val="single" w:color="000000" w:sz="4" w:space="0"/>
            </w:tcBorders>
            <w:vAlign w:val="center"/>
          </w:tcPr>
          <w:p w14:paraId="35CCD65D">
            <w:pPr>
              <w:bidi w:val="0"/>
              <w:spacing w:line="240" w:lineRule="auto"/>
              <w:jc w:val="center"/>
              <w:rPr>
                <w:rFonts w:hint="eastAsia"/>
                <w:sz w:val="21"/>
                <w:szCs w:val="21"/>
                <w:lang w:val="en-US" w:eastAsia="zh-CN"/>
              </w:rPr>
            </w:pPr>
            <w:r>
              <w:rPr>
                <w:rFonts w:hint="eastAsia"/>
                <w:sz w:val="21"/>
                <w:szCs w:val="21"/>
                <w:lang w:val="en-US" w:eastAsia="zh-CN"/>
              </w:rPr>
              <w:t>/</w:t>
            </w:r>
          </w:p>
        </w:tc>
        <w:tc>
          <w:tcPr>
            <w:tcW w:w="309" w:type="pct"/>
            <w:tcBorders>
              <w:top w:val="single" w:color="000000" w:sz="4" w:space="0"/>
              <w:left w:val="single" w:color="000000" w:sz="4" w:space="0"/>
              <w:bottom w:val="single" w:color="000000" w:sz="4" w:space="0"/>
              <w:right w:val="single" w:color="000000" w:sz="4" w:space="0"/>
            </w:tcBorders>
            <w:vAlign w:val="center"/>
          </w:tcPr>
          <w:p w14:paraId="68BE8797">
            <w:pPr>
              <w:bidi w:val="0"/>
              <w:spacing w:line="240" w:lineRule="auto"/>
              <w:jc w:val="center"/>
              <w:rPr>
                <w:rFonts w:hint="eastAsia"/>
                <w:sz w:val="21"/>
                <w:szCs w:val="21"/>
                <w:lang w:val="en-US" w:eastAsia="zh-CN"/>
              </w:rPr>
            </w:pPr>
            <w:r>
              <w:rPr>
                <w:rFonts w:hint="eastAsia"/>
                <w:sz w:val="21"/>
                <w:szCs w:val="21"/>
                <w:lang w:val="en-US" w:eastAsia="zh-CN"/>
              </w:rPr>
              <w:t>/</w:t>
            </w:r>
          </w:p>
        </w:tc>
      </w:tr>
      <w:tr w14:paraId="7F014325">
        <w:tblPrEx>
          <w:tblCellMar>
            <w:top w:w="0" w:type="dxa"/>
            <w:left w:w="108" w:type="dxa"/>
            <w:bottom w:w="0" w:type="dxa"/>
            <w:right w:w="108" w:type="dxa"/>
          </w:tblCellMar>
        </w:tblPrEx>
        <w:trPr>
          <w:trHeight w:val="23" w:hRule="atLeast"/>
        </w:trPr>
        <w:tc>
          <w:tcPr>
            <w:tcW w:w="149" w:type="pct"/>
            <w:vMerge w:val="restart"/>
            <w:tcBorders>
              <w:top w:val="single" w:color="000000" w:sz="4" w:space="0"/>
              <w:left w:val="single" w:color="000000" w:sz="4" w:space="0"/>
              <w:bottom w:val="single" w:color="000000" w:sz="4" w:space="0"/>
              <w:right w:val="single" w:color="000000" w:sz="4" w:space="0"/>
            </w:tcBorders>
            <w:vAlign w:val="center"/>
          </w:tcPr>
          <w:p w14:paraId="4D4E9904">
            <w:pPr>
              <w:bidi w:val="0"/>
              <w:spacing w:line="240" w:lineRule="auto"/>
              <w:jc w:val="center"/>
              <w:rPr>
                <w:rFonts w:hint="eastAsia"/>
                <w:sz w:val="21"/>
                <w:szCs w:val="21"/>
                <w:lang w:val="en-US" w:eastAsia="zh-CN"/>
              </w:rPr>
            </w:pPr>
            <w:r>
              <w:rPr>
                <w:rFonts w:hint="eastAsia"/>
                <w:sz w:val="21"/>
                <w:szCs w:val="21"/>
                <w:lang w:val="en-US" w:eastAsia="zh-CN"/>
              </w:rPr>
              <w:t>固废</w:t>
            </w:r>
          </w:p>
        </w:tc>
        <w:tc>
          <w:tcPr>
            <w:tcW w:w="329" w:type="pct"/>
            <w:tcBorders>
              <w:top w:val="single" w:color="000000" w:sz="4" w:space="0"/>
              <w:left w:val="single" w:color="000000" w:sz="4" w:space="0"/>
              <w:bottom w:val="single" w:color="000000" w:sz="4" w:space="0"/>
              <w:right w:val="single" w:color="000000" w:sz="4" w:space="0"/>
            </w:tcBorders>
            <w:vAlign w:val="center"/>
          </w:tcPr>
          <w:p w14:paraId="44AF5C4E">
            <w:pPr>
              <w:bidi w:val="0"/>
              <w:spacing w:line="240" w:lineRule="auto"/>
              <w:jc w:val="center"/>
              <w:rPr>
                <w:rFonts w:hint="eastAsia"/>
                <w:sz w:val="21"/>
                <w:szCs w:val="21"/>
                <w:lang w:val="en-US" w:eastAsia="zh-CN"/>
              </w:rPr>
            </w:pPr>
            <w:r>
              <w:rPr>
                <w:rFonts w:hint="eastAsia"/>
                <w:sz w:val="21"/>
                <w:szCs w:val="21"/>
                <w:lang w:val="en-US" w:eastAsia="zh-CN"/>
              </w:rPr>
              <w:t>一般固废</w:t>
            </w:r>
          </w:p>
        </w:tc>
        <w:tc>
          <w:tcPr>
            <w:tcW w:w="384" w:type="pct"/>
            <w:tcBorders>
              <w:top w:val="single" w:color="000000" w:sz="4" w:space="0"/>
              <w:left w:val="single" w:color="000000" w:sz="4" w:space="0"/>
              <w:bottom w:val="single" w:color="000000" w:sz="4" w:space="0"/>
              <w:right w:val="single" w:color="000000" w:sz="4" w:space="0"/>
            </w:tcBorders>
            <w:vAlign w:val="center"/>
          </w:tcPr>
          <w:p w14:paraId="6ACE2D2D">
            <w:pPr>
              <w:bidi w:val="0"/>
              <w:spacing w:line="240" w:lineRule="auto"/>
              <w:jc w:val="center"/>
              <w:rPr>
                <w:rFonts w:hint="eastAsia"/>
                <w:sz w:val="21"/>
                <w:szCs w:val="21"/>
                <w:lang w:val="en-US" w:eastAsia="zh-CN"/>
              </w:rPr>
            </w:pPr>
            <w:r>
              <w:rPr>
                <w:rFonts w:hint="eastAsia"/>
                <w:sz w:val="21"/>
                <w:szCs w:val="21"/>
                <w:lang w:val="en-US" w:eastAsia="zh-CN"/>
              </w:rPr>
              <w:t>生活垃圾</w:t>
            </w:r>
          </w:p>
        </w:tc>
        <w:tc>
          <w:tcPr>
            <w:tcW w:w="4137" w:type="pct"/>
            <w:gridSpan w:val="11"/>
            <w:tcBorders>
              <w:top w:val="single" w:color="000000" w:sz="4" w:space="0"/>
              <w:left w:val="single" w:color="000000" w:sz="4" w:space="0"/>
              <w:bottom w:val="single" w:color="000000" w:sz="4" w:space="0"/>
              <w:right w:val="single" w:color="000000" w:sz="4" w:space="0"/>
            </w:tcBorders>
            <w:vAlign w:val="center"/>
          </w:tcPr>
          <w:p w14:paraId="17E3B0C4">
            <w:pPr>
              <w:bidi w:val="0"/>
              <w:spacing w:line="240" w:lineRule="auto"/>
              <w:jc w:val="center"/>
              <w:rPr>
                <w:rFonts w:hint="eastAsia"/>
                <w:sz w:val="21"/>
                <w:szCs w:val="21"/>
                <w:lang w:val="en-US" w:eastAsia="zh-CN"/>
              </w:rPr>
            </w:pPr>
            <w:r>
              <w:rPr>
                <w:rFonts w:hint="eastAsia"/>
                <w:sz w:val="21"/>
                <w:szCs w:val="21"/>
                <w:lang w:val="en-US" w:eastAsia="zh-CN"/>
              </w:rPr>
              <w:t>委托市政环卫部门清运、处置</w:t>
            </w:r>
          </w:p>
        </w:tc>
      </w:tr>
      <w:tr w14:paraId="51355064">
        <w:tblPrEx>
          <w:tblCellMar>
            <w:top w:w="0" w:type="dxa"/>
            <w:left w:w="108" w:type="dxa"/>
            <w:bottom w:w="0" w:type="dxa"/>
            <w:right w:w="108" w:type="dxa"/>
          </w:tblCellMar>
        </w:tblPrEx>
        <w:trPr>
          <w:trHeight w:val="23" w:hRule="atLeast"/>
        </w:trPr>
        <w:tc>
          <w:tcPr>
            <w:tcW w:w="149" w:type="pct"/>
            <w:vMerge w:val="continue"/>
            <w:tcBorders>
              <w:top w:val="single" w:color="000000" w:sz="4" w:space="0"/>
              <w:left w:val="single" w:color="000000" w:sz="4" w:space="0"/>
              <w:bottom w:val="single" w:color="000000" w:sz="4" w:space="0"/>
              <w:right w:val="single" w:color="000000" w:sz="4" w:space="0"/>
            </w:tcBorders>
            <w:vAlign w:val="center"/>
          </w:tcPr>
          <w:p w14:paraId="7F734ED2">
            <w:pPr>
              <w:bidi w:val="0"/>
              <w:spacing w:line="240" w:lineRule="auto"/>
              <w:jc w:val="center"/>
              <w:rPr>
                <w:rFonts w:hint="eastAsia"/>
                <w:sz w:val="21"/>
                <w:szCs w:val="21"/>
                <w:lang w:val="en-US" w:eastAsia="zh-CN"/>
              </w:rPr>
            </w:pPr>
          </w:p>
        </w:tc>
        <w:tc>
          <w:tcPr>
            <w:tcW w:w="329" w:type="pct"/>
            <w:tcBorders>
              <w:top w:val="single" w:color="000000" w:sz="4" w:space="0"/>
              <w:left w:val="single" w:color="000000" w:sz="4" w:space="0"/>
              <w:bottom w:val="single" w:color="000000" w:sz="4" w:space="0"/>
              <w:right w:val="single" w:color="000000" w:sz="4" w:space="0"/>
            </w:tcBorders>
            <w:vAlign w:val="center"/>
          </w:tcPr>
          <w:p w14:paraId="552D7122">
            <w:pPr>
              <w:bidi w:val="0"/>
              <w:spacing w:line="240" w:lineRule="auto"/>
              <w:jc w:val="center"/>
              <w:rPr>
                <w:rFonts w:hint="eastAsia"/>
                <w:sz w:val="21"/>
                <w:szCs w:val="21"/>
                <w:lang w:val="en-US" w:eastAsia="zh-CN"/>
              </w:rPr>
            </w:pPr>
            <w:r>
              <w:rPr>
                <w:rFonts w:hint="eastAsia"/>
                <w:sz w:val="21"/>
                <w:szCs w:val="21"/>
                <w:lang w:val="en-US" w:eastAsia="zh-CN"/>
              </w:rPr>
              <w:t>危险固废</w:t>
            </w:r>
          </w:p>
        </w:tc>
        <w:tc>
          <w:tcPr>
            <w:tcW w:w="384" w:type="pct"/>
            <w:tcBorders>
              <w:top w:val="single" w:color="000000" w:sz="4" w:space="0"/>
              <w:left w:val="single" w:color="000000" w:sz="4" w:space="0"/>
              <w:bottom w:val="single" w:color="000000" w:sz="4" w:space="0"/>
              <w:right w:val="single" w:color="000000" w:sz="4" w:space="0"/>
            </w:tcBorders>
            <w:vAlign w:val="center"/>
          </w:tcPr>
          <w:p w14:paraId="3BF37E05">
            <w:pPr>
              <w:bidi w:val="0"/>
              <w:spacing w:line="240" w:lineRule="auto"/>
              <w:jc w:val="center"/>
              <w:rPr>
                <w:rFonts w:hint="eastAsia"/>
                <w:sz w:val="21"/>
                <w:szCs w:val="21"/>
                <w:lang w:val="en-US" w:eastAsia="zh-CN"/>
              </w:rPr>
            </w:pPr>
            <w:r>
              <w:rPr>
                <w:rFonts w:hint="eastAsia"/>
                <w:sz w:val="21"/>
                <w:szCs w:val="21"/>
                <w:lang w:val="en-US" w:eastAsia="zh-CN"/>
              </w:rPr>
              <w:t>危险废物</w:t>
            </w:r>
          </w:p>
        </w:tc>
        <w:tc>
          <w:tcPr>
            <w:tcW w:w="4137" w:type="pct"/>
            <w:gridSpan w:val="11"/>
            <w:tcBorders>
              <w:top w:val="single" w:color="000000" w:sz="4" w:space="0"/>
              <w:left w:val="single" w:color="000000" w:sz="4" w:space="0"/>
              <w:bottom w:val="single" w:color="000000" w:sz="4" w:space="0"/>
              <w:right w:val="single" w:color="000000" w:sz="4" w:space="0"/>
            </w:tcBorders>
            <w:vAlign w:val="center"/>
          </w:tcPr>
          <w:p w14:paraId="6DCF2C07">
            <w:pPr>
              <w:bidi w:val="0"/>
              <w:spacing w:line="240" w:lineRule="auto"/>
              <w:jc w:val="center"/>
              <w:rPr>
                <w:rFonts w:hint="eastAsia"/>
                <w:sz w:val="21"/>
                <w:szCs w:val="21"/>
                <w:lang w:val="en-US" w:eastAsia="zh-CN"/>
              </w:rPr>
            </w:pPr>
            <w:r>
              <w:rPr>
                <w:rFonts w:hint="eastAsia"/>
                <w:sz w:val="21"/>
                <w:szCs w:val="21"/>
                <w:lang w:val="en-US" w:eastAsia="zh-CN"/>
              </w:rPr>
              <w:t>依托现有危废库暂存后定期委托有资质单位处理</w:t>
            </w:r>
          </w:p>
        </w:tc>
      </w:tr>
    </w:tbl>
    <w:p w14:paraId="4253687B">
      <w:pPr>
        <w:bidi w:val="0"/>
        <w:rPr>
          <w:rFonts w:hint="eastAsia"/>
          <w:lang w:val="en-US" w:eastAsia="zh-CN"/>
        </w:rPr>
        <w:sectPr>
          <w:pgSz w:w="16838" w:h="11905" w:orient="landscape"/>
          <w:pgMar w:top="1417" w:right="1417" w:bottom="1134" w:left="1134" w:header="851" w:footer="992" w:gutter="0"/>
          <w:pgNumType w:fmt="decimal"/>
          <w:cols w:space="0" w:num="1"/>
          <w:rtlGutter w:val="0"/>
          <w:docGrid w:type="lines" w:linePitch="346" w:charSpace="0"/>
        </w:sectPr>
      </w:pPr>
    </w:p>
    <w:p w14:paraId="7F37BE56">
      <w:pPr>
        <w:pStyle w:val="2"/>
        <w:bidi w:val="0"/>
        <w:rPr>
          <w:rFonts w:hint="eastAsia"/>
          <w:lang w:val="en-US" w:eastAsia="zh-CN"/>
        </w:rPr>
      </w:pPr>
      <w:bookmarkStart w:id="173" w:name="_Toc14784"/>
      <w:bookmarkStart w:id="174" w:name="_Toc5118"/>
      <w:bookmarkStart w:id="175" w:name="_Toc408"/>
      <w:bookmarkStart w:id="176" w:name="_Toc18654514"/>
      <w:bookmarkStart w:id="177" w:name="_Toc483465703"/>
      <w:r>
        <w:rPr>
          <w:rFonts w:hint="eastAsia"/>
          <w:lang w:val="en-US" w:eastAsia="zh-CN"/>
        </w:rPr>
        <w:t>9.5 排污许可证制度</w:t>
      </w:r>
      <w:bookmarkEnd w:id="173"/>
      <w:bookmarkEnd w:id="174"/>
      <w:bookmarkEnd w:id="175"/>
      <w:bookmarkEnd w:id="176"/>
      <w:bookmarkEnd w:id="177"/>
    </w:p>
    <w:p w14:paraId="3E56B9D4">
      <w:pPr>
        <w:bidi w:val="0"/>
        <w:ind w:firstLine="480" w:firstLineChars="200"/>
        <w:rPr>
          <w:rFonts w:hint="eastAsia"/>
          <w:lang w:val="en-US" w:eastAsia="zh-CN"/>
        </w:rPr>
      </w:pPr>
      <w:r>
        <w:rPr>
          <w:rFonts w:hint="eastAsia"/>
          <w:lang w:val="en-US" w:eastAsia="zh-CN"/>
        </w:rPr>
        <w:t>根据《国务院办公厅关于印发控制污染物排放许可制实施方案的通知》国发办[2016]81号文和《固定污染源排污许可证分类管理名录（2019年版）》。本项目预计2027年建成，企业必须在发生实际排污行为之前重新申请排污许可证。</w:t>
      </w:r>
    </w:p>
    <w:p w14:paraId="4C572FBC">
      <w:pPr>
        <w:pStyle w:val="2"/>
        <w:bidi w:val="0"/>
        <w:rPr>
          <w:rFonts w:hint="eastAsia"/>
          <w:lang w:val="en-US" w:eastAsia="zh-CN"/>
        </w:rPr>
      </w:pPr>
      <w:bookmarkStart w:id="178" w:name="_Toc26304031"/>
      <w:bookmarkStart w:id="179" w:name="_Toc26058"/>
      <w:bookmarkStart w:id="180" w:name="_Toc16139"/>
      <w:r>
        <w:rPr>
          <w:rFonts w:hint="eastAsia"/>
          <w:lang w:val="en-US" w:eastAsia="zh-CN"/>
        </w:rPr>
        <w:t>9.6 环境信息社会公开内容</w:t>
      </w:r>
      <w:bookmarkEnd w:id="178"/>
      <w:bookmarkEnd w:id="179"/>
      <w:bookmarkEnd w:id="180"/>
    </w:p>
    <w:p w14:paraId="6B9A00C1">
      <w:pPr>
        <w:bidi w:val="0"/>
        <w:ind w:firstLine="480" w:firstLineChars="200"/>
        <w:rPr>
          <w:rFonts w:hint="eastAsia"/>
          <w:lang w:val="en-US" w:eastAsia="zh-CN"/>
        </w:rPr>
      </w:pPr>
      <w:r>
        <w:rPr>
          <w:rFonts w:hint="eastAsia"/>
          <w:lang w:val="en-US" w:eastAsia="zh-CN"/>
        </w:rPr>
        <w:t>根据《企业事业单位环境信息公开办法》（环境保护部令第31号）规定，“企业事业单位应当按照强制公开和自愿公开相结合的原则，及时、如实地公开其环境信息”，其中重点排污单位属于环境信息强制公开单位，其他排污单位属于环境信息自愿公开单位。重点排污单位名录由设区的市级人民政府环境保护主管部门于每年3月底前通过政府网站、报刊、广播、电视等便于公众知晓的方式公布。</w:t>
      </w:r>
    </w:p>
    <w:p w14:paraId="4A59A634">
      <w:pPr>
        <w:bidi w:val="0"/>
        <w:rPr>
          <w:rFonts w:hint="eastAsia"/>
          <w:b/>
          <w:bCs/>
          <w:lang w:val="en-US" w:eastAsia="zh-CN"/>
        </w:rPr>
      </w:pPr>
      <w:r>
        <w:rPr>
          <w:rFonts w:hint="eastAsia"/>
          <w:b/>
          <w:bCs/>
          <w:lang w:val="en-US" w:eastAsia="zh-CN"/>
        </w:rPr>
        <w:t>9.6.1 环境信息公开内容</w:t>
      </w:r>
    </w:p>
    <w:p w14:paraId="208D9D6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重点排污单位应当公开下列信息：</w:t>
      </w:r>
    </w:p>
    <w:p w14:paraId="7D94E1E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（1）基础信息，包括单位名称、组织机构代码、法定代表人、生产地址、联系方式，以及生产经营和管理服务的主要内容、产品及规模；</w:t>
      </w:r>
    </w:p>
    <w:p w14:paraId="4B02B3C1">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（2）排污信息，包括主要污染物及特征污染物的名称、排放方式、排放口数量和分布情况、排放浓度和总量、超标情况，以及执行的污染物排放标准、核定的排放总量；</w:t>
      </w:r>
    </w:p>
    <w:p w14:paraId="7D579E3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（3）防治污染设施的建设和运行情况；</w:t>
      </w:r>
    </w:p>
    <w:p w14:paraId="0E4F1AFB">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（4）建设项目生态环境影响评价及其他环境保护行政许可情况；</w:t>
      </w:r>
    </w:p>
    <w:p w14:paraId="1E7BC5D8">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（5）突发环境事件应急预案；</w:t>
      </w:r>
    </w:p>
    <w:p w14:paraId="1EFC3FA9">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（6）其他应当公开的环境信息。</w:t>
      </w:r>
    </w:p>
    <w:p w14:paraId="6DD88CA8">
      <w:pPr>
        <w:bidi w:val="0"/>
        <w:rPr>
          <w:rFonts w:hint="eastAsia"/>
          <w:b/>
          <w:bCs/>
          <w:lang w:val="en-US" w:eastAsia="zh-CN"/>
        </w:rPr>
      </w:pPr>
      <w:r>
        <w:rPr>
          <w:rFonts w:hint="eastAsia"/>
          <w:b/>
          <w:bCs/>
          <w:lang w:val="en-US" w:eastAsia="zh-CN"/>
        </w:rPr>
        <w:t>9.6.2 环境信息公开方式</w:t>
      </w:r>
    </w:p>
    <w:p w14:paraId="39A86F7F">
      <w:pPr>
        <w:bidi w:val="0"/>
        <w:ind w:firstLine="480" w:firstLineChars="200"/>
        <w:rPr>
          <w:rFonts w:hint="eastAsia"/>
          <w:lang w:val="en-US" w:eastAsia="zh-CN"/>
        </w:rPr>
      </w:pPr>
      <w:r>
        <w:rPr>
          <w:rFonts w:hint="eastAsia"/>
          <w:lang w:val="en-US" w:eastAsia="zh-CN"/>
        </w:rPr>
        <w:t>重点排污单位应当通过其网站、企业事业单位环境信息公开平台或者当地报刊等便于公众知晓的方式公开环境信息，同时可以采取以下一种或者几种方式予以公开：</w:t>
      </w:r>
    </w:p>
    <w:p w14:paraId="52549C20">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（1）公告或者公开发行的信息专刊；</w:t>
      </w:r>
    </w:p>
    <w:p w14:paraId="1B9F9C3E">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（2）广播、电视等新闻媒体；</w:t>
      </w:r>
    </w:p>
    <w:p w14:paraId="100076A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（3）信息公开服务、监督热线电话；</w:t>
      </w:r>
    </w:p>
    <w:p w14:paraId="50C51272">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（4）本单位的资料索取点、信息公开栏、信息亭、电子屏幕、电子触摸屏等场所或者设施。</w:t>
      </w:r>
    </w:p>
    <w:p w14:paraId="099A4E3C">
      <w:pPr>
        <w:pStyle w:val="2"/>
        <w:bidi w:val="0"/>
        <w:rPr>
          <w:rFonts w:hint="eastAsia"/>
          <w:lang w:val="en-US" w:eastAsia="zh-CN"/>
        </w:rPr>
      </w:pPr>
      <w:bookmarkStart w:id="181" w:name="_Toc2845"/>
      <w:bookmarkStart w:id="182" w:name="_Toc2138"/>
      <w:r>
        <w:rPr>
          <w:rFonts w:hint="eastAsia"/>
          <w:lang w:val="en-US" w:eastAsia="zh-CN"/>
        </w:rPr>
        <w:t>9.7 总量控制</w:t>
      </w:r>
      <w:bookmarkEnd w:id="181"/>
      <w:bookmarkEnd w:id="182"/>
    </w:p>
    <w:p w14:paraId="60DE457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（1）废水</w:t>
      </w:r>
    </w:p>
    <w:p w14:paraId="23D4ACD6">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本项目废水预处理达到接管标准后，排入</w:t>
      </w:r>
      <w:r>
        <w:rPr>
          <w:spacing w:val="-3"/>
        </w:rPr>
        <w:t>合肥循环经济示范园第二污水处理厂</w:t>
      </w:r>
      <w:r>
        <w:rPr>
          <w:rFonts w:hint="eastAsia"/>
          <w:lang w:val="en-US" w:eastAsia="zh-CN"/>
        </w:rPr>
        <w:t>处理，</w:t>
      </w:r>
      <w:r>
        <w:rPr>
          <w:spacing w:val="-3"/>
        </w:rPr>
        <w:t>本项目产生的废水总量纳入合肥循环经济示范园第二污水处理厂范畴，因此无需申</w:t>
      </w:r>
      <w:r>
        <w:rPr>
          <w:spacing w:val="-2"/>
        </w:rPr>
        <w:t>请总量</w:t>
      </w:r>
      <w:r>
        <w:rPr>
          <w:rFonts w:hint="eastAsia"/>
          <w:lang w:val="en-US" w:eastAsia="zh-CN"/>
        </w:rPr>
        <w:t>。</w:t>
      </w:r>
    </w:p>
    <w:p w14:paraId="3DE963C3">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（2）废气</w:t>
      </w:r>
    </w:p>
    <w:p w14:paraId="4EE89C84">
      <w:pPr>
        <w:keepNext w:val="0"/>
        <w:keepLines w:val="0"/>
        <w:pageBreakBefore w:val="0"/>
        <w:widowControl/>
        <w:kinsoku/>
        <w:wordWrap/>
        <w:overflowPunct/>
        <w:topLinePunct w:val="0"/>
        <w:autoSpaceDE/>
        <w:autoSpaceDN/>
        <w:bidi w:val="0"/>
        <w:adjustRightInd/>
        <w:snapToGrid/>
        <w:ind w:firstLine="480" w:firstLineChars="200"/>
        <w:textAlignment w:val="auto"/>
        <w:rPr>
          <w:rFonts w:hint="eastAsia"/>
          <w:lang w:val="en-US" w:eastAsia="zh-CN"/>
        </w:rPr>
      </w:pPr>
      <w:r>
        <w:rPr>
          <w:rFonts w:hint="eastAsia"/>
          <w:lang w:val="en-US" w:eastAsia="zh-CN"/>
        </w:rPr>
        <w:t>本项目新增废气污染物总量情况见下表。</w:t>
      </w:r>
    </w:p>
    <w:p w14:paraId="333CE2EB">
      <w:pPr>
        <w:bidi w:val="0"/>
        <w:jc w:val="center"/>
        <w:rPr>
          <w:rFonts w:hint="eastAsia"/>
          <w:b/>
          <w:bCs/>
          <w:lang w:val="en-US" w:eastAsia="zh-CN"/>
        </w:rPr>
      </w:pPr>
      <w:r>
        <w:rPr>
          <w:rFonts w:hint="eastAsia"/>
          <w:b/>
          <w:bCs/>
          <w:lang w:val="en-US" w:eastAsia="zh-CN"/>
        </w:rPr>
        <w:t>表9.7.1-1  本次技改项目实施后大气污染物总量情况一览表</w:t>
      </w:r>
    </w:p>
    <w:tbl>
      <w:tblPr>
        <w:tblStyle w:val="17"/>
        <w:tblW w:w="499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3"/>
        <w:gridCol w:w="1632"/>
        <w:gridCol w:w="2770"/>
        <w:gridCol w:w="2768"/>
        <w:gridCol w:w="1706"/>
      </w:tblGrid>
      <w:tr w14:paraId="29680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357" w:type="pct"/>
            <w:vAlign w:val="center"/>
          </w:tcPr>
          <w:p w14:paraId="3A900795">
            <w:pPr>
              <w:bidi w:val="0"/>
              <w:spacing w:line="240" w:lineRule="auto"/>
              <w:jc w:val="center"/>
              <w:rPr>
                <w:rFonts w:hint="eastAsia"/>
                <w:b/>
                <w:bCs/>
                <w:sz w:val="21"/>
                <w:szCs w:val="21"/>
                <w:lang w:val="en-US" w:eastAsia="zh-CN"/>
              </w:rPr>
            </w:pPr>
            <w:r>
              <w:rPr>
                <w:rFonts w:hint="eastAsia"/>
                <w:b/>
                <w:bCs/>
                <w:sz w:val="21"/>
                <w:szCs w:val="21"/>
                <w:lang w:val="en-US" w:eastAsia="zh-CN"/>
              </w:rPr>
              <w:t>序号</w:t>
            </w:r>
          </w:p>
        </w:tc>
        <w:tc>
          <w:tcPr>
            <w:tcW w:w="853" w:type="pct"/>
            <w:vAlign w:val="center"/>
          </w:tcPr>
          <w:p w14:paraId="74D7340D">
            <w:pPr>
              <w:bidi w:val="0"/>
              <w:spacing w:line="240" w:lineRule="auto"/>
              <w:jc w:val="center"/>
              <w:rPr>
                <w:rFonts w:hint="eastAsia"/>
                <w:b/>
                <w:bCs/>
                <w:sz w:val="21"/>
                <w:szCs w:val="21"/>
                <w:lang w:val="en-US" w:eastAsia="zh-CN"/>
              </w:rPr>
            </w:pPr>
            <w:r>
              <w:rPr>
                <w:rFonts w:hint="eastAsia"/>
                <w:b/>
                <w:bCs/>
                <w:sz w:val="21"/>
                <w:szCs w:val="21"/>
                <w:lang w:val="en-US" w:eastAsia="zh-CN"/>
              </w:rPr>
              <w:t>污染物名称</w:t>
            </w:r>
          </w:p>
        </w:tc>
        <w:tc>
          <w:tcPr>
            <w:tcW w:w="1448" w:type="pct"/>
            <w:vAlign w:val="center"/>
          </w:tcPr>
          <w:p w14:paraId="11032281">
            <w:pPr>
              <w:bidi w:val="0"/>
              <w:spacing w:line="240" w:lineRule="auto"/>
              <w:jc w:val="center"/>
              <w:rPr>
                <w:rFonts w:hint="eastAsia"/>
                <w:b/>
                <w:bCs/>
                <w:sz w:val="21"/>
                <w:szCs w:val="21"/>
                <w:lang w:val="en-US" w:eastAsia="zh-CN"/>
              </w:rPr>
            </w:pPr>
            <w:r>
              <w:rPr>
                <w:rFonts w:hint="eastAsia"/>
                <w:b/>
                <w:bCs/>
                <w:sz w:val="21"/>
                <w:szCs w:val="21"/>
                <w:lang w:val="en-US" w:eastAsia="zh-CN"/>
              </w:rPr>
              <w:t>现有工程污染物排放总量控制指标*（t/a）</w:t>
            </w:r>
          </w:p>
        </w:tc>
        <w:tc>
          <w:tcPr>
            <w:tcW w:w="1447" w:type="pct"/>
            <w:vAlign w:val="center"/>
          </w:tcPr>
          <w:p w14:paraId="4FD23FB0">
            <w:pPr>
              <w:bidi w:val="0"/>
              <w:spacing w:line="240" w:lineRule="auto"/>
              <w:jc w:val="center"/>
              <w:rPr>
                <w:rFonts w:hint="default"/>
                <w:b/>
                <w:bCs/>
                <w:sz w:val="21"/>
                <w:szCs w:val="21"/>
                <w:lang w:val="en-US" w:eastAsia="zh-CN"/>
              </w:rPr>
            </w:pPr>
            <w:r>
              <w:rPr>
                <w:rFonts w:hint="eastAsia"/>
                <w:b/>
                <w:bCs/>
                <w:sz w:val="21"/>
                <w:szCs w:val="21"/>
                <w:lang w:val="en-US" w:eastAsia="zh-CN"/>
              </w:rPr>
              <w:t>本次技改项目完成后全厂污染物排放总量（t/a）</w:t>
            </w:r>
          </w:p>
        </w:tc>
        <w:tc>
          <w:tcPr>
            <w:tcW w:w="892" w:type="pct"/>
            <w:vAlign w:val="center"/>
          </w:tcPr>
          <w:p w14:paraId="3AD1B484">
            <w:pPr>
              <w:bidi w:val="0"/>
              <w:spacing w:line="240" w:lineRule="auto"/>
              <w:jc w:val="center"/>
              <w:rPr>
                <w:rFonts w:hint="eastAsia"/>
                <w:b/>
                <w:bCs/>
                <w:sz w:val="21"/>
                <w:szCs w:val="21"/>
                <w:lang w:val="en-US" w:eastAsia="zh-CN"/>
              </w:rPr>
            </w:pPr>
            <w:r>
              <w:rPr>
                <w:rFonts w:hint="eastAsia"/>
                <w:b/>
                <w:bCs/>
                <w:sz w:val="21"/>
                <w:szCs w:val="21"/>
                <w:lang w:val="en-US" w:eastAsia="zh-CN"/>
              </w:rPr>
              <w:t>排放增减量</w:t>
            </w:r>
          </w:p>
        </w:tc>
      </w:tr>
      <w:tr w14:paraId="5143C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357" w:type="pct"/>
            <w:vAlign w:val="center"/>
          </w:tcPr>
          <w:p w14:paraId="037D857E">
            <w:pPr>
              <w:bidi w:val="0"/>
              <w:spacing w:line="240" w:lineRule="auto"/>
              <w:jc w:val="center"/>
              <w:rPr>
                <w:rFonts w:hint="eastAsia"/>
                <w:sz w:val="21"/>
                <w:szCs w:val="21"/>
                <w:lang w:val="en-US" w:eastAsia="zh-CN"/>
              </w:rPr>
            </w:pPr>
            <w:r>
              <w:rPr>
                <w:rFonts w:hint="eastAsia"/>
                <w:sz w:val="21"/>
                <w:szCs w:val="21"/>
                <w:lang w:val="en-US" w:eastAsia="zh-CN"/>
              </w:rPr>
              <w:t>1</w:t>
            </w:r>
          </w:p>
        </w:tc>
        <w:tc>
          <w:tcPr>
            <w:tcW w:w="853" w:type="pct"/>
            <w:vAlign w:val="center"/>
          </w:tcPr>
          <w:p w14:paraId="6CCB29D7">
            <w:pPr>
              <w:bidi w:val="0"/>
              <w:spacing w:line="240" w:lineRule="auto"/>
              <w:jc w:val="center"/>
              <w:rPr>
                <w:rFonts w:hint="eastAsia"/>
                <w:sz w:val="21"/>
                <w:szCs w:val="21"/>
                <w:lang w:val="en-US" w:eastAsia="zh-CN"/>
              </w:rPr>
            </w:pPr>
            <w:r>
              <w:rPr>
                <w:rFonts w:hint="eastAsia"/>
                <w:sz w:val="21"/>
                <w:szCs w:val="21"/>
                <w:lang w:val="en-US" w:eastAsia="zh-CN"/>
              </w:rPr>
              <w:t>颗粒物</w:t>
            </w:r>
          </w:p>
        </w:tc>
        <w:tc>
          <w:tcPr>
            <w:tcW w:w="1448" w:type="pct"/>
            <w:vAlign w:val="center"/>
          </w:tcPr>
          <w:p w14:paraId="11774B03">
            <w:pPr>
              <w:bidi w:val="0"/>
              <w:spacing w:line="240" w:lineRule="auto"/>
              <w:jc w:val="center"/>
              <w:rPr>
                <w:rFonts w:hint="eastAsia"/>
                <w:sz w:val="21"/>
                <w:szCs w:val="21"/>
                <w:lang w:val="en-US" w:eastAsia="zh-CN"/>
              </w:rPr>
            </w:pPr>
            <w:r>
              <w:rPr>
                <w:rFonts w:hint="eastAsia"/>
                <w:sz w:val="21"/>
                <w:szCs w:val="21"/>
                <w:lang w:val="en-US" w:eastAsia="zh-CN"/>
              </w:rPr>
              <w:t>8.7772</w:t>
            </w:r>
          </w:p>
        </w:tc>
        <w:tc>
          <w:tcPr>
            <w:tcW w:w="1447" w:type="pct"/>
            <w:vAlign w:val="center"/>
          </w:tcPr>
          <w:p w14:paraId="45F9706F">
            <w:pPr>
              <w:bidi w:val="0"/>
              <w:spacing w:line="240" w:lineRule="auto"/>
              <w:jc w:val="center"/>
              <w:rPr>
                <w:rFonts w:hint="default"/>
                <w:sz w:val="21"/>
                <w:szCs w:val="21"/>
                <w:lang w:val="en-US" w:eastAsia="zh-CN"/>
              </w:rPr>
            </w:pPr>
            <w:r>
              <w:rPr>
                <w:rFonts w:hint="eastAsia"/>
                <w:sz w:val="21"/>
                <w:szCs w:val="21"/>
                <w:lang w:val="en-US" w:eastAsia="zh-CN"/>
              </w:rPr>
              <w:t>10.0962</w:t>
            </w:r>
          </w:p>
        </w:tc>
        <w:tc>
          <w:tcPr>
            <w:tcW w:w="892" w:type="pct"/>
            <w:vAlign w:val="center"/>
          </w:tcPr>
          <w:p w14:paraId="31676C25">
            <w:pPr>
              <w:bidi w:val="0"/>
              <w:spacing w:line="240" w:lineRule="auto"/>
              <w:jc w:val="center"/>
              <w:rPr>
                <w:rFonts w:hint="default"/>
                <w:sz w:val="21"/>
                <w:szCs w:val="21"/>
                <w:lang w:val="en-US" w:eastAsia="zh-CN"/>
              </w:rPr>
            </w:pPr>
            <w:r>
              <w:rPr>
                <w:rFonts w:hint="eastAsia"/>
                <w:sz w:val="21"/>
                <w:szCs w:val="21"/>
                <w:lang w:val="en-US" w:eastAsia="zh-CN"/>
              </w:rPr>
              <w:t>+1.319</w:t>
            </w:r>
          </w:p>
        </w:tc>
      </w:tr>
      <w:tr w14:paraId="709CE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357" w:type="pct"/>
            <w:vAlign w:val="center"/>
          </w:tcPr>
          <w:p w14:paraId="017AD111">
            <w:pPr>
              <w:bidi w:val="0"/>
              <w:spacing w:line="240" w:lineRule="auto"/>
              <w:jc w:val="center"/>
              <w:rPr>
                <w:rFonts w:hint="eastAsia"/>
                <w:sz w:val="21"/>
                <w:szCs w:val="21"/>
                <w:lang w:val="en-US" w:eastAsia="zh-CN"/>
              </w:rPr>
            </w:pPr>
            <w:r>
              <w:rPr>
                <w:rFonts w:hint="eastAsia"/>
                <w:sz w:val="21"/>
                <w:szCs w:val="21"/>
                <w:lang w:val="en-US" w:eastAsia="zh-CN"/>
              </w:rPr>
              <w:t>2</w:t>
            </w:r>
          </w:p>
        </w:tc>
        <w:tc>
          <w:tcPr>
            <w:tcW w:w="853" w:type="pct"/>
            <w:vAlign w:val="center"/>
          </w:tcPr>
          <w:p w14:paraId="58587440">
            <w:pPr>
              <w:bidi w:val="0"/>
              <w:spacing w:line="240" w:lineRule="auto"/>
              <w:jc w:val="center"/>
              <w:rPr>
                <w:rFonts w:hint="eastAsia"/>
                <w:sz w:val="21"/>
                <w:szCs w:val="21"/>
                <w:lang w:val="en-US" w:eastAsia="zh-CN"/>
              </w:rPr>
            </w:pPr>
            <w:r>
              <w:rPr>
                <w:rFonts w:hint="eastAsia"/>
                <w:sz w:val="21"/>
                <w:szCs w:val="21"/>
                <w:lang w:val="en-US" w:eastAsia="zh-CN"/>
              </w:rPr>
              <w:t>挥发性有机物</w:t>
            </w:r>
          </w:p>
        </w:tc>
        <w:tc>
          <w:tcPr>
            <w:tcW w:w="1448" w:type="pct"/>
            <w:vAlign w:val="center"/>
          </w:tcPr>
          <w:p w14:paraId="4B8D9EE9">
            <w:pPr>
              <w:bidi w:val="0"/>
              <w:spacing w:line="240" w:lineRule="auto"/>
              <w:jc w:val="center"/>
              <w:rPr>
                <w:rFonts w:hint="eastAsia"/>
                <w:sz w:val="21"/>
                <w:szCs w:val="21"/>
                <w:lang w:val="en-US" w:eastAsia="zh-CN"/>
              </w:rPr>
            </w:pPr>
            <w:r>
              <w:rPr>
                <w:rFonts w:hint="eastAsia"/>
                <w:sz w:val="21"/>
                <w:szCs w:val="21"/>
                <w:lang w:val="en-US" w:eastAsia="zh-CN"/>
              </w:rPr>
              <w:t>2.152</w:t>
            </w:r>
          </w:p>
        </w:tc>
        <w:tc>
          <w:tcPr>
            <w:tcW w:w="1447" w:type="pct"/>
            <w:vAlign w:val="center"/>
          </w:tcPr>
          <w:p w14:paraId="296A1649">
            <w:pPr>
              <w:bidi w:val="0"/>
              <w:spacing w:line="240" w:lineRule="auto"/>
              <w:jc w:val="center"/>
              <w:rPr>
                <w:rFonts w:hint="eastAsia"/>
                <w:sz w:val="21"/>
                <w:szCs w:val="21"/>
                <w:lang w:val="en-US" w:eastAsia="zh-CN"/>
              </w:rPr>
            </w:pPr>
            <w:r>
              <w:rPr>
                <w:rFonts w:hint="eastAsia" w:ascii="Times New Roman" w:hAnsi="Times New Roman" w:eastAsia="宋体" w:cs="Times New Roman"/>
                <w:color w:val="auto"/>
                <w:kern w:val="2"/>
                <w:sz w:val="21"/>
                <w:szCs w:val="21"/>
                <w:lang w:val="en-US" w:eastAsia="zh-CN" w:bidi="ar-SA"/>
              </w:rPr>
              <w:t>5.027</w:t>
            </w:r>
          </w:p>
        </w:tc>
        <w:tc>
          <w:tcPr>
            <w:tcW w:w="892" w:type="pct"/>
            <w:vAlign w:val="center"/>
          </w:tcPr>
          <w:p w14:paraId="2DB2A980">
            <w:pPr>
              <w:bidi w:val="0"/>
              <w:spacing w:line="240" w:lineRule="auto"/>
              <w:jc w:val="center"/>
              <w:rPr>
                <w:rFonts w:hint="eastAsia"/>
                <w:sz w:val="21"/>
                <w:szCs w:val="21"/>
                <w:lang w:val="en-US" w:eastAsia="zh-CN"/>
              </w:rPr>
            </w:pPr>
            <w:r>
              <w:rPr>
                <w:rFonts w:hint="eastAsia" w:ascii="Times New Roman" w:hAnsi="Times New Roman" w:eastAsia="宋体" w:cs="Times New Roman"/>
                <w:color w:val="auto"/>
                <w:kern w:val="2"/>
                <w:sz w:val="21"/>
                <w:szCs w:val="21"/>
                <w:lang w:val="en-US" w:eastAsia="zh-CN" w:bidi="ar-SA"/>
              </w:rPr>
              <w:t>+2.875</w:t>
            </w:r>
          </w:p>
        </w:tc>
      </w:tr>
    </w:tbl>
    <w:p w14:paraId="5C4FA90C">
      <w:pPr>
        <w:bidi w:val="0"/>
        <w:spacing w:line="240" w:lineRule="auto"/>
        <w:rPr>
          <w:rFonts w:hint="default"/>
          <w:lang w:val="en-US" w:eastAsia="zh-CN"/>
        </w:rPr>
      </w:pPr>
      <w:r>
        <w:rPr>
          <w:rFonts w:hint="eastAsia"/>
          <w:b/>
          <w:bCs/>
          <w:sz w:val="21"/>
          <w:szCs w:val="21"/>
          <w:lang w:val="en-US" w:eastAsia="zh-CN"/>
        </w:rPr>
        <w:t>*同期拟建项目“高效太阳能电池片213升级改造项目”、“高效太阳能电池片MAX改造项目”完成后。</w:t>
      </w:r>
    </w:p>
    <w:p w14:paraId="0DBDA65B">
      <w:pPr>
        <w:bidi w:val="0"/>
        <w:ind w:firstLine="480" w:firstLineChars="200"/>
        <w:rPr>
          <w:rFonts w:hint="default"/>
          <w:lang w:val="en-US" w:eastAsia="zh-CN"/>
        </w:rPr>
        <w:sectPr>
          <w:pgSz w:w="11905" w:h="16838"/>
          <w:pgMar w:top="1417" w:right="1134" w:bottom="1134" w:left="1417" w:header="851" w:footer="992" w:gutter="0"/>
          <w:pgNumType w:fmt="decimal"/>
          <w:cols w:space="0" w:num="1"/>
          <w:rtlGutter w:val="0"/>
          <w:docGrid w:type="lines" w:linePitch="346" w:charSpace="0"/>
        </w:sectPr>
      </w:pPr>
      <w:r>
        <w:rPr>
          <w:rFonts w:hint="eastAsia"/>
          <w:lang w:val="en-US" w:eastAsia="zh-CN"/>
        </w:rPr>
        <w:t>本次技改项目</w:t>
      </w:r>
      <w:r>
        <w:rPr>
          <w:spacing w:val="1"/>
        </w:rPr>
        <w:t>新增有组织排放颗粒物：</w:t>
      </w:r>
      <w:r>
        <w:rPr>
          <w:rFonts w:ascii="Times New Roman" w:hAnsi="Times New Roman" w:eastAsia="Times New Roman" w:cs="Times New Roman"/>
          <w:spacing w:val="1"/>
        </w:rPr>
        <w:t>1.</w:t>
      </w:r>
      <w:r>
        <w:rPr>
          <w:rFonts w:hint="eastAsia" w:ascii="Times New Roman" w:hAnsi="Times New Roman" w:eastAsia="宋体" w:cs="Times New Roman"/>
          <w:spacing w:val="1"/>
          <w:lang w:val="en-US" w:eastAsia="zh-CN"/>
        </w:rPr>
        <w:t>319</w:t>
      </w:r>
      <w:r>
        <w:rPr>
          <w:rFonts w:ascii="Times New Roman" w:hAnsi="Times New Roman" w:eastAsia="Times New Roman" w:cs="Times New Roman"/>
          <w:spacing w:val="1"/>
        </w:rPr>
        <w:t>t/a</w:t>
      </w:r>
      <w:r>
        <w:rPr>
          <w:spacing w:val="1"/>
        </w:rPr>
        <w:t>、</w:t>
      </w:r>
      <w:r>
        <w:rPr>
          <w:rFonts w:ascii="Times New Roman" w:hAnsi="Times New Roman" w:eastAsia="Times New Roman" w:cs="Times New Roman"/>
        </w:rPr>
        <w:t>VOCs</w:t>
      </w:r>
      <w:r>
        <w:rPr>
          <w:spacing w:val="1"/>
        </w:rPr>
        <w:t>：</w:t>
      </w:r>
      <w:r>
        <w:rPr>
          <w:rFonts w:hint="eastAsia" w:ascii="Times New Roman" w:hAnsi="Times New Roman" w:eastAsia="宋体" w:cs="Times New Roman"/>
          <w:spacing w:val="1"/>
          <w:lang w:val="en-US" w:eastAsia="zh-CN"/>
        </w:rPr>
        <w:t>2.875</w:t>
      </w:r>
      <w:r>
        <w:rPr>
          <w:rFonts w:ascii="Times New Roman" w:hAnsi="Times New Roman" w:eastAsia="Times New Roman" w:cs="Times New Roman"/>
        </w:rPr>
        <w:t>t/a</w:t>
      </w:r>
      <w:r>
        <w:t>；故新</w:t>
      </w:r>
      <w:r>
        <w:rPr>
          <w:spacing w:val="-2"/>
        </w:rPr>
        <w:t>申请总量控制指标</w:t>
      </w:r>
      <w:r>
        <w:rPr>
          <w:spacing w:val="1"/>
        </w:rPr>
        <w:t>颗粒物：</w:t>
      </w:r>
      <w:r>
        <w:rPr>
          <w:rFonts w:ascii="Times New Roman" w:hAnsi="Times New Roman" w:eastAsia="Times New Roman" w:cs="Times New Roman"/>
          <w:spacing w:val="1"/>
        </w:rPr>
        <w:t>1.</w:t>
      </w:r>
      <w:r>
        <w:rPr>
          <w:rFonts w:hint="eastAsia" w:ascii="Times New Roman" w:hAnsi="Times New Roman" w:eastAsia="宋体" w:cs="Times New Roman"/>
          <w:spacing w:val="1"/>
          <w:lang w:val="en-US" w:eastAsia="zh-CN"/>
        </w:rPr>
        <w:t>319</w:t>
      </w:r>
      <w:r>
        <w:rPr>
          <w:rFonts w:ascii="Times New Roman" w:hAnsi="Times New Roman" w:eastAsia="Times New Roman" w:cs="Times New Roman"/>
          <w:spacing w:val="1"/>
        </w:rPr>
        <w:t>t/a</w:t>
      </w:r>
      <w:r>
        <w:rPr>
          <w:spacing w:val="1"/>
        </w:rPr>
        <w:t>、</w:t>
      </w:r>
      <w:r>
        <w:rPr>
          <w:rFonts w:ascii="Times New Roman" w:hAnsi="Times New Roman" w:eastAsia="Times New Roman" w:cs="Times New Roman"/>
        </w:rPr>
        <w:t>VOCs</w:t>
      </w:r>
      <w:r>
        <w:rPr>
          <w:spacing w:val="1"/>
        </w:rPr>
        <w:t>：</w:t>
      </w:r>
      <w:r>
        <w:rPr>
          <w:rFonts w:hint="eastAsia" w:ascii="Times New Roman" w:hAnsi="Times New Roman" w:eastAsia="宋体" w:cs="Times New Roman"/>
          <w:spacing w:val="1"/>
          <w:lang w:val="en-US" w:eastAsia="zh-CN"/>
        </w:rPr>
        <w:t>2.875</w:t>
      </w:r>
      <w:r>
        <w:rPr>
          <w:rFonts w:ascii="Times New Roman" w:hAnsi="Times New Roman" w:eastAsia="Times New Roman" w:cs="Times New Roman"/>
        </w:rPr>
        <w:t>t/a</w:t>
      </w:r>
      <w:r>
        <w:rPr>
          <w:spacing w:val="-2"/>
        </w:rPr>
        <w:t>。</w:t>
      </w:r>
    </w:p>
    <w:p w14:paraId="600B874B">
      <w:pPr>
        <w:pStyle w:val="3"/>
        <w:bidi w:val="0"/>
        <w:jc w:val="center"/>
        <w:rPr>
          <w:rFonts w:hint="default"/>
          <w:lang w:val="en-US" w:eastAsia="zh-CN"/>
        </w:rPr>
      </w:pPr>
      <w:bookmarkStart w:id="183" w:name="_Toc22844"/>
      <w:r>
        <w:rPr>
          <w:rFonts w:hint="eastAsia"/>
          <w:lang w:val="en-US" w:eastAsia="zh-CN"/>
        </w:rPr>
        <w:t>第十章 生态环境影响评价结论</w:t>
      </w:r>
      <w:bookmarkEnd w:id="183"/>
    </w:p>
    <w:p w14:paraId="2C81CCBE">
      <w:pPr>
        <w:pStyle w:val="2"/>
        <w:bidi w:val="0"/>
        <w:rPr>
          <w:rFonts w:hint="default"/>
          <w:lang w:val="en-US" w:eastAsia="zh-CN"/>
        </w:rPr>
      </w:pPr>
      <w:bookmarkStart w:id="184" w:name="_Toc326604560"/>
      <w:bookmarkStart w:id="185" w:name="_Toc326605095"/>
      <w:bookmarkStart w:id="186" w:name="_Toc326606292"/>
      <w:bookmarkStart w:id="187" w:name="_Toc326606526"/>
      <w:bookmarkStart w:id="188" w:name="_Toc252347715"/>
      <w:bookmarkStart w:id="189" w:name="_Toc6476"/>
      <w:bookmarkStart w:id="190" w:name="_Toc31638"/>
      <w:r>
        <w:rPr>
          <w:rFonts w:hint="default"/>
          <w:lang w:val="en-US" w:eastAsia="zh-CN"/>
        </w:rPr>
        <w:t xml:space="preserve">10.1 </w:t>
      </w:r>
      <w:bookmarkEnd w:id="184"/>
      <w:bookmarkEnd w:id="185"/>
      <w:bookmarkEnd w:id="186"/>
      <w:bookmarkEnd w:id="187"/>
      <w:bookmarkEnd w:id="188"/>
      <w:r>
        <w:rPr>
          <w:rFonts w:hint="default"/>
          <w:lang w:val="en-US" w:eastAsia="zh-CN"/>
        </w:rPr>
        <w:t>项目概况</w:t>
      </w:r>
      <w:bookmarkEnd w:id="189"/>
      <w:bookmarkEnd w:id="190"/>
    </w:p>
    <w:p w14:paraId="0BD714A1">
      <w:pPr>
        <w:ind w:firstLine="480" w:firstLineChars="200"/>
      </w:pPr>
      <w:bookmarkStart w:id="191" w:name="_Toc326606294"/>
      <w:bookmarkStart w:id="192" w:name="_Toc326606528"/>
      <w:bookmarkStart w:id="193" w:name="_Toc326605097"/>
      <w:bookmarkStart w:id="194" w:name="_Toc252347717"/>
      <w:bookmarkStart w:id="195" w:name="_Toc326604562"/>
      <w:r>
        <w:t>安徽晶科能源有限公司拟在合肥循环经济示范园龙兴大道与乳泉路交口东北角安徽晶科能源有限公司厂区内</w:t>
      </w:r>
      <w:r>
        <w:rPr>
          <w:rFonts w:hint="eastAsia"/>
          <w:lang w:eastAsia="zh-CN"/>
        </w:rPr>
        <w:t>，</w:t>
      </w:r>
      <w:r>
        <w:t>投资</w:t>
      </w:r>
      <w:r>
        <w:rPr>
          <w:rFonts w:hint="eastAsia" w:cs="Times New Roman"/>
          <w:color w:val="auto"/>
          <w:lang w:val="en-US" w:eastAsia="zh-CN"/>
        </w:rPr>
        <w:t>38898.6</w:t>
      </w:r>
      <w:r>
        <w:rPr>
          <w:rFonts w:cs="Times New Roman"/>
          <w:color w:val="auto"/>
        </w:rPr>
        <w:t>万元</w:t>
      </w:r>
      <w:r>
        <w:t>建设</w:t>
      </w:r>
      <w:r>
        <w:rPr>
          <w:rFonts w:hint="eastAsia"/>
          <w:lang w:val="en-US" w:eastAsia="zh-CN"/>
        </w:rPr>
        <w:t>高效太阳能电池片FP提效改造一期</w:t>
      </w:r>
      <w:r>
        <w:t>项目</w:t>
      </w:r>
      <w:r>
        <w:rPr>
          <w:rFonts w:hint="eastAsia"/>
          <w:lang w:eastAsia="zh-CN"/>
        </w:rPr>
        <w:t>。</w:t>
      </w:r>
      <w:r>
        <w:rPr>
          <w:rFonts w:hint="eastAsia" w:cs="Times New Roman"/>
          <w:color w:val="auto"/>
          <w:lang w:val="en-US" w:eastAsia="zh-CN"/>
        </w:rPr>
        <w:t>在电池车间1和电池车间2之间建设廊道，用于两个车间材料、产品的运输；同时在同期拟建“高效太阳能电池片213升级改造项目”和“高效太阳能电池片MAX改造项目”完成的基础上对电池车间1</w:t>
      </w:r>
      <w:r>
        <w:rPr>
          <w:rFonts w:hint="eastAsia" w:cs="Times New Roman"/>
          <w:color w:val="auto"/>
        </w:rPr>
        <w:t>电池片生产线</w:t>
      </w:r>
      <w:r>
        <w:rPr>
          <w:rFonts w:hint="eastAsia" w:cs="Times New Roman"/>
          <w:color w:val="auto"/>
          <w:lang w:val="en-US" w:eastAsia="zh-CN"/>
        </w:rPr>
        <w:t>进行改造</w:t>
      </w:r>
      <w:r>
        <w:rPr>
          <w:rFonts w:hint="eastAsia" w:cs="Times New Roman"/>
          <w:color w:val="auto"/>
        </w:rPr>
        <w:t>，</w:t>
      </w:r>
      <w:r>
        <w:rPr>
          <w:rFonts w:hint="eastAsia" w:cs="Times New Roman"/>
          <w:color w:val="auto"/>
          <w:lang w:val="en-US" w:eastAsia="zh-CN"/>
        </w:rPr>
        <w:t>改造现有丝网印刷、烧结设备</w:t>
      </w:r>
      <w:r>
        <w:rPr>
          <w:rFonts w:hint="eastAsia" w:cs="Times New Roman"/>
          <w:color w:val="auto"/>
        </w:rPr>
        <w:t>，新增</w:t>
      </w:r>
      <w:r>
        <w:rPr>
          <w:rFonts w:hint="eastAsia" w:cs="Times New Roman"/>
          <w:color w:val="auto"/>
          <w:lang w:val="en-US" w:eastAsia="zh-CN"/>
        </w:rPr>
        <w:t>ME（激光开模）、AC（银包铜印刷、固化）、激光划片、四分片钝化工艺，同时为四分片钝化配套铝舟及周托清洗设备</w:t>
      </w:r>
      <w:r>
        <w:rPr>
          <w:rFonts w:hint="eastAsia" w:cs="Times New Roman"/>
          <w:color w:val="auto"/>
          <w:lang w:eastAsia="zh-CN"/>
        </w:rPr>
        <w:t>。</w:t>
      </w:r>
      <w:r>
        <w:rPr>
          <w:rFonts w:hint="eastAsia" w:cs="Times New Roman"/>
          <w:color w:val="auto"/>
        </w:rPr>
        <w:t>本次</w:t>
      </w:r>
      <w:r>
        <w:rPr>
          <w:rFonts w:hint="eastAsia" w:cs="Times New Roman"/>
          <w:color w:val="auto"/>
          <w:lang w:val="en-US" w:eastAsia="zh-CN"/>
        </w:rPr>
        <w:t>技改</w:t>
      </w:r>
      <w:r>
        <w:rPr>
          <w:rFonts w:cs="Times New Roman"/>
          <w:color w:val="auto"/>
        </w:rPr>
        <w:t>项目</w:t>
      </w:r>
      <w:r>
        <w:rPr>
          <w:rFonts w:hint="eastAsia" w:cs="Times New Roman"/>
          <w:color w:val="auto"/>
        </w:rPr>
        <w:t>优化了相关技术，</w:t>
      </w:r>
      <w:r>
        <w:rPr>
          <w:rFonts w:hint="eastAsia" w:cs="Times New Roman"/>
          <w:color w:val="auto"/>
          <w:lang w:val="en-US" w:eastAsia="zh-CN"/>
        </w:rPr>
        <w:t>能够有效地降低产品的接触电阻并提高导电性，将电池车间1</w:t>
      </w:r>
      <w:r>
        <w:rPr>
          <w:rFonts w:hint="eastAsia" w:cs="Times New Roman"/>
          <w:color w:val="auto"/>
        </w:rPr>
        <w:t>电池片</w:t>
      </w:r>
      <w:r>
        <w:rPr>
          <w:rFonts w:hint="eastAsia" w:cs="Times New Roman"/>
          <w:color w:val="auto"/>
          <w:lang w:val="en-US" w:eastAsia="zh-CN"/>
        </w:rPr>
        <w:t>产品光电转换效率提升至26%。项目不新增产能，建成后全厂维持年产新型太阳能高效电池片17.589GW的生产能力不变</w:t>
      </w:r>
      <w:r>
        <w:t>。</w:t>
      </w:r>
    </w:p>
    <w:p w14:paraId="4D06AAA1">
      <w:pPr>
        <w:ind w:firstLine="480" w:firstLineChars="200"/>
        <w:rPr>
          <w:rFonts w:hint="default"/>
          <w:lang w:val="en-US" w:eastAsia="zh-CN"/>
        </w:rPr>
      </w:pPr>
      <w:r>
        <w:t>项目于</w:t>
      </w:r>
      <w:r>
        <w:rPr>
          <w:rFonts w:hint="eastAsia"/>
          <w:lang w:val="en-US" w:eastAsia="zh-CN"/>
        </w:rPr>
        <w:t>2025</w:t>
      </w:r>
      <w:r>
        <w:t>年</w:t>
      </w:r>
      <w:r>
        <w:rPr>
          <w:rFonts w:hint="eastAsia"/>
          <w:lang w:val="en-US" w:eastAsia="zh-CN"/>
        </w:rPr>
        <w:t>12</w:t>
      </w:r>
      <w:r>
        <w:t>月</w:t>
      </w:r>
      <w:r>
        <w:rPr>
          <w:rFonts w:hint="eastAsia"/>
          <w:lang w:val="en-US" w:eastAsia="zh-CN"/>
        </w:rPr>
        <w:t>12</w:t>
      </w:r>
      <w:r>
        <w:t>日取得肥东县经济和信息化局备案，</w:t>
      </w:r>
      <w:r>
        <w:rPr>
          <w:rFonts w:hint="eastAsia"/>
          <w:lang w:val="en-US" w:eastAsia="zh-CN"/>
        </w:rPr>
        <w:t>项目代码：2512-340122-07-02-886230，</w:t>
      </w:r>
      <w:r>
        <w:t>属于《国民经济行业分类》（GB/T4754-2017）中</w:t>
      </w:r>
      <w:r>
        <w:rPr>
          <w:rFonts w:hint="eastAsia"/>
          <w:lang w:eastAsia="zh-CN"/>
        </w:rPr>
        <w:t>“</w:t>
      </w:r>
      <w:r>
        <w:t>光伏设备及元器件制造 C3825</w:t>
      </w:r>
      <w:r>
        <w:rPr>
          <w:rFonts w:hint="eastAsia"/>
          <w:lang w:eastAsia="zh-CN"/>
        </w:rPr>
        <w:t>”</w:t>
      </w:r>
      <w:r>
        <w:t>。</w:t>
      </w:r>
    </w:p>
    <w:bookmarkEnd w:id="191"/>
    <w:bookmarkEnd w:id="192"/>
    <w:bookmarkEnd w:id="193"/>
    <w:bookmarkEnd w:id="194"/>
    <w:bookmarkEnd w:id="195"/>
    <w:p w14:paraId="6DE46E0D">
      <w:pPr>
        <w:pStyle w:val="2"/>
        <w:bidi w:val="0"/>
        <w:rPr>
          <w:rFonts w:hint="default"/>
          <w:lang w:val="en-US" w:eastAsia="zh-CN"/>
        </w:rPr>
      </w:pPr>
      <w:bookmarkStart w:id="196" w:name="_Toc326604567"/>
      <w:bookmarkStart w:id="197" w:name="_Toc326606299"/>
      <w:bookmarkStart w:id="198" w:name="_Toc252347718"/>
      <w:bookmarkStart w:id="199" w:name="_Toc326605102"/>
      <w:bookmarkStart w:id="200" w:name="_Toc17210"/>
      <w:bookmarkStart w:id="201" w:name="_Toc326606529"/>
      <w:bookmarkStart w:id="202" w:name="_Toc26820"/>
      <w:r>
        <w:rPr>
          <w:rFonts w:hint="default"/>
          <w:lang w:val="en-US" w:eastAsia="zh-CN"/>
        </w:rPr>
        <w:t>10.2 环境质量现状</w:t>
      </w:r>
      <w:bookmarkEnd w:id="196"/>
      <w:bookmarkEnd w:id="197"/>
      <w:bookmarkEnd w:id="198"/>
      <w:bookmarkEnd w:id="199"/>
      <w:bookmarkEnd w:id="200"/>
      <w:bookmarkEnd w:id="201"/>
      <w:bookmarkEnd w:id="202"/>
    </w:p>
    <w:p w14:paraId="4E4E77D4">
      <w:pPr>
        <w:bidi w:val="0"/>
        <w:rPr>
          <w:rFonts w:hint="default"/>
          <w:b/>
          <w:bCs/>
          <w:lang w:val="en-US" w:eastAsia="zh-CN"/>
        </w:rPr>
      </w:pPr>
      <w:bookmarkStart w:id="203" w:name="_Toc326604568"/>
      <w:bookmarkStart w:id="204" w:name="_Toc326606300"/>
      <w:bookmarkStart w:id="205" w:name="_Toc327774759"/>
      <w:bookmarkStart w:id="206" w:name="_Toc329596501"/>
      <w:bookmarkStart w:id="207" w:name="_Toc326842026"/>
      <w:bookmarkStart w:id="208" w:name="_Toc326605103"/>
      <w:r>
        <w:rPr>
          <w:rFonts w:hint="default"/>
          <w:b/>
          <w:bCs/>
          <w:lang w:val="en-US" w:eastAsia="zh-CN"/>
        </w:rPr>
        <w:t>10.2.1 大气环境</w:t>
      </w:r>
      <w:bookmarkEnd w:id="203"/>
      <w:bookmarkEnd w:id="204"/>
      <w:bookmarkEnd w:id="205"/>
      <w:bookmarkEnd w:id="206"/>
      <w:bookmarkEnd w:id="207"/>
      <w:bookmarkEnd w:id="208"/>
    </w:p>
    <w:p w14:paraId="3B93F191">
      <w:pPr>
        <w:bidi w:val="0"/>
        <w:ind w:firstLine="480" w:firstLineChars="200"/>
        <w:rPr>
          <w:rFonts w:hint="default"/>
          <w:lang w:val="en-US" w:eastAsia="zh-CN"/>
        </w:rPr>
      </w:pPr>
      <w:r>
        <w:rPr>
          <w:rFonts w:hint="default"/>
          <w:lang w:val="en-US" w:eastAsia="zh-CN"/>
        </w:rPr>
        <w:t>根据202</w:t>
      </w:r>
      <w:r>
        <w:rPr>
          <w:rFonts w:hint="eastAsia"/>
          <w:lang w:val="en-US" w:eastAsia="zh-CN"/>
        </w:rPr>
        <w:t>5</w:t>
      </w:r>
      <w:r>
        <w:rPr>
          <w:rFonts w:hint="default"/>
          <w:lang w:val="en-US" w:eastAsia="zh-CN"/>
        </w:rPr>
        <w:t>年</w:t>
      </w:r>
      <w:r>
        <w:rPr>
          <w:rFonts w:hint="eastAsia"/>
          <w:lang w:val="en-US" w:eastAsia="zh-CN"/>
        </w:rPr>
        <w:t>合肥</w:t>
      </w:r>
      <w:r>
        <w:rPr>
          <w:rFonts w:hint="default"/>
          <w:lang w:val="en-US" w:eastAsia="zh-CN"/>
        </w:rPr>
        <w:t>市生态环境状况公报，项目所在区域</w:t>
      </w:r>
      <w:r>
        <w:rPr>
          <w:rFonts w:hint="eastAsia"/>
          <w:lang w:val="en-US" w:eastAsia="zh-CN"/>
        </w:rPr>
        <w:t>合肥</w:t>
      </w:r>
      <w:r>
        <w:rPr>
          <w:rFonts w:hint="default"/>
          <w:lang w:val="en-US" w:eastAsia="zh-CN"/>
        </w:rPr>
        <w:t>市属于环境空气质量不达标区。根据补充监测结果，项目区域环境空气TSP质量浓度满足《环境空气质量标准》（GB3095-2026）中二级标准；非甲烷总烃质量浓度满足《大气污染物综合排放标准详解》中推荐值。</w:t>
      </w:r>
    </w:p>
    <w:p w14:paraId="77A5552C">
      <w:pPr>
        <w:bidi w:val="0"/>
        <w:rPr>
          <w:rFonts w:hint="default"/>
          <w:b/>
          <w:bCs/>
          <w:lang w:val="en-US" w:eastAsia="zh-CN"/>
        </w:rPr>
      </w:pPr>
      <w:bookmarkStart w:id="209" w:name="_Toc326842027"/>
      <w:bookmarkStart w:id="210" w:name="_Toc327774760"/>
      <w:bookmarkStart w:id="211" w:name="_Toc326605104"/>
      <w:bookmarkStart w:id="212" w:name="_Toc326606301"/>
      <w:bookmarkStart w:id="213" w:name="_Toc326604569"/>
      <w:bookmarkStart w:id="214" w:name="_Toc329596502"/>
      <w:r>
        <w:rPr>
          <w:rFonts w:hint="default"/>
          <w:b/>
          <w:bCs/>
          <w:lang w:val="en-US" w:eastAsia="zh-CN"/>
        </w:rPr>
        <w:t>10.2.2 水环境</w:t>
      </w:r>
      <w:bookmarkEnd w:id="209"/>
      <w:bookmarkEnd w:id="210"/>
      <w:bookmarkEnd w:id="211"/>
      <w:bookmarkEnd w:id="212"/>
      <w:bookmarkEnd w:id="213"/>
      <w:bookmarkEnd w:id="214"/>
    </w:p>
    <w:p w14:paraId="41F3AEFF">
      <w:pPr>
        <w:bidi w:val="0"/>
        <w:ind w:firstLine="480" w:firstLineChars="200"/>
        <w:rPr>
          <w:rFonts w:hint="default"/>
          <w:lang w:val="en-US" w:eastAsia="zh-CN"/>
        </w:rPr>
      </w:pPr>
      <w:bookmarkStart w:id="215" w:name="_Toc326842028"/>
      <w:bookmarkStart w:id="216" w:name="_Toc327774761"/>
      <w:bookmarkStart w:id="217" w:name="_Toc326604570"/>
      <w:bookmarkStart w:id="218" w:name="_Toc329596503"/>
      <w:bookmarkStart w:id="219" w:name="_Toc326606302"/>
      <w:bookmarkStart w:id="220" w:name="_Toc326605105"/>
      <w:r>
        <w:rPr>
          <w:rFonts w:hint="default"/>
          <w:lang w:val="en-US" w:eastAsia="zh-CN"/>
        </w:rPr>
        <w:t>根据引用监测结果，项目区域地表水体店埠河</w:t>
      </w:r>
      <w:r>
        <w:rPr>
          <w:rFonts w:hint="eastAsia"/>
          <w:lang w:val="en-US" w:eastAsia="zh-CN"/>
        </w:rPr>
        <w:t>、南淝河</w:t>
      </w:r>
      <w:r>
        <w:rPr>
          <w:rFonts w:hint="default"/>
          <w:lang w:val="en-US" w:eastAsia="zh-CN"/>
        </w:rPr>
        <w:t>各监测断面各监测因子均能满足《地表水环境质量标准》（GB3838-2002）中Ⅳ类水质标准要求。</w:t>
      </w:r>
    </w:p>
    <w:p w14:paraId="6EAA5EB9">
      <w:pPr>
        <w:bidi w:val="0"/>
        <w:rPr>
          <w:rFonts w:hint="default"/>
          <w:b/>
          <w:bCs/>
          <w:lang w:val="en-US" w:eastAsia="zh-CN"/>
        </w:rPr>
      </w:pPr>
      <w:r>
        <w:rPr>
          <w:rFonts w:hint="default"/>
          <w:b/>
          <w:bCs/>
          <w:lang w:val="en-US" w:eastAsia="zh-CN"/>
        </w:rPr>
        <w:t>10.2.3 声环境</w:t>
      </w:r>
      <w:bookmarkEnd w:id="215"/>
      <w:bookmarkEnd w:id="216"/>
      <w:bookmarkEnd w:id="217"/>
      <w:bookmarkEnd w:id="218"/>
      <w:bookmarkEnd w:id="219"/>
      <w:bookmarkEnd w:id="220"/>
    </w:p>
    <w:p w14:paraId="32DC7A06">
      <w:pPr>
        <w:bidi w:val="0"/>
        <w:ind w:firstLine="480" w:firstLineChars="200"/>
        <w:rPr>
          <w:rFonts w:hint="default"/>
          <w:lang w:val="en-US" w:eastAsia="zh-CN"/>
        </w:rPr>
      </w:pPr>
      <w:r>
        <w:rPr>
          <w:rFonts w:hint="default"/>
          <w:lang w:val="en-US" w:eastAsia="zh-CN"/>
        </w:rPr>
        <w:t>根据监测结果，项目区各厂界声环境质量均满足《声环境质量标准》</w:t>
      </w:r>
      <w:r>
        <w:rPr>
          <w:rFonts w:hint="eastAsia"/>
          <w:lang w:val="en-US" w:eastAsia="zh-CN"/>
        </w:rPr>
        <w:t>（</w:t>
      </w:r>
      <w:r>
        <w:rPr>
          <w:rFonts w:hint="default"/>
          <w:lang w:val="en-US" w:eastAsia="zh-CN"/>
        </w:rPr>
        <w:t>GB3096-2008</w:t>
      </w:r>
      <w:r>
        <w:rPr>
          <w:rFonts w:hint="eastAsia"/>
          <w:lang w:val="en-US" w:eastAsia="zh-CN"/>
        </w:rPr>
        <w:t>）</w:t>
      </w:r>
      <w:r>
        <w:rPr>
          <w:rFonts w:hint="default"/>
          <w:lang w:val="en-US" w:eastAsia="zh-CN"/>
        </w:rPr>
        <w:t>中3类区标准，区域声环境质量现状较好。</w:t>
      </w:r>
    </w:p>
    <w:p w14:paraId="058E7D6E">
      <w:pPr>
        <w:bidi w:val="0"/>
        <w:rPr>
          <w:rFonts w:hint="default"/>
          <w:b/>
          <w:bCs/>
          <w:lang w:val="en-US" w:eastAsia="zh-CN"/>
        </w:rPr>
      </w:pPr>
      <w:r>
        <w:rPr>
          <w:rFonts w:hint="default"/>
          <w:b/>
          <w:bCs/>
          <w:lang w:val="en-US" w:eastAsia="zh-CN"/>
        </w:rPr>
        <w:t>10.2.4 地下水环境</w:t>
      </w:r>
    </w:p>
    <w:p w14:paraId="315327D8">
      <w:pPr>
        <w:bidi w:val="0"/>
        <w:ind w:firstLine="480" w:firstLineChars="200"/>
        <w:rPr>
          <w:rFonts w:hint="default"/>
          <w:lang w:val="en-US" w:eastAsia="zh-CN"/>
        </w:rPr>
      </w:pPr>
      <w:r>
        <w:rPr>
          <w:rFonts w:hint="default"/>
          <w:lang w:val="en-US" w:eastAsia="zh-CN"/>
        </w:rPr>
        <w:t>根据监测结果，地下水监测点位各监测因子均满足《地下水质量标准》（GB/T14848-2017）Ⅲ类标准的要求。</w:t>
      </w:r>
    </w:p>
    <w:p w14:paraId="612E7F13">
      <w:pPr>
        <w:bidi w:val="0"/>
        <w:rPr>
          <w:rFonts w:hint="default"/>
          <w:b/>
          <w:bCs/>
          <w:lang w:val="en-US" w:eastAsia="zh-CN"/>
        </w:rPr>
      </w:pPr>
      <w:r>
        <w:rPr>
          <w:rFonts w:hint="default"/>
          <w:b/>
          <w:bCs/>
          <w:lang w:val="en-US" w:eastAsia="zh-CN"/>
        </w:rPr>
        <w:t>10.2.5 土壤环境</w:t>
      </w:r>
    </w:p>
    <w:p w14:paraId="74FD54B8">
      <w:pPr>
        <w:bidi w:val="0"/>
        <w:ind w:firstLine="480" w:firstLineChars="200"/>
        <w:rPr>
          <w:rFonts w:hint="default"/>
          <w:lang w:val="en-US" w:eastAsia="zh-CN"/>
        </w:rPr>
      </w:pPr>
      <w:r>
        <w:rPr>
          <w:rFonts w:hint="default"/>
          <w:lang w:val="en-US" w:eastAsia="zh-CN"/>
        </w:rPr>
        <w:t>根据监测结果，项目区域土壤各监测点位各监测因子均能够满足《土壤环境质量 建设用地土壤污染风险管控标准》(GB36600-2018)第二类用地筛选值要求。</w:t>
      </w:r>
    </w:p>
    <w:p w14:paraId="0555C823">
      <w:pPr>
        <w:pStyle w:val="2"/>
        <w:bidi w:val="0"/>
        <w:rPr>
          <w:rFonts w:hint="default"/>
          <w:lang w:val="en-US" w:eastAsia="zh-CN"/>
        </w:rPr>
      </w:pPr>
      <w:bookmarkStart w:id="221" w:name="_Toc22314"/>
      <w:bookmarkStart w:id="222" w:name="_Toc24212"/>
      <w:r>
        <w:rPr>
          <w:rFonts w:hint="default"/>
          <w:lang w:val="en-US" w:eastAsia="zh-CN"/>
        </w:rPr>
        <w:t>10.3 污染物处理措施及排放情况</w:t>
      </w:r>
      <w:bookmarkEnd w:id="221"/>
      <w:bookmarkEnd w:id="222"/>
    </w:p>
    <w:p w14:paraId="57605EF9">
      <w:pPr>
        <w:bidi w:val="0"/>
        <w:ind w:firstLine="480" w:firstLineChars="200"/>
        <w:rPr>
          <w:rFonts w:hint="default"/>
          <w:lang w:val="en-US" w:eastAsia="zh-CN"/>
        </w:rPr>
      </w:pPr>
      <w:r>
        <w:rPr>
          <w:rFonts w:hint="default"/>
          <w:lang w:val="en-US" w:eastAsia="zh-CN"/>
        </w:rPr>
        <w:t>（1）废气</w:t>
      </w:r>
    </w:p>
    <w:p w14:paraId="4602C59F">
      <w:pPr>
        <w:bidi w:val="0"/>
        <w:ind w:firstLine="480" w:firstLineChars="200"/>
        <w:rPr>
          <w:rFonts w:hint="default"/>
          <w:lang w:val="en-US" w:eastAsia="zh-CN"/>
        </w:rPr>
      </w:pPr>
      <w:r>
        <w:rPr>
          <w:rFonts w:hint="default"/>
          <w:lang w:val="en-US" w:eastAsia="zh-CN"/>
        </w:rPr>
        <w:t>本次技改</w:t>
      </w:r>
      <w:r>
        <w:rPr>
          <w:rFonts w:hint="eastAsia"/>
          <w:lang w:val="en-US" w:eastAsia="zh-CN"/>
        </w:rPr>
        <w:t>项目</w:t>
      </w:r>
      <w:r>
        <w:rPr>
          <w:rFonts w:hint="default"/>
          <w:lang w:val="en-US" w:eastAsia="zh-CN"/>
        </w:rPr>
        <w:t>新增的5台四分片钝化设备产生的scrubber排风经过燃烧筒+2套二级水喷淋塔（TA023）处理；真空泵排风经过燃烧筒+2套袋式除尘器+2套一级水喷淋塔（TA024）处理；上述废气合并依托现有1根25m高排气筒（DA008）排放（φ2.4m，Q=25000m</w:t>
      </w:r>
      <w:r>
        <w:rPr>
          <w:rFonts w:hint="default"/>
          <w:vertAlign w:val="superscript"/>
          <w:lang w:val="en-US" w:eastAsia="zh-CN"/>
        </w:rPr>
        <w:t>3</w:t>
      </w:r>
      <w:r>
        <w:rPr>
          <w:rFonts w:hint="default"/>
          <w:lang w:val="en-US" w:eastAsia="zh-CN"/>
        </w:rPr>
        <w:t>）</w:t>
      </w:r>
      <w:r>
        <w:rPr>
          <w:rFonts w:hint="eastAsia"/>
          <w:lang w:val="en-US" w:eastAsia="zh-CN"/>
        </w:rPr>
        <w:t>；</w:t>
      </w:r>
      <w:r>
        <w:rPr>
          <w:rFonts w:hint="default"/>
          <w:lang w:val="en-US" w:eastAsia="zh-CN"/>
        </w:rPr>
        <w:t>8套丝网印刷设备（双轨制，每套包含2套小线）产生的丝网印刷废气和8套烧结设备产生的烧结废气经设备自带在线燃烧装置处理后汇总，经新建6套一级活性炭吸附装置（TA025）处理，尾气经1根25m高排气筒（DA023）排放（φ2.4m，Q=145000m</w:t>
      </w:r>
      <w:r>
        <w:rPr>
          <w:rFonts w:hint="default"/>
          <w:vertAlign w:val="superscript"/>
          <w:lang w:val="en-US" w:eastAsia="zh-CN"/>
        </w:rPr>
        <w:t>3</w:t>
      </w:r>
      <w:r>
        <w:rPr>
          <w:rFonts w:hint="default"/>
          <w:lang w:val="en-US" w:eastAsia="zh-CN"/>
        </w:rPr>
        <w:t>）</w:t>
      </w:r>
      <w:r>
        <w:rPr>
          <w:rFonts w:hint="eastAsia"/>
          <w:lang w:val="en-US" w:eastAsia="zh-CN"/>
        </w:rPr>
        <w:t>；</w:t>
      </w:r>
      <w:r>
        <w:rPr>
          <w:rFonts w:hint="default"/>
          <w:lang w:val="en-US" w:eastAsia="zh-CN"/>
        </w:rPr>
        <w:t>本次技改新增的8台ME设备产生的ME（激光开模）粉尘经设备自带布袋除尘器处理后汇集至热排风系统排出车间</w:t>
      </w:r>
      <w:r>
        <w:rPr>
          <w:rFonts w:hint="eastAsia"/>
          <w:lang w:val="en-US" w:eastAsia="zh-CN"/>
        </w:rPr>
        <w:t>；</w:t>
      </w:r>
      <w:r>
        <w:rPr>
          <w:rFonts w:hint="default"/>
          <w:lang w:val="en-US" w:eastAsia="zh-CN"/>
        </w:rPr>
        <w:t>本次技改新增的8台AC设备产生的AC（银包铜印刷、固化）废气经设备自带在线燃烧装置处理后汇总，依托现有6套一级活性炭吸附装置（TA004）处理，尾气经1根25m高排气筒（DA004）排放（φ2.4m，Q=135000m</w:t>
      </w:r>
      <w:r>
        <w:rPr>
          <w:rFonts w:hint="default"/>
          <w:vertAlign w:val="superscript"/>
          <w:lang w:val="en-US" w:eastAsia="zh-CN"/>
        </w:rPr>
        <w:t>3</w:t>
      </w:r>
      <w:r>
        <w:rPr>
          <w:rFonts w:hint="default"/>
          <w:lang w:val="en-US" w:eastAsia="zh-CN"/>
        </w:rPr>
        <w:t>）</w:t>
      </w:r>
      <w:r>
        <w:rPr>
          <w:rFonts w:hint="eastAsia"/>
          <w:lang w:val="en-US" w:eastAsia="zh-CN"/>
        </w:rPr>
        <w:t>；</w:t>
      </w:r>
      <w:r>
        <w:rPr>
          <w:rFonts w:hint="default"/>
          <w:lang w:val="en-US" w:eastAsia="zh-CN"/>
        </w:rPr>
        <w:t>本次技改新增的5台激光划片设备产生的激光划片粉尘经设备自带布袋除尘器处理后汇集至热排风系统排出车间</w:t>
      </w:r>
      <w:r>
        <w:rPr>
          <w:rFonts w:hint="eastAsia"/>
          <w:lang w:val="en-US" w:eastAsia="zh-CN"/>
        </w:rPr>
        <w:t>。</w:t>
      </w:r>
    </w:p>
    <w:p w14:paraId="45C50A56">
      <w:pPr>
        <w:bidi w:val="0"/>
        <w:ind w:firstLine="480" w:firstLineChars="200"/>
        <w:rPr>
          <w:rFonts w:hint="default"/>
          <w:lang w:val="en-US" w:eastAsia="zh-CN"/>
        </w:rPr>
      </w:pPr>
      <w:r>
        <w:rPr>
          <w:rFonts w:hint="default"/>
          <w:lang w:val="en-US" w:eastAsia="zh-CN"/>
        </w:rPr>
        <w:t>经核算，</w:t>
      </w:r>
      <w:r>
        <w:rPr>
          <w:rFonts w:hint="eastAsia"/>
          <w:lang w:val="en-US" w:eastAsia="zh-CN"/>
        </w:rPr>
        <w:t>本次技改项目</w:t>
      </w:r>
      <w:r>
        <w:rPr>
          <w:spacing w:val="1"/>
        </w:rPr>
        <w:t>新增有组织排放颗粒物：</w:t>
      </w:r>
      <w:r>
        <w:rPr>
          <w:rFonts w:ascii="Times New Roman" w:hAnsi="Times New Roman" w:eastAsia="Times New Roman" w:cs="Times New Roman"/>
          <w:spacing w:val="1"/>
        </w:rPr>
        <w:t>1.</w:t>
      </w:r>
      <w:r>
        <w:rPr>
          <w:rFonts w:hint="eastAsia" w:ascii="Times New Roman" w:hAnsi="Times New Roman" w:eastAsia="宋体" w:cs="Times New Roman"/>
          <w:spacing w:val="1"/>
          <w:lang w:val="en-US" w:eastAsia="zh-CN"/>
        </w:rPr>
        <w:t>319</w:t>
      </w:r>
      <w:r>
        <w:rPr>
          <w:rFonts w:ascii="Times New Roman" w:hAnsi="Times New Roman" w:eastAsia="Times New Roman" w:cs="Times New Roman"/>
          <w:spacing w:val="1"/>
        </w:rPr>
        <w:t>t/a</w:t>
      </w:r>
      <w:r>
        <w:rPr>
          <w:spacing w:val="1"/>
        </w:rPr>
        <w:t>、</w:t>
      </w:r>
      <w:r>
        <w:rPr>
          <w:rFonts w:ascii="Times New Roman" w:hAnsi="Times New Roman" w:eastAsia="Times New Roman" w:cs="Times New Roman"/>
        </w:rPr>
        <w:t>VOCs</w:t>
      </w:r>
      <w:r>
        <w:rPr>
          <w:spacing w:val="1"/>
        </w:rPr>
        <w:t>：</w:t>
      </w:r>
      <w:r>
        <w:rPr>
          <w:rFonts w:hint="eastAsia" w:ascii="Times New Roman" w:hAnsi="Times New Roman" w:eastAsia="宋体" w:cs="Times New Roman"/>
          <w:spacing w:val="1"/>
          <w:lang w:val="en-US" w:eastAsia="zh-CN"/>
        </w:rPr>
        <w:t>2.875</w:t>
      </w:r>
      <w:r>
        <w:rPr>
          <w:rFonts w:ascii="Times New Roman" w:hAnsi="Times New Roman" w:eastAsia="Times New Roman" w:cs="Times New Roman"/>
        </w:rPr>
        <w:t>t/a</w:t>
      </w:r>
      <w:r>
        <w:rPr>
          <w:rFonts w:hint="default"/>
          <w:lang w:val="en-US" w:eastAsia="zh-CN"/>
        </w:rPr>
        <w:t>。</w:t>
      </w:r>
    </w:p>
    <w:p w14:paraId="11812769">
      <w:pPr>
        <w:bidi w:val="0"/>
        <w:ind w:firstLine="480" w:firstLineChars="200"/>
        <w:rPr>
          <w:rFonts w:hint="default"/>
          <w:lang w:val="en-US" w:eastAsia="zh-CN"/>
        </w:rPr>
      </w:pPr>
      <w:r>
        <w:rPr>
          <w:rFonts w:hint="default"/>
          <w:lang w:val="en-US" w:eastAsia="zh-CN"/>
        </w:rPr>
        <w:t>（2）废水</w:t>
      </w:r>
    </w:p>
    <w:p w14:paraId="55033EAC">
      <w:pPr>
        <w:bidi w:val="0"/>
        <w:ind w:firstLine="480" w:firstLineChars="200"/>
        <w:rPr>
          <w:rFonts w:hint="default"/>
          <w:lang w:val="en-US" w:eastAsia="zh-CN"/>
        </w:rPr>
      </w:pPr>
      <w:r>
        <w:rPr>
          <w:rFonts w:hint="default"/>
          <w:lang w:val="en-US" w:eastAsia="zh-CN"/>
        </w:rPr>
        <w:t>本次技改项目新增废水主要有铝舟及周托清洗废水、激光划片废水、纯水制备浓水、废气治理设施废水等。其中铝舟及周托清洗废水进入浓碱废水收集池；激光划片废水和废气治理设施废水进入稀碱废水收集池；依托厂区现有除氟系统处理后，与纯水制备浓水一起排入市政污水管网接入合肥循环经济示范园第二污水处理厂集中处理。</w:t>
      </w:r>
    </w:p>
    <w:p w14:paraId="74F77ED2">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（3）噪声</w:t>
      </w:r>
    </w:p>
    <w:p w14:paraId="6BC3CA14">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本项目噪声源主要为离心机、风机、压滤机、干燥机生产设施及配套辅助设施，声压级一般在65～85dB（A），采取基础减振、厂房隔声、合理布局及距离衰减等降噪措施。</w:t>
      </w:r>
    </w:p>
    <w:p w14:paraId="09E3FAF5">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（4）固废</w:t>
      </w:r>
    </w:p>
    <w:p w14:paraId="572ABEAD">
      <w:pPr>
        <w:keepNext w:val="0"/>
        <w:keepLines w:val="0"/>
        <w:pageBreakBefore w:val="0"/>
        <w:widowControl/>
        <w:kinsoku/>
        <w:wordWrap/>
        <w:overflowPunct/>
        <w:topLinePunct w:val="0"/>
        <w:autoSpaceDE/>
        <w:autoSpaceDN/>
        <w:bidi w:val="0"/>
        <w:adjustRightInd/>
        <w:snapToGrid/>
        <w:ind w:firstLine="480" w:firstLineChars="200"/>
        <w:textAlignment w:val="auto"/>
        <w:rPr>
          <w:rFonts w:hint="default"/>
          <w:lang w:val="en-US" w:eastAsia="zh-CN"/>
        </w:rPr>
      </w:pPr>
      <w:r>
        <w:rPr>
          <w:rFonts w:hint="default"/>
          <w:lang w:val="en-US" w:eastAsia="zh-CN"/>
        </w:rPr>
        <w:t>本次技改项目固体废弃物依托现有一般固废暂存间和危废暂存间暂存。</w:t>
      </w:r>
      <w:r>
        <w:rPr>
          <w:rFonts w:hint="eastAsia"/>
          <w:lang w:val="en-US" w:eastAsia="zh-CN"/>
        </w:rPr>
        <w:t>其中一般固废包括</w:t>
      </w:r>
      <w:r>
        <w:rPr>
          <w:rFonts w:hint="eastAsia"/>
          <w:b w:val="0"/>
          <w:bCs w:val="0"/>
          <w:color w:val="auto"/>
          <w:lang w:val="en-US" w:eastAsia="zh-CN"/>
        </w:rPr>
        <w:t>碎电池片、喷砂碎屑、废玻璃砂、废布袋、布袋除尘器收集到的粉尘、废包装桶、废印刷网版；危险废物包括废活性炭等。</w:t>
      </w:r>
      <w:r>
        <w:rPr>
          <w:rFonts w:hint="eastAsia"/>
          <w:lang w:val="en-US" w:eastAsia="zh-CN"/>
        </w:rPr>
        <w:t>厂区现有危废暂存间297m</w:t>
      </w:r>
      <w:r>
        <w:rPr>
          <w:rFonts w:hint="eastAsia"/>
          <w:vertAlign w:val="superscript"/>
          <w:lang w:val="en-US" w:eastAsia="zh-CN"/>
        </w:rPr>
        <w:t>2</w:t>
      </w:r>
      <w:r>
        <w:rPr>
          <w:rFonts w:hint="eastAsia"/>
          <w:lang w:val="en-US" w:eastAsia="zh-CN"/>
        </w:rPr>
        <w:t>，一般固废暂存间887.96m</w:t>
      </w:r>
      <w:r>
        <w:rPr>
          <w:rFonts w:hint="eastAsia"/>
          <w:vertAlign w:val="superscript"/>
          <w:lang w:val="en-US" w:eastAsia="zh-CN"/>
        </w:rPr>
        <w:t>2</w:t>
      </w:r>
      <w:r>
        <w:rPr>
          <w:rFonts w:hint="eastAsia"/>
          <w:lang w:val="en-US" w:eastAsia="zh-CN"/>
        </w:rPr>
        <w:t>。</w:t>
      </w:r>
      <w:r>
        <w:rPr>
          <w:rFonts w:hint="default"/>
          <w:lang w:val="en-US" w:eastAsia="zh-CN"/>
        </w:rPr>
        <w:t>采取以上措施后，项目危废可得到合理处置，不会造成二次污染。</w:t>
      </w:r>
    </w:p>
    <w:p w14:paraId="37FA57BC">
      <w:pPr>
        <w:pStyle w:val="2"/>
        <w:bidi w:val="0"/>
        <w:rPr>
          <w:rFonts w:hint="default"/>
          <w:lang w:val="en-US" w:eastAsia="zh-CN"/>
        </w:rPr>
      </w:pPr>
      <w:bookmarkStart w:id="223" w:name="_Toc326605106"/>
      <w:bookmarkStart w:id="224" w:name="_Toc326606303"/>
      <w:bookmarkStart w:id="225" w:name="_Toc326604571"/>
      <w:bookmarkStart w:id="226" w:name="_Toc252347719"/>
      <w:bookmarkStart w:id="227" w:name="_Toc326606530"/>
      <w:bookmarkStart w:id="228" w:name="_Toc7025"/>
      <w:bookmarkStart w:id="229" w:name="_Toc13809"/>
      <w:r>
        <w:rPr>
          <w:rFonts w:hint="default"/>
          <w:lang w:val="en-US" w:eastAsia="zh-CN"/>
        </w:rPr>
        <w:t xml:space="preserve">10.4 </w:t>
      </w:r>
      <w:bookmarkEnd w:id="223"/>
      <w:bookmarkEnd w:id="224"/>
      <w:bookmarkEnd w:id="225"/>
      <w:bookmarkEnd w:id="226"/>
      <w:bookmarkEnd w:id="227"/>
      <w:r>
        <w:rPr>
          <w:rFonts w:hint="default"/>
          <w:lang w:val="en-US" w:eastAsia="zh-CN"/>
        </w:rPr>
        <w:t>环境影响</w:t>
      </w:r>
      <w:bookmarkEnd w:id="228"/>
      <w:bookmarkEnd w:id="229"/>
    </w:p>
    <w:p w14:paraId="0E8C5917">
      <w:pPr>
        <w:bidi w:val="0"/>
        <w:rPr>
          <w:rFonts w:hint="default"/>
          <w:b/>
          <w:bCs/>
          <w:lang w:val="en-US" w:eastAsia="zh-CN"/>
        </w:rPr>
      </w:pPr>
      <w:bookmarkStart w:id="230" w:name="_Toc326604572"/>
      <w:bookmarkStart w:id="231" w:name="_Toc327774763"/>
      <w:bookmarkStart w:id="232" w:name="_Toc326842030"/>
      <w:bookmarkStart w:id="233" w:name="_Toc326605107"/>
      <w:bookmarkStart w:id="234" w:name="_Toc329596505"/>
      <w:bookmarkStart w:id="235" w:name="_Toc326606304"/>
      <w:r>
        <w:rPr>
          <w:rFonts w:hint="default"/>
          <w:b/>
          <w:bCs/>
          <w:lang w:val="en-US" w:eastAsia="zh-CN"/>
        </w:rPr>
        <w:t>10.4.1 大气环境</w:t>
      </w:r>
      <w:bookmarkEnd w:id="230"/>
      <w:bookmarkEnd w:id="231"/>
      <w:bookmarkEnd w:id="232"/>
      <w:bookmarkEnd w:id="233"/>
      <w:bookmarkEnd w:id="234"/>
      <w:bookmarkEnd w:id="235"/>
    </w:p>
    <w:p w14:paraId="44C1DB5D">
      <w:pPr>
        <w:bidi w:val="0"/>
        <w:ind w:firstLine="480" w:firstLineChars="200"/>
        <w:rPr>
          <w:rFonts w:hint="default"/>
          <w:lang w:val="en-US" w:eastAsia="zh-CN"/>
        </w:rPr>
      </w:pPr>
      <w:bookmarkStart w:id="236" w:name="_Toc327774764"/>
      <w:bookmarkStart w:id="237" w:name="_Toc329596506"/>
      <w:bookmarkStart w:id="238" w:name="_Toc326605108"/>
      <w:bookmarkStart w:id="239" w:name="_Toc326604573"/>
      <w:bookmarkStart w:id="240" w:name="_Toc326606305"/>
      <w:bookmarkStart w:id="241" w:name="_Toc326842031"/>
      <w:r>
        <w:rPr>
          <w:rFonts w:hint="default"/>
          <w:lang w:val="en-US" w:eastAsia="zh-CN"/>
        </w:rPr>
        <w:t>大气环境影响评价预测结果表明，本项目建成运行后，有组织废气污染物排放对区域大气环境质量的影响较小，不会对周边敏感点造成明显的不利影响。评价认为，拟建项目建成运行后，不会降低区域现有大气环境质量，不会改变区域内大气环境质量的现有等级。本项目保留现有工程设置的1</w:t>
      </w:r>
      <w:r>
        <w:rPr>
          <w:rFonts w:hint="eastAsia"/>
          <w:lang w:val="en-US" w:eastAsia="zh-CN"/>
        </w:rPr>
        <w:t>5</w:t>
      </w:r>
      <w:r>
        <w:rPr>
          <w:rFonts w:hint="default"/>
          <w:lang w:val="en-US" w:eastAsia="zh-CN"/>
        </w:rPr>
        <w:t>0m环境防护距离，环境防护距离内无环境敏感点。</w:t>
      </w:r>
    </w:p>
    <w:p w14:paraId="137E2AF4">
      <w:pPr>
        <w:bidi w:val="0"/>
        <w:rPr>
          <w:rFonts w:hint="default"/>
          <w:b/>
          <w:bCs/>
          <w:lang w:val="en-US" w:eastAsia="zh-CN"/>
        </w:rPr>
      </w:pPr>
      <w:r>
        <w:rPr>
          <w:rFonts w:hint="default"/>
          <w:b/>
          <w:bCs/>
          <w:lang w:val="en-US" w:eastAsia="zh-CN"/>
        </w:rPr>
        <w:t>10.4.2 水环境</w:t>
      </w:r>
      <w:bookmarkEnd w:id="236"/>
      <w:bookmarkEnd w:id="237"/>
      <w:bookmarkEnd w:id="238"/>
      <w:bookmarkEnd w:id="239"/>
      <w:bookmarkEnd w:id="240"/>
      <w:bookmarkEnd w:id="241"/>
    </w:p>
    <w:p w14:paraId="15F325DB">
      <w:pPr>
        <w:bidi w:val="0"/>
        <w:ind w:firstLine="480" w:firstLineChars="200"/>
        <w:rPr>
          <w:rFonts w:hint="default"/>
          <w:lang w:val="en-US" w:eastAsia="zh-CN"/>
        </w:rPr>
      </w:pPr>
      <w:bookmarkStart w:id="242" w:name="_Toc326842032"/>
      <w:bookmarkStart w:id="243" w:name="_Toc327774765"/>
      <w:bookmarkStart w:id="244" w:name="_Toc329596507"/>
      <w:bookmarkStart w:id="245" w:name="_Toc326605109"/>
      <w:bookmarkStart w:id="246" w:name="_Toc326604574"/>
      <w:bookmarkStart w:id="247" w:name="_Toc326606306"/>
      <w:r>
        <w:rPr>
          <w:rFonts w:hint="default"/>
          <w:lang w:val="en-US" w:eastAsia="zh-CN"/>
        </w:rPr>
        <w:t>本项目废水预处理满足排放标准后排入园区污水管网接入合肥循环经济示范园第二污水处理厂集中处理，处理达标后排入店埠河，项目对区域水环境造成的不利影响较小。</w:t>
      </w:r>
    </w:p>
    <w:p w14:paraId="21923142">
      <w:pPr>
        <w:bidi w:val="0"/>
        <w:rPr>
          <w:rFonts w:hint="default"/>
          <w:b/>
          <w:bCs/>
          <w:lang w:val="en-US" w:eastAsia="zh-CN"/>
        </w:rPr>
      </w:pPr>
      <w:r>
        <w:rPr>
          <w:rFonts w:hint="default"/>
          <w:b/>
          <w:bCs/>
          <w:lang w:val="en-US" w:eastAsia="zh-CN"/>
        </w:rPr>
        <w:t>10.4.3 声环境</w:t>
      </w:r>
      <w:bookmarkEnd w:id="242"/>
      <w:bookmarkEnd w:id="243"/>
      <w:bookmarkEnd w:id="244"/>
      <w:bookmarkEnd w:id="245"/>
      <w:bookmarkEnd w:id="246"/>
      <w:bookmarkEnd w:id="247"/>
    </w:p>
    <w:p w14:paraId="30A95705">
      <w:pPr>
        <w:bidi w:val="0"/>
        <w:ind w:firstLine="480" w:firstLineChars="200"/>
        <w:rPr>
          <w:rFonts w:hint="default"/>
          <w:lang w:val="en-US" w:eastAsia="zh-CN"/>
        </w:rPr>
      </w:pPr>
      <w:r>
        <w:rPr>
          <w:rFonts w:hint="default"/>
          <w:lang w:val="en-US" w:eastAsia="zh-CN"/>
        </w:rPr>
        <w:t>声环境影响预测结果表明，项目建成运行后，各向厂界噪声排放均满足《工业企业厂界环境噪声排放标准》(GB12348-2008)3类标准，本项目建设对区域声环境造成的不利影响较小。</w:t>
      </w:r>
    </w:p>
    <w:p w14:paraId="5D3B2D43">
      <w:pPr>
        <w:bidi w:val="0"/>
        <w:rPr>
          <w:rFonts w:hint="default"/>
          <w:b/>
          <w:bCs/>
          <w:lang w:val="en-US" w:eastAsia="zh-CN"/>
        </w:rPr>
      </w:pPr>
      <w:r>
        <w:rPr>
          <w:rFonts w:hint="default"/>
          <w:b/>
          <w:bCs/>
          <w:lang w:val="en-US" w:eastAsia="zh-CN"/>
        </w:rPr>
        <w:t>10.4.4 地下水环境</w:t>
      </w:r>
    </w:p>
    <w:p w14:paraId="6EEA9D88">
      <w:pPr>
        <w:bidi w:val="0"/>
        <w:ind w:firstLine="480" w:firstLineChars="200"/>
        <w:rPr>
          <w:rFonts w:hint="default"/>
          <w:lang w:val="en-US" w:eastAsia="zh-CN"/>
        </w:rPr>
      </w:pPr>
      <w:r>
        <w:rPr>
          <w:rFonts w:hint="eastAsia"/>
          <w:lang w:val="en-US" w:eastAsia="zh-CN"/>
        </w:rPr>
        <w:t>本次评价类比现有工程地下水环境影响预测，</w:t>
      </w:r>
      <w:r>
        <w:rPr>
          <w:rFonts w:hint="default"/>
          <w:lang w:val="en-US" w:eastAsia="zh-CN"/>
        </w:rPr>
        <w:t>非正常情况下，氟化物在100天，1000天和20年最大迁移距离分别为178m、754m和3332m，超标范围分别为18178m</w:t>
      </w:r>
      <w:r>
        <w:rPr>
          <w:rFonts w:hint="default"/>
          <w:vertAlign w:val="superscript"/>
          <w:lang w:val="en-US" w:eastAsia="zh-CN"/>
        </w:rPr>
        <w:t>2</w:t>
      </w:r>
      <w:r>
        <w:rPr>
          <w:rFonts w:hint="default"/>
          <w:lang w:val="en-US" w:eastAsia="zh-CN"/>
        </w:rPr>
        <w:t>、193335.5m</w:t>
      </w:r>
      <w:r>
        <w:rPr>
          <w:rFonts w:hint="default"/>
          <w:vertAlign w:val="superscript"/>
          <w:lang w:val="en-US" w:eastAsia="zh-CN"/>
        </w:rPr>
        <w:t>2</w:t>
      </w:r>
      <w:r>
        <w:rPr>
          <w:rFonts w:hint="default"/>
          <w:lang w:val="en-US" w:eastAsia="zh-CN"/>
        </w:rPr>
        <w:t>和1942218.9m</w:t>
      </w:r>
      <w:r>
        <w:rPr>
          <w:rFonts w:hint="default"/>
          <w:vertAlign w:val="superscript"/>
          <w:lang w:val="en-US" w:eastAsia="zh-CN"/>
        </w:rPr>
        <w:t>2</w:t>
      </w:r>
      <w:r>
        <w:rPr>
          <w:rFonts w:hint="default"/>
          <w:lang w:val="en-US" w:eastAsia="zh-CN"/>
        </w:rPr>
        <w:t>。对项目区内浅层地下水产生影响。因此在非正常状况发生后，及时采取应急措施，并设置有效的地下水监控措施，可以使此状况下对周边地下水的影响降至最小。</w:t>
      </w:r>
    </w:p>
    <w:p w14:paraId="32F497A7">
      <w:pPr>
        <w:bidi w:val="0"/>
        <w:rPr>
          <w:rFonts w:hint="default"/>
          <w:b/>
          <w:bCs/>
          <w:lang w:val="en-US" w:eastAsia="zh-CN"/>
        </w:rPr>
      </w:pPr>
      <w:r>
        <w:rPr>
          <w:rFonts w:hint="default"/>
          <w:b/>
          <w:bCs/>
          <w:lang w:val="en-US" w:eastAsia="zh-CN"/>
        </w:rPr>
        <w:t>10.4.5 土壤环境</w:t>
      </w:r>
    </w:p>
    <w:p w14:paraId="738C3DDA">
      <w:pPr>
        <w:bidi w:val="0"/>
        <w:ind w:firstLine="480" w:firstLineChars="200"/>
        <w:rPr>
          <w:rFonts w:hint="default"/>
          <w:lang w:val="en-US" w:eastAsia="zh-CN"/>
        </w:rPr>
      </w:pPr>
      <w:r>
        <w:rPr>
          <w:rFonts w:hint="eastAsia"/>
          <w:lang w:val="en-US" w:eastAsia="zh-CN"/>
        </w:rPr>
        <w:t>本次评价类比现有工程土壤环境影响预测，本项目在采取有效的土壤防护措施和开展土壤环境定期跟踪监测后，不会对区域土壤产生明显影响，不会影响区域土壤的现状使用功能。因此，项目运营期对评价范围内土壤环境影响较小。</w:t>
      </w:r>
    </w:p>
    <w:p w14:paraId="34F51A8E">
      <w:pPr>
        <w:bidi w:val="0"/>
        <w:rPr>
          <w:rFonts w:hint="default"/>
          <w:b/>
          <w:bCs/>
          <w:lang w:val="en-US" w:eastAsia="zh-CN"/>
        </w:rPr>
      </w:pPr>
      <w:r>
        <w:rPr>
          <w:rFonts w:hint="default"/>
          <w:b/>
          <w:bCs/>
          <w:lang w:val="en-US" w:eastAsia="zh-CN"/>
        </w:rPr>
        <w:t>10.4.6 环境风险</w:t>
      </w:r>
    </w:p>
    <w:p w14:paraId="7DF55441">
      <w:pPr>
        <w:bidi w:val="0"/>
        <w:ind w:firstLine="480" w:firstLineChars="200"/>
        <w:rPr>
          <w:rFonts w:hint="default"/>
          <w:lang w:val="en-US" w:eastAsia="zh-CN"/>
        </w:rPr>
      </w:pPr>
      <w:r>
        <w:rPr>
          <w:rFonts w:hint="default"/>
          <w:lang w:val="en-US" w:eastAsia="zh-CN"/>
        </w:rPr>
        <w:t>通过预测分析项目在建设和运行期间可能发生的突发性环境事件或事故、有毒有害和易燃易爆等物质的泄漏，对环境所造成的影响和损害，提出合理可行的防范、应急与减缓措施，建设项目事故率、损失和环境影响达可接受水平。在落实本环评提出的防范措施以后，本项目的环境风险有害因素是可以控制的，但应加强控制和预防。</w:t>
      </w:r>
    </w:p>
    <w:p w14:paraId="65212BC2">
      <w:pPr>
        <w:bidi w:val="0"/>
        <w:rPr>
          <w:rFonts w:hint="default"/>
          <w:b/>
          <w:bCs/>
          <w:lang w:val="en-US" w:eastAsia="zh-CN"/>
        </w:rPr>
      </w:pPr>
      <w:r>
        <w:rPr>
          <w:rFonts w:hint="default"/>
          <w:b/>
          <w:bCs/>
          <w:lang w:val="en-US" w:eastAsia="zh-CN"/>
        </w:rPr>
        <w:t>10.4.7 自主验收</w:t>
      </w:r>
    </w:p>
    <w:p w14:paraId="2DBCBB4A">
      <w:pPr>
        <w:bidi w:val="0"/>
        <w:ind w:firstLine="480" w:firstLineChars="200"/>
        <w:rPr>
          <w:rFonts w:hint="default"/>
          <w:lang w:val="en-US" w:eastAsia="zh-CN"/>
        </w:rPr>
      </w:pPr>
      <w:r>
        <w:rPr>
          <w:rFonts w:hint="default"/>
          <w:lang w:val="en-US" w:eastAsia="zh-CN"/>
        </w:rPr>
        <w:t>根据《关于实施建设项目竣工环境保护企业自行验收管理的指导意见》的规定，企业在主体工程竣工后、正式投产或运行前，企业应自行组织开展建设项目竣工环境保护验收，并编制建设项目竣工环境保护验收监测报告。本次评价要求企业在竣工后应严格按照要求自行组织环保验收工作。</w:t>
      </w:r>
    </w:p>
    <w:p w14:paraId="2793893E">
      <w:pPr>
        <w:bidi w:val="0"/>
        <w:rPr>
          <w:rFonts w:hint="default"/>
          <w:b/>
          <w:bCs/>
          <w:lang w:val="en-US" w:eastAsia="zh-CN"/>
        </w:rPr>
      </w:pPr>
      <w:r>
        <w:rPr>
          <w:rFonts w:hint="default"/>
          <w:b/>
          <w:bCs/>
          <w:lang w:val="en-US" w:eastAsia="zh-CN"/>
        </w:rPr>
        <w:t>10.4.8 排污许可衔接</w:t>
      </w:r>
    </w:p>
    <w:p w14:paraId="3992AB22">
      <w:pPr>
        <w:bidi w:val="0"/>
        <w:ind w:firstLine="480" w:firstLineChars="200"/>
        <w:rPr>
          <w:rFonts w:hint="default"/>
          <w:lang w:val="en-US" w:eastAsia="zh-CN"/>
        </w:rPr>
      </w:pPr>
      <w:r>
        <w:rPr>
          <w:rFonts w:hint="default"/>
          <w:lang w:val="en-US" w:eastAsia="zh-CN"/>
        </w:rPr>
        <w:t>根据《关于做好环境影响评价制度与排污许可制衔接相关工作的通知》的规定，建设项目发生实际排污行为之前，排污单位应当按照国家环境保护相关法律法规以及排污许可证申请与核发技术规范要求申请排污许可证，不得无证排污或不按证排污；企业在本项目竣工后投产前应严格按照要求重新申请排污许可证。</w:t>
      </w:r>
    </w:p>
    <w:p w14:paraId="67678B93">
      <w:pPr>
        <w:bidi w:val="0"/>
        <w:rPr>
          <w:rFonts w:hint="default"/>
          <w:lang w:val="en-US" w:eastAsia="zh-CN"/>
        </w:rPr>
      </w:pPr>
      <w:r>
        <w:rPr>
          <w:rFonts w:hint="default"/>
          <w:lang w:val="en-US" w:eastAsia="zh-CN"/>
        </w:rPr>
        <w:t>10.4.9 总量控制</w:t>
      </w:r>
    </w:p>
    <w:p w14:paraId="2ED4CF0A">
      <w:pPr>
        <w:bidi w:val="0"/>
        <w:ind w:firstLine="480" w:firstLineChars="200"/>
        <w:rPr>
          <w:rFonts w:hint="default"/>
          <w:lang w:val="en-US" w:eastAsia="zh-CN"/>
        </w:rPr>
      </w:pPr>
      <w:r>
        <w:rPr>
          <w:rFonts w:hint="default"/>
          <w:lang w:val="en-US" w:eastAsia="zh-CN"/>
        </w:rPr>
        <w:t>（1）废气</w:t>
      </w:r>
    </w:p>
    <w:p w14:paraId="7922FFF8">
      <w:pPr>
        <w:bidi w:val="0"/>
        <w:ind w:firstLine="480" w:firstLineChars="200"/>
        <w:rPr>
          <w:rFonts w:hint="default"/>
          <w:lang w:val="en-US" w:eastAsia="zh-CN"/>
        </w:rPr>
      </w:pPr>
      <w:r>
        <w:rPr>
          <w:rFonts w:hint="eastAsia"/>
          <w:lang w:val="en-US" w:eastAsia="zh-CN"/>
        </w:rPr>
        <w:t>本次技改项目</w:t>
      </w:r>
      <w:r>
        <w:rPr>
          <w:spacing w:val="1"/>
        </w:rPr>
        <w:t>新增有组织排放颗粒物：</w:t>
      </w:r>
      <w:r>
        <w:rPr>
          <w:rFonts w:ascii="Times New Roman" w:hAnsi="Times New Roman" w:eastAsia="Times New Roman" w:cs="Times New Roman"/>
          <w:spacing w:val="1"/>
        </w:rPr>
        <w:t>1.</w:t>
      </w:r>
      <w:r>
        <w:rPr>
          <w:rFonts w:hint="eastAsia" w:ascii="Times New Roman" w:hAnsi="Times New Roman" w:eastAsia="宋体" w:cs="Times New Roman"/>
          <w:spacing w:val="1"/>
          <w:lang w:val="en-US" w:eastAsia="zh-CN"/>
        </w:rPr>
        <w:t>319</w:t>
      </w:r>
      <w:r>
        <w:rPr>
          <w:rFonts w:ascii="Times New Roman" w:hAnsi="Times New Roman" w:eastAsia="Times New Roman" w:cs="Times New Roman"/>
          <w:spacing w:val="1"/>
        </w:rPr>
        <w:t>t/a</w:t>
      </w:r>
      <w:r>
        <w:rPr>
          <w:spacing w:val="1"/>
        </w:rPr>
        <w:t>、</w:t>
      </w:r>
      <w:r>
        <w:rPr>
          <w:rFonts w:ascii="Times New Roman" w:hAnsi="Times New Roman" w:eastAsia="Times New Roman" w:cs="Times New Roman"/>
        </w:rPr>
        <w:t>VOCs</w:t>
      </w:r>
      <w:r>
        <w:rPr>
          <w:spacing w:val="1"/>
        </w:rPr>
        <w:t>：</w:t>
      </w:r>
      <w:r>
        <w:rPr>
          <w:rFonts w:hint="eastAsia" w:ascii="Times New Roman" w:hAnsi="Times New Roman" w:eastAsia="宋体" w:cs="Times New Roman"/>
          <w:spacing w:val="1"/>
          <w:lang w:val="en-US" w:eastAsia="zh-CN"/>
        </w:rPr>
        <w:t>2.875</w:t>
      </w:r>
      <w:r>
        <w:rPr>
          <w:rFonts w:ascii="Times New Roman" w:hAnsi="Times New Roman" w:eastAsia="Times New Roman" w:cs="Times New Roman"/>
        </w:rPr>
        <w:t>t/a</w:t>
      </w:r>
      <w:r>
        <w:t>；故新</w:t>
      </w:r>
      <w:r>
        <w:rPr>
          <w:spacing w:val="-2"/>
        </w:rPr>
        <w:t>申请总量控制指标</w:t>
      </w:r>
      <w:r>
        <w:rPr>
          <w:spacing w:val="1"/>
        </w:rPr>
        <w:t>颗粒物：</w:t>
      </w:r>
      <w:r>
        <w:rPr>
          <w:rFonts w:ascii="Times New Roman" w:hAnsi="Times New Roman" w:eastAsia="Times New Roman" w:cs="Times New Roman"/>
          <w:spacing w:val="1"/>
        </w:rPr>
        <w:t>1.</w:t>
      </w:r>
      <w:r>
        <w:rPr>
          <w:rFonts w:hint="eastAsia" w:ascii="Times New Roman" w:hAnsi="Times New Roman" w:eastAsia="宋体" w:cs="Times New Roman"/>
          <w:spacing w:val="1"/>
          <w:lang w:val="en-US" w:eastAsia="zh-CN"/>
        </w:rPr>
        <w:t>319</w:t>
      </w:r>
      <w:r>
        <w:rPr>
          <w:rFonts w:ascii="Times New Roman" w:hAnsi="Times New Roman" w:eastAsia="Times New Roman" w:cs="Times New Roman"/>
          <w:spacing w:val="1"/>
        </w:rPr>
        <w:t>t/a</w:t>
      </w:r>
      <w:r>
        <w:rPr>
          <w:spacing w:val="1"/>
        </w:rPr>
        <w:t>、</w:t>
      </w:r>
      <w:r>
        <w:rPr>
          <w:rFonts w:ascii="Times New Roman" w:hAnsi="Times New Roman" w:eastAsia="Times New Roman" w:cs="Times New Roman"/>
        </w:rPr>
        <w:t>VOCs</w:t>
      </w:r>
      <w:r>
        <w:rPr>
          <w:spacing w:val="1"/>
        </w:rPr>
        <w:t>：</w:t>
      </w:r>
      <w:r>
        <w:rPr>
          <w:rFonts w:hint="eastAsia" w:ascii="Times New Roman" w:hAnsi="Times New Roman" w:eastAsia="宋体" w:cs="Times New Roman"/>
          <w:spacing w:val="1"/>
          <w:lang w:val="en-US" w:eastAsia="zh-CN"/>
        </w:rPr>
        <w:t>2.875</w:t>
      </w:r>
      <w:r>
        <w:rPr>
          <w:rFonts w:ascii="Times New Roman" w:hAnsi="Times New Roman" w:eastAsia="Times New Roman" w:cs="Times New Roman"/>
        </w:rPr>
        <w:t>t/a</w:t>
      </w:r>
      <w:r>
        <w:rPr>
          <w:rFonts w:hint="eastAsia"/>
          <w:lang w:val="en-US" w:eastAsia="zh-CN"/>
        </w:rPr>
        <w:t>，均</w:t>
      </w:r>
      <w:r>
        <w:rPr>
          <w:rFonts w:hint="default"/>
          <w:lang w:val="en-US" w:eastAsia="zh-CN"/>
        </w:rPr>
        <w:t>在</w:t>
      </w:r>
      <w:r>
        <w:rPr>
          <w:rFonts w:hint="eastAsia"/>
          <w:lang w:val="en-US" w:eastAsia="zh-CN"/>
        </w:rPr>
        <w:t>合肥</w:t>
      </w:r>
      <w:r>
        <w:rPr>
          <w:rFonts w:hint="default"/>
          <w:lang w:val="en-US" w:eastAsia="zh-CN"/>
        </w:rPr>
        <w:t>市总量指标中平衡。</w:t>
      </w:r>
    </w:p>
    <w:p w14:paraId="5DD0586E">
      <w:pPr>
        <w:bidi w:val="0"/>
        <w:ind w:firstLine="480" w:firstLineChars="200"/>
        <w:rPr>
          <w:rFonts w:hint="default"/>
          <w:lang w:val="en-US" w:eastAsia="zh-CN"/>
        </w:rPr>
      </w:pPr>
      <w:r>
        <w:rPr>
          <w:rFonts w:hint="default"/>
          <w:lang w:val="en-US" w:eastAsia="zh-CN"/>
        </w:rPr>
        <w:t>（2）废水</w:t>
      </w:r>
    </w:p>
    <w:p w14:paraId="33E2AD2C">
      <w:pPr>
        <w:bidi w:val="0"/>
        <w:ind w:firstLine="468" w:firstLineChars="200"/>
        <w:rPr>
          <w:rFonts w:hint="default"/>
          <w:lang w:val="en-US" w:eastAsia="zh-CN"/>
        </w:rPr>
      </w:pPr>
      <w:r>
        <w:rPr>
          <w:spacing w:val="-3"/>
        </w:rPr>
        <w:t>本项目产生的废水总量纳入合肥循环经济示范园第二污水处理厂范畴，因此无需申</w:t>
      </w:r>
      <w:r>
        <w:rPr>
          <w:spacing w:val="-2"/>
        </w:rPr>
        <w:t>请总量</w:t>
      </w:r>
      <w:r>
        <w:rPr>
          <w:rFonts w:hint="eastAsia"/>
          <w:lang w:val="en-US" w:eastAsia="zh-CN"/>
        </w:rPr>
        <w:t>。</w:t>
      </w:r>
    </w:p>
    <w:p w14:paraId="3F3A1229">
      <w:pPr>
        <w:bidi w:val="0"/>
        <w:ind w:firstLine="480" w:firstLineChars="200"/>
        <w:rPr>
          <w:rFonts w:hint="default"/>
          <w:lang w:val="en-US" w:eastAsia="zh-CN"/>
        </w:rPr>
      </w:pPr>
      <w:r>
        <w:rPr>
          <w:rFonts w:hint="default"/>
          <w:lang w:val="en-US" w:eastAsia="zh-CN"/>
        </w:rPr>
        <w:t>（3）固废</w:t>
      </w:r>
    </w:p>
    <w:p w14:paraId="13B03E12">
      <w:pPr>
        <w:bidi w:val="0"/>
        <w:ind w:firstLine="480" w:firstLineChars="200"/>
        <w:rPr>
          <w:rFonts w:hint="default"/>
          <w:lang w:val="en-US" w:eastAsia="zh-CN"/>
        </w:rPr>
      </w:pPr>
      <w:r>
        <w:rPr>
          <w:rFonts w:hint="default"/>
          <w:lang w:val="en-US" w:eastAsia="zh-CN"/>
        </w:rPr>
        <w:t>本项目固废综合利用与规范处置，达到零排放。</w:t>
      </w:r>
    </w:p>
    <w:p w14:paraId="0D3E834E">
      <w:pPr>
        <w:bidi w:val="0"/>
        <w:rPr>
          <w:rFonts w:hint="default"/>
          <w:b/>
          <w:bCs/>
          <w:lang w:val="en-US" w:eastAsia="zh-CN"/>
        </w:rPr>
      </w:pPr>
      <w:r>
        <w:rPr>
          <w:rFonts w:hint="default"/>
          <w:b/>
          <w:bCs/>
          <w:lang w:val="en-US" w:eastAsia="zh-CN"/>
        </w:rPr>
        <w:t>10.4.10公众参与</w:t>
      </w:r>
    </w:p>
    <w:p w14:paraId="138839FA">
      <w:pPr>
        <w:bidi w:val="0"/>
        <w:ind w:firstLine="480" w:firstLineChars="200"/>
        <w:rPr>
          <w:rFonts w:hint="default"/>
          <w:lang w:val="en-US" w:eastAsia="zh-CN"/>
        </w:rPr>
      </w:pPr>
      <w:r>
        <w:rPr>
          <w:rFonts w:hint="default"/>
          <w:lang w:val="en-US" w:eastAsia="zh-CN"/>
        </w:rPr>
        <w:t>建设单位根据《环境影响评价公众参与办法》，在确定环评单位后7个工作日内，通过</w:t>
      </w:r>
      <w:r>
        <w:rPr>
          <w:rFonts w:hint="eastAsia"/>
          <w:lang w:val="en-US" w:eastAsia="zh-CN"/>
        </w:rPr>
        <w:t>合肥市肥东县人民政府</w:t>
      </w:r>
      <w:r>
        <w:rPr>
          <w:rFonts w:hint="default"/>
          <w:lang w:val="en-US" w:eastAsia="zh-CN"/>
        </w:rPr>
        <w:t>公布了项目建设的基本信息；生态环境影响报告书征求意见稿形成后，建设单位也通过</w:t>
      </w:r>
      <w:r>
        <w:rPr>
          <w:rFonts w:hint="eastAsia"/>
          <w:lang w:val="en-US" w:eastAsia="zh-CN"/>
        </w:rPr>
        <w:t>合肥市肥东县人民政府</w:t>
      </w:r>
      <w:r>
        <w:rPr>
          <w:rFonts w:hint="default"/>
          <w:lang w:val="en-US" w:eastAsia="zh-CN"/>
        </w:rPr>
        <w:t>征求与该建设项目环境影响有关的意见。征求意见稿公示期间，建设单位在项目所在地评价范围内（北岗村和李贵二村）敏感保护目标张贴了公告，在公众易于接触的报纸进行了二次公示，公示时间和内容均满足公众参与办法的要求。公示期间未收到反馈意见。</w:t>
      </w:r>
    </w:p>
    <w:p w14:paraId="1E0BE184">
      <w:pPr>
        <w:bidi w:val="0"/>
        <w:rPr>
          <w:rFonts w:hint="default"/>
          <w:b/>
          <w:bCs/>
          <w:lang w:val="en-US" w:eastAsia="zh-CN"/>
        </w:rPr>
      </w:pPr>
      <w:bookmarkStart w:id="248" w:name="_Toc326605120"/>
      <w:bookmarkStart w:id="249" w:name="_Toc26911"/>
      <w:bookmarkStart w:id="250" w:name="_Toc326606317"/>
      <w:bookmarkStart w:id="251" w:name="_Toc326606537"/>
      <w:bookmarkStart w:id="252" w:name="_Toc252347726"/>
      <w:bookmarkStart w:id="253" w:name="_Toc326604585"/>
      <w:r>
        <w:rPr>
          <w:rFonts w:hint="default"/>
          <w:b/>
          <w:bCs/>
          <w:lang w:val="en-US" w:eastAsia="zh-CN"/>
        </w:rPr>
        <w:t>10.5 综合评价结论</w:t>
      </w:r>
      <w:bookmarkEnd w:id="248"/>
      <w:bookmarkEnd w:id="249"/>
      <w:bookmarkEnd w:id="250"/>
      <w:bookmarkEnd w:id="251"/>
      <w:bookmarkEnd w:id="252"/>
      <w:bookmarkEnd w:id="253"/>
    </w:p>
    <w:p w14:paraId="41F36B42">
      <w:pPr>
        <w:bidi w:val="0"/>
        <w:ind w:firstLine="480" w:firstLineChars="200"/>
        <w:rPr>
          <w:rFonts w:hint="default"/>
          <w:lang w:val="en-US" w:eastAsia="zh-CN"/>
        </w:rPr>
      </w:pPr>
      <w:r>
        <w:t>安徽晶科能源有限公司</w:t>
      </w:r>
      <w:r>
        <w:rPr>
          <w:rFonts w:hint="eastAsia"/>
          <w:lang w:val="en-US" w:eastAsia="zh-CN"/>
        </w:rPr>
        <w:t>高效太阳能电池片FP提效改造一期</w:t>
      </w:r>
      <w:r>
        <w:t>项目</w:t>
      </w:r>
      <w:r>
        <w:rPr>
          <w:rFonts w:hint="default"/>
          <w:lang w:val="en-US" w:eastAsia="zh-CN"/>
        </w:rPr>
        <w:t>符合国家产业政策的要求，项目选址符合合肥循环经济示范园规划要求。项目实施后，通过采取相应的污染防治措施，各类废气、废水、噪声可以做到稳定达标排放，不会降低区域大气、地表水和声环境质量原有功能级别；通过采取有针对性的风险防范措施并落实应急预案，项目的环境风险可接受；项目公示期间未收到反馈意见。评价认为，本项目在建设和生产运行过程中，切实落实报告书提出的各项污染防治措施及环保</w:t>
      </w:r>
      <w:r>
        <w:rPr>
          <w:rFonts w:hint="eastAsia"/>
          <w:lang w:val="en-US" w:eastAsia="zh-CN"/>
        </w:rPr>
        <w:t>“</w:t>
      </w:r>
      <w:r>
        <w:rPr>
          <w:rFonts w:hint="default"/>
          <w:lang w:val="en-US" w:eastAsia="zh-CN"/>
        </w:rPr>
        <w:t>三同时</w:t>
      </w:r>
      <w:r>
        <w:rPr>
          <w:rFonts w:hint="eastAsia"/>
          <w:lang w:val="en-US" w:eastAsia="zh-CN"/>
        </w:rPr>
        <w:t>”</w:t>
      </w:r>
      <w:r>
        <w:rPr>
          <w:rFonts w:hint="default"/>
          <w:lang w:val="en-US" w:eastAsia="zh-CN"/>
        </w:rPr>
        <w:t>制度的前提下，从环境影响角度，项目建设可行。</w:t>
      </w:r>
    </w:p>
    <w:p w14:paraId="31172D51">
      <w:pPr>
        <w:bidi w:val="0"/>
        <w:rPr>
          <w:rFonts w:hint="default"/>
          <w:lang w:val="en-US" w:eastAsia="zh-CN"/>
        </w:rPr>
      </w:pPr>
    </w:p>
    <w:sectPr>
      <w:pgSz w:w="11905" w:h="16838"/>
      <w:pgMar w:top="1417" w:right="1134" w:bottom="1134" w:left="1417" w:header="851" w:footer="992" w:gutter="0"/>
      <w:pgNumType w:fmt="decimal"/>
      <w:cols w:space="0" w:num="1"/>
      <w:rtlGutter w:val="0"/>
      <w:docGrid w:type="lines" w:linePitch="34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Segoe UI Symbol">
    <w:panose1 w:val="020B0502040204020203"/>
    <w:charset w:val="00"/>
    <w:family w:val="swiss"/>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07273A">
    <w:pPr>
      <w:pStyle w:val="11"/>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D1C523">
                          <w:pPr>
                            <w:pStyle w:val="11"/>
                          </w:pPr>
                          <w:r>
                            <w:t xml:space="preserve">第 </w:t>
                          </w:r>
                          <w:r>
                            <w:fldChar w:fldCharType="begin"/>
                          </w:r>
                          <w:r>
                            <w:instrText xml:space="preserve"> PAGE  \* MERGEFORMAT </w:instrText>
                          </w:r>
                          <w:r>
                            <w:fldChar w:fldCharType="separate"/>
                          </w:r>
                          <w:r>
                            <w:t>4</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74D1C523">
                    <w:pPr>
                      <w:pStyle w:val="11"/>
                    </w:pPr>
                    <w:r>
                      <w:t xml:space="preserve">第 </w:t>
                    </w:r>
                    <w:r>
                      <w:fldChar w:fldCharType="begin"/>
                    </w:r>
                    <w:r>
                      <w:instrText xml:space="preserve"> PAGE  \* MERGEFORMAT </w:instrText>
                    </w:r>
                    <w:r>
                      <w:fldChar w:fldCharType="separate"/>
                    </w:r>
                    <w:r>
                      <w:t>4</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17006B">
    <w:pPr>
      <w:spacing w:line="269" w:lineRule="exact"/>
      <w:ind w:left="4387"/>
      <w:rPr>
        <w:rFonts w:ascii="等线" w:hAnsi="等线" w:eastAsia="等线" w:cs="等线"/>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20" name="文本框 3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8E5A84">
                          <w:pPr>
                            <w:pStyle w:val="11"/>
                          </w:pPr>
                          <w:r>
                            <w:t xml:space="preserve">第 </w:t>
                          </w:r>
                          <w:r>
                            <w:fldChar w:fldCharType="begin"/>
                          </w:r>
                          <w:r>
                            <w:instrText xml:space="preserve"> PAGE  \* MERGEFORMAT </w:instrText>
                          </w:r>
                          <w:r>
                            <w:fldChar w:fldCharType="separate"/>
                          </w:r>
                          <w:r>
                            <w:t>175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PPmg0AgAAZQ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XDz5oNAIAAGUEAAAOAAAAAAAAAAEAIAAAAB8BAABkcnMvZTJvRG9jLnhtbFBL&#10;BQYAAAAABgAGAFkBAADFBQAAAAA=&#10;">
              <v:fill on="f" focussize="0,0"/>
              <v:stroke on="f" weight="0.5pt"/>
              <v:imagedata o:title=""/>
              <o:lock v:ext="edit" aspectratio="f"/>
              <v:textbox inset="0mm,0mm,0mm,0mm" style="mso-fit-shape-to-text:t;">
                <w:txbxContent>
                  <w:p w14:paraId="298E5A84">
                    <w:pPr>
                      <w:pStyle w:val="11"/>
                    </w:pPr>
                    <w:r>
                      <w:t xml:space="preserve">第 </w:t>
                    </w:r>
                    <w:r>
                      <w:fldChar w:fldCharType="begin"/>
                    </w:r>
                    <w:r>
                      <w:instrText xml:space="preserve"> PAGE  \* MERGEFORMAT </w:instrText>
                    </w:r>
                    <w:r>
                      <w:fldChar w:fldCharType="separate"/>
                    </w:r>
                    <w:r>
                      <w:t>175</w:t>
                    </w:r>
                    <w:r>
                      <w:fldChar w:fldCharType="end"/>
                    </w:r>
                    <w:r>
                      <w:t xml:space="preserve"> 页</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6C5D0A">
    <w:pPr>
      <w:pStyle w:val="10"/>
      <w:pBdr>
        <w:bottom w:val="none" w:color="auto" w:sz="0" w:space="1"/>
      </w:pBdr>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SystemFonts/>
  <w:bordersDoNotSurroundHeader w:val="0"/>
  <w:bordersDoNotSurroundFooter w:val="0"/>
  <w:documentProtection w:enforcement="0"/>
  <w:defaultTabStop w:val="420"/>
  <w:drawingGridHorizontalSpacing w:val="240"/>
  <w:drawingGridVerticalSpacing w:val="173"/>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430AE0"/>
    <w:rsid w:val="005524AA"/>
    <w:rsid w:val="0095039C"/>
    <w:rsid w:val="026C2489"/>
    <w:rsid w:val="04B04C5A"/>
    <w:rsid w:val="04DC494A"/>
    <w:rsid w:val="05AF3B52"/>
    <w:rsid w:val="06FD7927"/>
    <w:rsid w:val="07497D23"/>
    <w:rsid w:val="08B0653F"/>
    <w:rsid w:val="091837BC"/>
    <w:rsid w:val="09573344"/>
    <w:rsid w:val="09DC0022"/>
    <w:rsid w:val="0B1775DA"/>
    <w:rsid w:val="0B34666C"/>
    <w:rsid w:val="0D01535E"/>
    <w:rsid w:val="0EB71933"/>
    <w:rsid w:val="0ECC45BF"/>
    <w:rsid w:val="110E1F43"/>
    <w:rsid w:val="141B480E"/>
    <w:rsid w:val="14D27EA4"/>
    <w:rsid w:val="15CA018B"/>
    <w:rsid w:val="162800FC"/>
    <w:rsid w:val="1666200B"/>
    <w:rsid w:val="1CE90E57"/>
    <w:rsid w:val="216B4D77"/>
    <w:rsid w:val="227232EB"/>
    <w:rsid w:val="24547366"/>
    <w:rsid w:val="296D6851"/>
    <w:rsid w:val="2AE83EFB"/>
    <w:rsid w:val="2B1B7DBA"/>
    <w:rsid w:val="2B4410F3"/>
    <w:rsid w:val="31557281"/>
    <w:rsid w:val="31E76DB4"/>
    <w:rsid w:val="32F94C12"/>
    <w:rsid w:val="33D3050B"/>
    <w:rsid w:val="3BEF6440"/>
    <w:rsid w:val="3CA24642"/>
    <w:rsid w:val="3DB821B1"/>
    <w:rsid w:val="3DEC3AAE"/>
    <w:rsid w:val="3E3C7E0C"/>
    <w:rsid w:val="405A6F96"/>
    <w:rsid w:val="40CA3E63"/>
    <w:rsid w:val="4183419A"/>
    <w:rsid w:val="471E6DA2"/>
    <w:rsid w:val="48130266"/>
    <w:rsid w:val="487F2935"/>
    <w:rsid w:val="4A4C2CEB"/>
    <w:rsid w:val="4D4408D9"/>
    <w:rsid w:val="4D72214C"/>
    <w:rsid w:val="4E157897"/>
    <w:rsid w:val="50F82F77"/>
    <w:rsid w:val="578F79D4"/>
    <w:rsid w:val="580A6702"/>
    <w:rsid w:val="5B2711A6"/>
    <w:rsid w:val="5DA5144D"/>
    <w:rsid w:val="5F5F661A"/>
    <w:rsid w:val="603E2C7E"/>
    <w:rsid w:val="60404F67"/>
    <w:rsid w:val="60746D32"/>
    <w:rsid w:val="6094289E"/>
    <w:rsid w:val="613D4CE3"/>
    <w:rsid w:val="61B353C5"/>
    <w:rsid w:val="625177EC"/>
    <w:rsid w:val="63130271"/>
    <w:rsid w:val="63170D5B"/>
    <w:rsid w:val="64FC1C78"/>
    <w:rsid w:val="664C17C6"/>
    <w:rsid w:val="672D2130"/>
    <w:rsid w:val="6BB14145"/>
    <w:rsid w:val="6C1256EA"/>
    <w:rsid w:val="6D176D30"/>
    <w:rsid w:val="6D474786"/>
    <w:rsid w:val="6EDA5EDF"/>
    <w:rsid w:val="727F474C"/>
    <w:rsid w:val="745D5C26"/>
    <w:rsid w:val="75EA3F71"/>
    <w:rsid w:val="769B008A"/>
    <w:rsid w:val="76AC56BF"/>
    <w:rsid w:val="778C3E77"/>
    <w:rsid w:val="784D2561"/>
    <w:rsid w:val="785325FF"/>
    <w:rsid w:val="7B56630A"/>
    <w:rsid w:val="7CEF5F6F"/>
    <w:rsid w:val="7D3B0AF2"/>
    <w:rsid w:val="7D712F02"/>
    <w:rsid w:val="7DA47454"/>
    <w:rsid w:val="7F5C25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99"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jc w:val="both"/>
    </w:pPr>
    <w:rPr>
      <w:rFonts w:ascii="Times New Roman" w:hAnsi="Times New Roman" w:eastAsia="宋体" w:cs="宋体"/>
      <w:sz w:val="24"/>
      <w:szCs w:val="24"/>
      <w:lang w:val="en-US" w:eastAsia="zh-CN" w:bidi="ar-SA"/>
    </w:rPr>
  </w:style>
  <w:style w:type="paragraph" w:styleId="3">
    <w:name w:val="heading 1"/>
    <w:basedOn w:val="1"/>
    <w:next w:val="1"/>
    <w:qFormat/>
    <w:uiPriority w:val="0"/>
    <w:pPr>
      <w:keepNext/>
      <w:keepLines/>
      <w:spacing w:beforeLines="0" w:beforeAutospacing="0" w:afterLines="0" w:afterAutospacing="0" w:line="360" w:lineRule="auto"/>
      <w:outlineLvl w:val="0"/>
    </w:pPr>
    <w:rPr>
      <w:rFonts w:ascii="Times New Roman" w:hAnsi="Times New Roman" w:eastAsia="宋体"/>
      <w:b/>
      <w:kern w:val="44"/>
      <w:sz w:val="32"/>
    </w:rPr>
  </w:style>
  <w:style w:type="paragraph" w:styleId="2">
    <w:name w:val="heading 2"/>
    <w:basedOn w:val="1"/>
    <w:next w:val="1"/>
    <w:link w:val="33"/>
    <w:unhideWhenUsed/>
    <w:qFormat/>
    <w:uiPriority w:val="0"/>
    <w:pPr>
      <w:keepNext/>
      <w:keepLines/>
      <w:spacing w:beforeLines="0" w:beforeAutospacing="0" w:afterLines="0" w:afterAutospacing="0" w:line="360" w:lineRule="auto"/>
      <w:outlineLvl w:val="1"/>
    </w:pPr>
    <w:rPr>
      <w:rFonts w:ascii="Times New Roman" w:hAnsi="Times New Roman" w:eastAsia="宋体"/>
      <w:b/>
      <w:sz w:val="28"/>
    </w:rPr>
  </w:style>
  <w:style w:type="paragraph" w:styleId="4">
    <w:name w:val="heading 3"/>
    <w:basedOn w:val="1"/>
    <w:next w:val="1"/>
    <w:link w:val="41"/>
    <w:unhideWhenUsed/>
    <w:qFormat/>
    <w:uiPriority w:val="0"/>
    <w:pPr>
      <w:keepNext/>
      <w:keepLines/>
      <w:ind w:firstLine="0" w:firstLineChars="0"/>
      <w:outlineLvl w:val="2"/>
    </w:pPr>
    <w:rPr>
      <w:b/>
      <w:bCs/>
      <w:sz w:val="28"/>
      <w:szCs w:val="32"/>
    </w:rPr>
  </w:style>
  <w:style w:type="paragraph" w:styleId="5">
    <w:name w:val="heading 4"/>
    <w:basedOn w:val="1"/>
    <w:next w:val="1"/>
    <w:link w:val="40"/>
    <w:unhideWhenUsed/>
    <w:qFormat/>
    <w:uiPriority w:val="0"/>
    <w:pPr>
      <w:keepNext/>
      <w:keepLines/>
      <w:ind w:firstLine="0" w:firstLineChars="0"/>
      <w:jc w:val="left"/>
      <w:outlineLvl w:val="3"/>
    </w:pPr>
    <w:rPr>
      <w:rFonts w:ascii="Times New Roman" w:hAnsi="Times New Roman"/>
      <w:b/>
      <w:bCs/>
      <w:szCs w:val="28"/>
    </w:rPr>
  </w:style>
  <w:style w:type="paragraph" w:styleId="6">
    <w:name w:val="heading 5"/>
    <w:basedOn w:val="1"/>
    <w:next w:val="1"/>
    <w:unhideWhenUsed/>
    <w:qFormat/>
    <w:uiPriority w:val="0"/>
    <w:pPr>
      <w:keepNext/>
      <w:keepLines/>
      <w:spacing w:beforeLines="0" w:beforeAutospacing="0" w:afterLines="0" w:afterAutospacing="0" w:line="360" w:lineRule="auto"/>
      <w:outlineLvl w:val="4"/>
    </w:pPr>
    <w:rPr>
      <w:b/>
      <w:sz w:val="24"/>
    </w:rPr>
  </w:style>
  <w:style w:type="character" w:default="1" w:styleId="19">
    <w:name w:val="Default Paragraph Font"/>
    <w:semiHidden/>
    <w:qFormat/>
    <w:uiPriority w:val="0"/>
  </w:style>
  <w:style w:type="table" w:default="1" w:styleId="17">
    <w:name w:val="Normal Table"/>
    <w:semiHidden/>
    <w:qFormat/>
    <w:uiPriority w:val="0"/>
    <w:tblPr>
      <w:tblCellMar>
        <w:top w:w="0" w:type="dxa"/>
        <w:left w:w="108" w:type="dxa"/>
        <w:bottom w:w="0" w:type="dxa"/>
        <w:right w:w="108" w:type="dxa"/>
      </w:tblCellMar>
    </w:tblPr>
  </w:style>
  <w:style w:type="paragraph" w:styleId="7">
    <w:name w:val="annotation text"/>
    <w:basedOn w:val="1"/>
    <w:qFormat/>
    <w:uiPriority w:val="0"/>
    <w:pPr>
      <w:jc w:val="left"/>
    </w:pPr>
  </w:style>
  <w:style w:type="paragraph" w:styleId="8">
    <w:name w:val="Body Text"/>
    <w:basedOn w:val="1"/>
    <w:qFormat/>
    <w:uiPriority w:val="99"/>
    <w:pPr>
      <w:spacing w:after="120"/>
      <w:ind w:firstLine="200" w:firstLineChars="200"/>
    </w:pPr>
    <w:rPr>
      <w:rFonts w:cs="Times New Roman"/>
      <w:kern w:val="2"/>
    </w:rPr>
  </w:style>
  <w:style w:type="paragraph" w:styleId="9">
    <w:name w:val="Body Text Indent"/>
    <w:basedOn w:val="1"/>
    <w:next w:val="10"/>
    <w:qFormat/>
    <w:uiPriority w:val="0"/>
    <w:pPr>
      <w:textAlignment w:val="baseline"/>
    </w:pPr>
    <w:rPr>
      <w:b/>
      <w:kern w:val="0"/>
      <w:szCs w:val="24"/>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footer"/>
    <w:basedOn w:val="1"/>
    <w:qFormat/>
    <w:uiPriority w:val="0"/>
    <w:pPr>
      <w:tabs>
        <w:tab w:val="center" w:pos="4153"/>
        <w:tab w:val="right" w:pos="8306"/>
      </w:tabs>
      <w:snapToGrid w:val="0"/>
      <w:jc w:val="left"/>
    </w:pPr>
    <w:rPr>
      <w:sz w:val="18"/>
    </w:rPr>
  </w:style>
  <w:style w:type="paragraph" w:styleId="12">
    <w:name w:val="toc 1"/>
    <w:basedOn w:val="1"/>
    <w:next w:val="1"/>
    <w:qFormat/>
    <w:uiPriority w:val="39"/>
    <w:pPr>
      <w:ind w:firstLine="0" w:firstLineChars="0"/>
    </w:pPr>
    <w:rPr>
      <w:sz w:val="28"/>
    </w:rPr>
  </w:style>
  <w:style w:type="paragraph" w:styleId="13">
    <w:name w:val="Subtitle"/>
    <w:basedOn w:val="1"/>
    <w:next w:val="1"/>
    <w:qFormat/>
    <w:uiPriority w:val="0"/>
    <w:pPr>
      <w:spacing w:before="240" w:after="60" w:line="312" w:lineRule="auto"/>
      <w:ind w:firstLine="200" w:firstLineChars="200"/>
      <w:jc w:val="center"/>
      <w:outlineLvl w:val="1"/>
    </w:pPr>
    <w:rPr>
      <w:rFonts w:ascii="Cambria" w:hAnsi="Cambria" w:cs="Times New Roman"/>
      <w:b/>
      <w:bCs/>
      <w:kern w:val="28"/>
      <w:sz w:val="32"/>
      <w:szCs w:val="32"/>
    </w:rPr>
  </w:style>
  <w:style w:type="paragraph" w:styleId="14">
    <w:name w:val="toc 2"/>
    <w:basedOn w:val="1"/>
    <w:next w:val="1"/>
    <w:qFormat/>
    <w:uiPriority w:val="0"/>
    <w:pPr>
      <w:ind w:left="420" w:leftChars="200"/>
    </w:pPr>
  </w:style>
  <w:style w:type="paragraph" w:styleId="15">
    <w:name w:val="Normal (Web)"/>
    <w:basedOn w:val="1"/>
    <w:qFormat/>
    <w:uiPriority w:val="0"/>
    <w:pPr>
      <w:spacing w:before="100" w:beforeAutospacing="1" w:after="100" w:afterAutospacing="1"/>
    </w:pPr>
    <w:rPr>
      <w:rFonts w:ascii="宋体" w:hAnsi="宋体" w:cs="Times New Roman"/>
      <w:color w:val="000000"/>
      <w:kern w:val="2"/>
      <w:sz w:val="24"/>
      <w:szCs w:val="24"/>
    </w:rPr>
  </w:style>
  <w:style w:type="paragraph" w:styleId="16">
    <w:name w:val="Body Text First Indent 2"/>
    <w:basedOn w:val="9"/>
    <w:next w:val="1"/>
    <w:qFormat/>
    <w:uiPriority w:val="0"/>
    <w:pPr>
      <w:widowControl w:val="0"/>
      <w:spacing w:after="120" w:line="240" w:lineRule="auto"/>
      <w:ind w:left="420" w:leftChars="200" w:firstLine="420" w:firstLineChars="200"/>
      <w:jc w:val="both"/>
    </w:pPr>
    <w:rPr>
      <w:rFonts w:ascii="等线" w:eastAsia="等线"/>
      <w:sz w:val="21"/>
      <w:szCs w:val="24"/>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Hyperlink"/>
    <w:basedOn w:val="19"/>
    <w:qFormat/>
    <w:uiPriority w:val="0"/>
    <w:rPr>
      <w:color w:val="0000FF"/>
      <w:u w:val="single"/>
    </w:rPr>
  </w:style>
  <w:style w:type="paragraph" w:customStyle="1" w:styleId="21">
    <w:name w:val="表格标题"/>
    <w:basedOn w:val="1"/>
    <w:next w:val="1"/>
    <w:link w:val="22"/>
    <w:qFormat/>
    <w:uiPriority w:val="0"/>
    <w:pPr>
      <w:adjustRightInd/>
      <w:snapToGrid/>
      <w:spacing w:line="360" w:lineRule="auto"/>
      <w:ind w:firstLine="0" w:firstLineChars="0"/>
      <w:jc w:val="center"/>
    </w:pPr>
    <w:rPr>
      <w:rFonts w:hint="eastAsia" w:ascii="宋体" w:hAnsi="宋体" w:eastAsia="宋体" w:cs="宋体"/>
      <w:b/>
      <w:sz w:val="24"/>
      <w:szCs w:val="21"/>
    </w:rPr>
  </w:style>
  <w:style w:type="character" w:customStyle="1" w:styleId="22">
    <w:name w:val="表格标题 Char1"/>
    <w:link w:val="21"/>
    <w:qFormat/>
    <w:uiPriority w:val="0"/>
    <w:rPr>
      <w:rFonts w:hint="eastAsia" w:ascii="宋体" w:hAnsi="宋体" w:eastAsia="宋体" w:cs="宋体"/>
      <w:b/>
      <w:sz w:val="24"/>
      <w:szCs w:val="21"/>
    </w:rPr>
  </w:style>
  <w:style w:type="character" w:customStyle="1" w:styleId="23">
    <w:name w:val="标题 1 Char Char"/>
    <w:autoRedefine/>
    <w:qFormat/>
    <w:uiPriority w:val="0"/>
    <w:rPr>
      <w:rFonts w:eastAsia="宋体"/>
      <w:b/>
      <w:bCs/>
      <w:kern w:val="44"/>
      <w:sz w:val="44"/>
      <w:szCs w:val="44"/>
      <w:lang w:val="en-US" w:eastAsia="zh-CN" w:bidi="ar-SA"/>
    </w:rPr>
  </w:style>
  <w:style w:type="paragraph" w:customStyle="1" w:styleId="24">
    <w:name w:val="Table Text"/>
    <w:basedOn w:val="1"/>
    <w:semiHidden/>
    <w:qFormat/>
    <w:uiPriority w:val="0"/>
    <w:rPr>
      <w:rFonts w:ascii="宋体" w:hAnsi="宋体" w:eastAsia="宋体" w:cs="宋体"/>
      <w:sz w:val="20"/>
      <w:szCs w:val="20"/>
      <w:lang w:val="en-US" w:eastAsia="en-US" w:bidi="ar-SA"/>
    </w:rPr>
  </w:style>
  <w:style w:type="table" w:customStyle="1" w:styleId="25">
    <w:name w:val="Table Normal"/>
    <w:unhideWhenUsed/>
    <w:qFormat/>
    <w:uiPriority w:val="2"/>
    <w:pPr>
      <w:widowControl w:val="0"/>
    </w:pPr>
    <w:rPr>
      <w:sz w:val="22"/>
      <w:lang w:val="en-US" w:eastAsia="en-US" w:bidi="ar-SA"/>
    </w:rPr>
    <w:tblPr>
      <w:tblCellMar>
        <w:top w:w="0" w:type="dxa"/>
        <w:left w:w="0" w:type="dxa"/>
        <w:bottom w:w="0" w:type="dxa"/>
        <w:right w:w="0" w:type="dxa"/>
      </w:tblCellMar>
    </w:tblPr>
  </w:style>
  <w:style w:type="paragraph" w:customStyle="1" w:styleId="26">
    <w:name w:val="ZF-表格内容"/>
    <w:basedOn w:val="1"/>
    <w:qFormat/>
    <w:uiPriority w:val="0"/>
    <w:pPr>
      <w:spacing w:line="240" w:lineRule="auto"/>
      <w:ind w:left="0"/>
      <w:jc w:val="center"/>
    </w:pPr>
    <w:rPr>
      <w:rFonts w:ascii="Times New Roman" w:hAnsi="Times New Roman" w:eastAsia="宋体" w:cs="Times New Roman"/>
      <w:spacing w:val="6"/>
      <w:sz w:val="21"/>
      <w:szCs w:val="21"/>
      <w:lang w:eastAsia="en-US"/>
    </w:rPr>
  </w:style>
  <w:style w:type="paragraph" w:customStyle="1" w:styleId="27">
    <w:name w:val="表格内容"/>
    <w:basedOn w:val="21"/>
    <w:next w:val="1"/>
    <w:qFormat/>
    <w:uiPriority w:val="0"/>
    <w:pPr>
      <w:adjustRightInd w:val="0"/>
      <w:snapToGrid w:val="0"/>
      <w:jc w:val="center"/>
    </w:pPr>
    <w:rPr>
      <w:rFonts w:ascii="Times New Roman" w:hAnsi="Times New Roman" w:eastAsia="宋体" w:cs="Times New Roman"/>
      <w:b w:val="0"/>
    </w:rPr>
  </w:style>
  <w:style w:type="paragraph" w:customStyle="1" w:styleId="28">
    <w:name w:val="表头"/>
    <w:basedOn w:val="29"/>
    <w:next w:val="1"/>
    <w:link w:val="37"/>
    <w:qFormat/>
    <w:uiPriority w:val="0"/>
    <w:pPr>
      <w:adjustRightInd w:val="0"/>
      <w:snapToGrid w:val="0"/>
      <w:spacing w:line="240" w:lineRule="auto"/>
      <w:ind w:firstLine="0" w:firstLineChars="0"/>
      <w:jc w:val="center"/>
    </w:pPr>
    <w:rPr>
      <w:kern w:val="0"/>
      <w:szCs w:val="20"/>
    </w:rPr>
  </w:style>
  <w:style w:type="paragraph" w:customStyle="1" w:styleId="29">
    <w:name w:val="文本"/>
    <w:basedOn w:val="9"/>
    <w:next w:val="1"/>
    <w:qFormat/>
    <w:uiPriority w:val="0"/>
    <w:pPr>
      <w:adjustRightInd w:val="0"/>
      <w:snapToGrid w:val="0"/>
    </w:pPr>
  </w:style>
  <w:style w:type="paragraph" w:customStyle="1" w:styleId="30">
    <w:name w:val="表格"/>
    <w:basedOn w:val="28"/>
    <w:next w:val="1"/>
    <w:autoRedefine/>
    <w:qFormat/>
    <w:uiPriority w:val="0"/>
    <w:pPr>
      <w:spacing w:line="240" w:lineRule="auto"/>
      <w:ind w:firstLine="0" w:firstLineChars="0"/>
      <w:jc w:val="center"/>
    </w:pPr>
    <w:rPr>
      <w:rFonts w:ascii="Times New Roman" w:hAnsi="Times New Roman" w:eastAsia="宋体"/>
      <w:b w:val="0"/>
      <w:color w:val="auto"/>
      <w:sz w:val="21"/>
      <w:szCs w:val="21"/>
    </w:rPr>
  </w:style>
  <w:style w:type="paragraph" w:customStyle="1" w:styleId="31">
    <w:name w:val="表头-ZF"/>
    <w:basedOn w:val="1"/>
    <w:qFormat/>
    <w:uiPriority w:val="0"/>
    <w:pPr>
      <w:spacing w:line="240" w:lineRule="auto"/>
      <w:ind w:left="0" w:right="0" w:firstLine="0" w:firstLineChars="0"/>
      <w:jc w:val="center"/>
    </w:pPr>
    <w:rPr>
      <w:rFonts w:hint="eastAsia" w:ascii="Times New Roman" w:hAnsi="Times New Roman" w:eastAsia="宋体" w:cs="Times New Roman"/>
      <w:b/>
      <w:spacing w:val="-6"/>
      <w:sz w:val="24"/>
      <w:szCs w:val="24"/>
    </w:rPr>
  </w:style>
  <w:style w:type="paragraph" w:customStyle="1" w:styleId="32">
    <w:name w:val="正文-ZF"/>
    <w:basedOn w:val="1"/>
    <w:qFormat/>
    <w:uiPriority w:val="0"/>
    <w:pPr>
      <w:spacing w:line="360" w:lineRule="auto"/>
      <w:ind w:left="0" w:right="0" w:firstLine="420" w:firstLineChars="200"/>
      <w:jc w:val="both"/>
    </w:pPr>
    <w:rPr>
      <w:rFonts w:hint="eastAsia" w:ascii="Times New Roman" w:hAnsi="Times New Roman" w:eastAsia="宋体" w:cs="Times New Roman"/>
      <w:spacing w:val="-6"/>
      <w:sz w:val="24"/>
      <w:szCs w:val="24"/>
    </w:rPr>
  </w:style>
  <w:style w:type="character" w:customStyle="1" w:styleId="33">
    <w:name w:val="标题 2 Char"/>
    <w:link w:val="2"/>
    <w:qFormat/>
    <w:uiPriority w:val="0"/>
    <w:rPr>
      <w:rFonts w:ascii="Times New Roman" w:hAnsi="Times New Roman" w:eastAsia="宋体"/>
      <w:b/>
      <w:sz w:val="28"/>
    </w:rPr>
  </w:style>
  <w:style w:type="paragraph" w:customStyle="1" w:styleId="34">
    <w:name w:val="标题3"/>
    <w:basedOn w:val="1"/>
    <w:qFormat/>
    <w:uiPriority w:val="0"/>
    <w:pPr>
      <w:widowControl w:val="0"/>
      <w:suppressLineNumbers/>
      <w:spacing w:before="120" w:after="120"/>
      <w:jc w:val="both"/>
      <w:outlineLvl w:val="2"/>
    </w:pPr>
    <w:rPr>
      <w:rFonts w:eastAsia="黑体"/>
      <w:kern w:val="2"/>
      <w:sz w:val="30"/>
      <w:szCs w:val="24"/>
    </w:rPr>
  </w:style>
  <w:style w:type="paragraph" w:customStyle="1" w:styleId="35">
    <w:name w:val="二级标题"/>
    <w:basedOn w:val="13"/>
    <w:qFormat/>
    <w:uiPriority w:val="0"/>
    <w:pPr>
      <w:jc w:val="left"/>
    </w:pPr>
  </w:style>
  <w:style w:type="paragraph" w:customStyle="1" w:styleId="36">
    <w:name w:val="表左"/>
    <w:basedOn w:val="1"/>
    <w:next w:val="1"/>
    <w:qFormat/>
    <w:uiPriority w:val="0"/>
    <w:pPr>
      <w:spacing w:line="280" w:lineRule="exact"/>
    </w:pPr>
    <w:rPr>
      <w:rFonts w:ascii="Times New Roman" w:hAnsi="Times New Roman"/>
      <w:snapToGrid w:val="0"/>
      <w:color w:val="000000"/>
      <w:sz w:val="18"/>
      <w:szCs w:val="20"/>
    </w:rPr>
  </w:style>
  <w:style w:type="character" w:customStyle="1" w:styleId="37">
    <w:name w:val="表头 Char1"/>
    <w:link w:val="28"/>
    <w:qFormat/>
    <w:uiPriority w:val="0"/>
    <w:rPr>
      <w:kern w:val="0"/>
      <w:szCs w:val="20"/>
    </w:rPr>
  </w:style>
  <w:style w:type="paragraph" w:customStyle="1" w:styleId="38">
    <w:name w:val="表内-ZF"/>
    <w:basedOn w:val="1"/>
    <w:qFormat/>
    <w:uiPriority w:val="0"/>
    <w:pPr>
      <w:spacing w:line="240" w:lineRule="auto"/>
      <w:ind w:left="0" w:firstLine="0" w:firstLineChars="0"/>
      <w:jc w:val="center"/>
    </w:pPr>
    <w:rPr>
      <w:rFonts w:ascii="Times New Roman" w:hAnsi="Times New Roman" w:eastAsia="宋体"/>
      <w:spacing w:val="6"/>
      <w:sz w:val="21"/>
    </w:rPr>
  </w:style>
  <w:style w:type="paragraph" w:customStyle="1" w:styleId="39">
    <w:name w:val="四级标题-ZF"/>
    <w:basedOn w:val="1"/>
    <w:qFormat/>
    <w:uiPriority w:val="0"/>
    <w:pPr>
      <w:spacing w:line="360" w:lineRule="auto"/>
    </w:pPr>
    <w:rPr>
      <w:rFonts w:hint="eastAsia" w:ascii="Times New Roman" w:hAnsi="Times New Roman" w:eastAsia="宋体" w:cs="Times New Roman"/>
      <w:b/>
      <w:spacing w:val="-6"/>
      <w:sz w:val="24"/>
      <w:szCs w:val="24"/>
    </w:rPr>
  </w:style>
  <w:style w:type="character" w:customStyle="1" w:styleId="40">
    <w:name w:val="标题 4 Char"/>
    <w:link w:val="5"/>
    <w:qFormat/>
    <w:uiPriority w:val="0"/>
    <w:rPr>
      <w:rFonts w:ascii="Times New Roman" w:hAnsi="Times New Roman"/>
      <w:b/>
      <w:bCs/>
      <w:szCs w:val="28"/>
    </w:rPr>
  </w:style>
  <w:style w:type="character" w:customStyle="1" w:styleId="41">
    <w:name w:val="标题 3 Char"/>
    <w:link w:val="4"/>
    <w:qFormat/>
    <w:uiPriority w:val="0"/>
    <w:rPr>
      <w:b/>
      <w:bCs/>
      <w:sz w:val="28"/>
      <w:szCs w:val="32"/>
    </w:rPr>
  </w:style>
  <w:style w:type="paragraph" w:styleId="42">
    <w:name w:val="No Spacing"/>
    <w:autoRedefine/>
    <w:qFormat/>
    <w:uiPriority w:val="1"/>
    <w:rPr>
      <w:rFonts w:ascii="Calibri" w:hAnsi="Calibri" w:eastAsia="宋体" w:cs="Times New Roman"/>
      <w:sz w:val="22"/>
      <w:szCs w:val="22"/>
      <w:lang w:val="en-US" w:eastAsia="zh-CN" w:bidi="ar-SA"/>
    </w:rPr>
  </w:style>
  <w:style w:type="paragraph" w:customStyle="1" w:styleId="43">
    <w:name w:val="三级标题"/>
    <w:basedOn w:val="1"/>
    <w:autoRedefine/>
    <w:qFormat/>
    <w:uiPriority w:val="0"/>
    <w:pPr>
      <w:ind w:firstLine="200" w:firstLineChars="200"/>
      <w:outlineLvl w:val="2"/>
    </w:pPr>
    <w:rPr>
      <w:b/>
    </w:rPr>
  </w:style>
  <w:style w:type="paragraph" w:styleId="44">
    <w:name w:val="List Paragraph"/>
    <w:basedOn w:val="1"/>
    <w:qFormat/>
    <w:uiPriority w:val="0"/>
    <w:pPr>
      <w:spacing w:line="360" w:lineRule="auto"/>
      <w:ind w:firstLine="420" w:firstLineChars="200"/>
    </w:pPr>
    <w:rPr>
      <w:rFonts w:ascii="Times New Roman" w:hAnsi="Times New Roman"/>
    </w:rPr>
  </w:style>
  <w:style w:type="paragraph" w:customStyle="1" w:styleId="45">
    <w:name w:val="表格hks"/>
    <w:next w:val="1"/>
    <w:qFormat/>
    <w:uiPriority w:val="0"/>
    <w:pPr>
      <w:jc w:val="center"/>
    </w:pPr>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1.bin"/><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5" Type="http://schemas.openxmlformats.org/officeDocument/2006/relationships/fontTable" Target="fontTable.xml"/><Relationship Id="rId54" Type="http://schemas.openxmlformats.org/officeDocument/2006/relationships/customXml" Target="../customXml/item1.xml"/><Relationship Id="rId53" Type="http://schemas.openxmlformats.org/officeDocument/2006/relationships/image" Target="media/image43.png"/><Relationship Id="rId52" Type="http://schemas.openxmlformats.org/officeDocument/2006/relationships/image" Target="media/image42.jpeg"/><Relationship Id="rId51" Type="http://schemas.openxmlformats.org/officeDocument/2006/relationships/image" Target="media/image41.jpeg"/><Relationship Id="rId50" Type="http://schemas.openxmlformats.org/officeDocument/2006/relationships/image" Target="media/image40.jpeg"/><Relationship Id="rId5" Type="http://schemas.openxmlformats.org/officeDocument/2006/relationships/header" Target="header1.xml"/><Relationship Id="rId49" Type="http://schemas.openxmlformats.org/officeDocument/2006/relationships/image" Target="media/image39.jpeg"/><Relationship Id="rId48" Type="http://schemas.openxmlformats.org/officeDocument/2006/relationships/image" Target="media/image38.jpeg"/><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pn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endnotes" Target="endnotes.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wmf"/><Relationship Id="rId32" Type="http://schemas.openxmlformats.org/officeDocument/2006/relationships/image" Target="media/image22.wmf"/><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png"/><Relationship Id="rId26" Type="http://schemas.openxmlformats.org/officeDocument/2006/relationships/image" Target="media/image16.jpeg"/><Relationship Id="rId25" Type="http://schemas.openxmlformats.org/officeDocument/2006/relationships/image" Target="media/image15.wmf"/><Relationship Id="rId24" Type="http://schemas.openxmlformats.org/officeDocument/2006/relationships/image" Target="media/image14.wmf"/><Relationship Id="rId23" Type="http://schemas.openxmlformats.org/officeDocument/2006/relationships/image" Target="media/image13.jpe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jpe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wmf"/><Relationship Id="rId11" Type="http://schemas.openxmlformats.org/officeDocument/2006/relationships/oleObject" Target="embeddings/oleObject2.bin"/><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extobjs>
    <extobj name="E657119C-6982-421D-8BA7-E74DEB70A7D9-1">
      <extobjdata type="E657119C-6982-421D-8BA7-E74DEB70A7D9" data="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rMXJZMUJNZGt4b2QzZzBPRFF4T1RVbE1qSWxOMFFsTWtNbE4wSWxNakp1WVcxbEpUSXlKVE5CSlRJeUpVVTFKVGt3SlRoRUpVVTNKVUUzSlVJd0pUSXlKVEpESlRJeWRIbHdaU1V5TWlVelFTVXlNbk4wY21sdVp5VXlNaVV5UXlVeU1uWmhiSFZsSlRJeUpUTkJKVEl5SlRJeUpUSkRKVEl5WTJGMFpXZHZjbmtsTWpJbE0wRWxNakprWldaaGRXeDBKVEl5SlRKREpUSXlhV1FsTWpJbE0wRWxNako0UWxWSVRGTndVWHBDTURreE9USTN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jZaMjkxVVVsc1kwTkNPVGd6T1RJekpUSXlKVE5CSlRkQ0pUSXlhV1FsTWpJbE0wRWxNako2WjI5MVVVbHNZME5DT1Rnek9USXpKVEl5SlRKREpUSXlibUZ0WlNVeU1pVXpRU1V5TW5KbFkzUmhibWRzWlNVeU1pVXlReVV5TW5ScGRHeGxKVEl5SlROQkpUSXlKVVUzSlRsR0pVRTVKVVUxSlVKRUpVRXl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sVjFTMGQyYlVOSlpHYzNORFk0TmpnbE1qSWxOMFFsTWtNbE4wSWxNakp1WVcxbEpUSXlKVE5CSlRJeUpVVTFKVGt3SlRoRUpVVTNKVUUzSlVJd0pUSXlKVEpESlRJeWRIbHdaU1V5TWlVelFTVXlNbk4wY21sdVp5VXlNaVV5UXlVeU1uWmhiSFZsSlRJeUpUTkJKVEl5SlRJeUpUSkRKVEl5WTJGMFpXZHZjbmtsTWpJbE0wRWxNakprWldaaGRXeDBKVEl5SlRKREpUSXlhV1FsTWpJbE0wRWxNakpSU0ZoeVJtOUVjVVZXTXpVMk5UTXh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XlNbk5wZW1VbE1qSWxNMEV5TUNVeVF5VXlNbUp2YkdRbE1qSWxNMEYwY25WbEpUZEVKVEpESlRJeWRHVjRkRUpzYjJOckpUSXlKVE5CSlRWQ0pUZENKVEl5Y0c5emFYUnBiMjRsTWpJbE0wRWxOMElsTWpKNEpUSXlKVE5CTVRBbE1rTWxNako1SlRJeUpUTkJNQ1V5UXlVeU1uY2xNaklsTTBFbE1qSjNMVEl3SlRJeUpUSkRKVEl5YUNVeU1pVXpRU1V5TW1nbE1qSWxOMFFsTWtNbE1qSjBaWGgwSlRJeUpUTkJKVEl5YzJOeWRXSmlaWElsUlRZbE9FVWxPVElsUlRrbFFUTWxPRVV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V5TW5OcGVtVWxNaklsTTBFeU1DVXlReVV5TW1KdmJHUWxNaklsTTBGMGNuVmxKVGRFSlRKREpUSXlkR1Y0ZEVKc2IyTnJKVEl5SlROQkpUVkNKVGRDSlRJeWNHOXphWFJwYjI0bE1qSWxNMEVsTjBJbE1qSjRKVEl5SlROQk1UQWxNa01sTWpKNUpUSXlKVE5CTUNVeVF5VXlNbmNsTWpJbE0wRWxNakozTFRJd0pUSXlKVEpESlRJeWFDVXlNaVV6UVNVeU1tZ2xNaklsTjBRbE1rTWxNakowWlhoMEpUSXlKVE5CSlRJeUpVVTNKVGxESlRsR0pVVTNKVUU1SlVKQkpVVTJKVUl6SlVJMUpVVTJKVGhGSlRreUpVVTVKVUV6SlRoRk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El5YzJsNlpTVXlNaVV6UVRJd0pUSkRKVEl5WW05c1pDVXlNaVV6UVhSeWRXVWxOMFFsTWtNbE1qSjBaWGgwUW14dlkyc2xNaklsTTBFbE5VSWxOMElsTWpKd2IzTnBkR2x2YmlVeU1pVXpRU1UzUWlVeU1uZ2xNaklsTTBFeE1DVXlReVV5TW5rbE1qSWxNMEV3SlRKREpUSXlkeVV5TWlVelFTVXlNbmN0TWpBbE1qSWxNa01sTWpKb0pUSXlKVE5CSlRJeWFDVXlNaVUzUkNVeVF5VXlNblJsZUhRbE1qSWxNMEVsTWpJbFJUY2xPRGNsT0RNbFJUY2xPRE1sUVRjbFJUY2xRVVFsT1RJbE1rSXlKVVUxSlVFMUpUazNKVVUwSlVKQkpUaERKVVUzSlVKQkpVRTNKVVUySlVJd0pVSTBKVVUxSlRrMkpVSTNKVVUySlVJM0pUaENKVVUxSlVFeEpUazB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EpESlRJeVpIQjBhRUY0YWs5UFJqazNNVEk1TmlVeU1pVXpRU1UzUWlVeU1tbGtKVEl5SlROQkpUSXlaSEIwYUVGNGFrOVBSamszTVRJNU5pVXlNaVV5UXlVeU1tNWhiV1VsTWpJbE0wRWxNakp5WldOMFlXNW5iR1VsTWpJbE1rTWxNakowYVhSc1pTVXlNaVV6UVNVeU1pVkZOeVU1UmlWQk9TVkZOU1ZDUkNWQk1pVXlNaVV5UXlVeU1tTmhkR1ZuYjNKNUpUSXlKVE5CSlRJeVltRnphV01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o1V1VWMWQxaEZZM1JvTmpjNU9EWTRKVEl5SlROQkpUZENKVEl5YVdRbE1qSWxNMEVsTWpKNVdVVjFkMWhGWTNSb05qYzVPRFk0SlRJeUpUSkRKVEl5Ym1GdFpTVXlNaVV6UVNVeU1uSmxZM1JoYm1kc1pTVXlNaVV5UXlVeU1uUnBkR3hsSlRJeUpUTkJKVEl5SlVVM0pUbEdKVUU1SlVVMUpVSkVKVUV5SlRJeUpUSkRKVEl5WTJGMFpXZHZjbmtsTWpJbE0wRWxNakppWVhOcFl5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JeWMybDZaU1V5TWlVelFUSXdKVEpESlRJeVltOXNaQ1V5TWlVelFYUnlkV1VsTjBRbE1rTWxNakowWlhoMFFteHZZMnNsTWpJbE0wRWxOVUlsTjBJbE1qSndiM05wZEdsdmJpVXlNaVV6UVNVM1FpVXlNbmdsTWpJbE0wRXhNQ1V5UXlVeU1ua2xNaklsTTBFd0pUSkRKVEl5ZHlVeU1pVXpRU1V5TW5jdE1qQWxNaklsTWtNbE1qSm9KVEl5SlROQkpUSXlhQ1V5TWlVM1JDVXlReVV5TW5SbGVIUWxNaklsTTBFbE1qSXlOVzBsUlRrbFFVSWxPVGhFUVRBd09D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El5YzJsNlpTVXlNaVV6UVRJd0pUSkRKVEl5WW05c1pDVXlNaVV6UVhSeWRXVWxOMFFsTWtNbE1qSjBaWGgwUW14dlkyc2xNaklsTTBFbE5VSWxOMElsTWpKd2IzTnBkR2x2YmlVeU1pVXpRU1UzUWlVeU1uZ2xNaklsTTBFeE1DVXlReVV5TW5rbE1qSWxNMEV3SlRKREpUSXlkeVV5TWlVelFTVXlNbmN0TWpBbE1qSWxNa01sTWpKb0pUSXlKVE5CSlRJeWFDVXlNaVUzUkNVeVF5VXlNblJsZUhRbE1qSWxNMEVsTWpJbFJUUWxRamdsT1VRbFJUY2xRa1FsT1RFbFJUVWxPRVFsUWpBbFJUVWxPRGdsUWpjbFJUTWxPREFsT0RFbFJUY2xPRE1sUVRjbFJUY2xRa0lsT1RNbFJUZ2xRVVVsUWtVbFJUVWxRVFFsT0Rj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pKUVVkV1VGcHZiWEZxTXpRek1URTVKVEl5SlROQkpUZENKVEl5YVdRbE1qSWxNMEVsTWpKSlFVZFdVRnB2YlhGcU16UXpNVEU1SlRJeUpUSkRKVEl5Ym1GdFpTVXlNaVV6UVNVeU1uSmxZM1JoYm1kc1pTVXlNaVV5UXlVeU1uUnBkR3hsSlRJeUpUTkJKVEl5SlVVM0pUbEdKVUU1SlVVMUpVSkVKVUV5SlRJeUpUSkRKVEl5WTJGMFpXZHZjbmtsTWpJbE0wRWxNakppWVhOcFl5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XlNbk5wZW1VbE1qSWxNMEV5TUNVeVF5VXlNbUp2YkdRbE1qSWxNMEYwY25WbEpUZEVKVEpESlRJeWRHVjRkRUpzYjJOckpUSXlKVE5CSlRWQ0pUZENKVEl5Y0c5emFYUnBiMjRsTWpJbE0wRWxOMElsTWpKNEpUSXlKVE5CTVRBbE1rTWxNako1SlRJeUpUTkJNQ1V5UXlVeU1uY2xNaklsTTBFbE1qSjNMVEl3SlRJeUpUSkRKVEl5YUNVeU1pVXpRU1V5TW1nbE1qSWxOMFFsTWtNbE1qSjBaWGgwSlRJeUpUTkJKVEl5SlVVNEpVRkZKVUpGSlVVMUpVRTBKVGczSlVVNEpUZzNKVUZCSlVVMUpVSTRKVUUySlVVMUpUbERKVUU0SlVVM0pVSkJKVUpHSlVVM0pUZzNKVGd6SlVVM0pUZ3pKVUUzSlVVNEpVRXpKVGcxSlVVM0pVSkVKVUZG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V5TW5OcGVtVWxNaklsTTBFeU1DVXlReVV5TW1KdmJHUWxNaklsTTBGMGNuVmxKVGRFSlRKREpUSXlkR1Y0ZEVKc2IyTnJKVEl5SlROQkpUVkNKVGRDSlRJeWNHOXphWFJwYjI0bE1qSWxNMEVsTjBJbE1qSjRKVEl5SlROQk1UQWxNa01sTWpKNUpUSXlKVE5CTUNVeVF5VXlNbmNsTWpJbE0wRWxNakozTFRJd0pUSXlKVEpESlRJeWFDVXlNaVV6UVNVeU1tZ2xNaklsTjBRbE1rTWxNakowWlhoMEpUSXlKVE5CSlRJeU5pVkZOU1ZCTlNVNU55VkZOQ1ZDT0NVNE1DVkZOeVZDUVNWQk55VkZOaVZDTkNWQ1FpVkZOaVU0TUNWQk55VkZOeVU0TWlWQlJDVkZOU1U1TUNWQ09DVkZPU1U1T1NVNE5DVkZPQ1ZCTXlVNE5TVkZOeVZDUkNWQlJT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tacVRGaHdaRkJKZUVzek9UQTJNalFsTWpJbE0wRWxOMElsTWpKcFpDVXlNaVV6UVNVeU1rWnFURmh3WkZCSmVFc3pPVEEyTWpRbE1qSWxNa01sTWpKdVlXMWxKVEl5SlROQkpUSXljbVZqZEdGdVoyeGxKVEl5SlRKREpUSXlkR2wwYkdVbE1qSWxNMEVsTWpJbFJUY2xPVVlsUVRrbFJUVWxRa1FsUVRJbE1qSWxNa01sTWpKallYUmxaMjl5ZVNVeU1pVXpRU1V5TW1KaGMybGp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WpKemFYcGxKVEl5SlROQk1qQWxNa01sTWpKaWIyeGtKVEl5SlROQmRISjFaU1UzUkNVeVF5VXlNblJsZUhSQ2JHOWpheVV5TWlVelFTVTFRaVUzUWlVeU1uQnZjMmwwYVc5dUpUSXlKVE5CSlRkQ0pUSXllQ1V5TWlVelFURXdKVEpESlRJeWVTVXlNaVV6UVRBbE1rTWxNakozSlRJeUpUTkJKVEl5ZHkweU1DVXlNaVV5UXlVeU1tZ2xNaklsTTBFbE1qSm9KVEl5SlRkRUpUSkRKVEl5ZEdWNGRDVXlNaVV6UVNVeU1qSTFiU1ZGT1NWQlFpVTVPRVJCTURJek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eU1uTnBlbVVsTWpJbE0wRXlNQ1V5UXlVeU1tSnZiR1FsTWpJbE0wRjBjblZsSlRkRUpUSkRKVEl5ZEdWNGRFSnNiMk5ySlRJeUpUTkJKVFZDSlRkQ0pUSXljRzl6YVhScGIyNGxNaklsTTBFbE4wSWxNako0SlRJeUpUTkJNVEFsTWtNbE1qSjVKVEl5SlROQk1DVXlReVV5TW5jbE1qSWxNMEVsTWpKM0xUSXdKVEl5SlRKREpUSXlhQ1V5TWlVelFTVXlNbWdsTWpJbE4wUWxNa01sTWpKMFpYaDBKVEl5SlROQkpUSXlUVVVsUlVZbFFrTWxPRGdsUlRZbFFrWWxPREFsUlRVbE9EVWxPRGtsUlRVbFFrTWxPREFsUlRZbFFUZ2xRVEVsUlVZbFFrTWxPRGtsUlRnbFFVVWxRa1VsUlRVbFFUUWxPRGN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kxZM2x6Y0hwTFdVdFZPVEl3TURrMkpUSXlKVE5CSlRkQ0pUSXlhV1FsTWpJbE0wRWxNakpMWTNsemNIcExXVXRWT1RJd01EazJKVEl5SlRKREpUSXlibUZ0WlNVeU1pVXpRU1V5TW5KbFkzUmhibWRzWlNVeU1pVXlReVV5TW5ScGRHeGxKVEl5SlROQkpUSXlKVVUzSlRsR0pVRTVKVVUxSlVKRUpVRXl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rdEtVRVJKUTI5T2EzTTBOVFU1TlRnbE1qSWxOMFFsTWtNbE4wSWxNakp1WVcxbEpUSXlKVE5CSlRJeUpVVTFKVGt3SlRoRUpVVTNKVUUzSlVJd0pUSXlKVEpESlRJeWRIbHdaU1V5TWlVelFTVXlNbk4wY21sdVp5VXlNaVV5UXlVeU1uWmhiSFZsSlRJeUpUTkJKVEl5SlRJeUpUSkRKVEl5WTJGMFpXZHZjbmtsTWpJbE0wRWxNakprWldaaGRXeDBKVEl5SlRKREpUSXlhV1FsTWpJbE0wRWxNakp4V2xaQ2JVaGpTbmhGT0RJeU5UUXh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JeWMybDZaU1V5TWlVelFUSXdKVEpESlRJeVltOXNaQ1V5TWlVelFYUnlkV1VsTjBRbE1rTWxNakowWlhoMFFteHZZMnNsTWpJbE0wRWxOVUlsTjBJbE1qSndiM05wZEdsdmJpVXlNaVV6UVNVM1FpVXlNbmdsTWpJbE0wRXhNQ1V5UXlVeU1ua2xNaklsTTBFd0pUSkRKVEl5ZHlVeU1pVXpRU1V5TW5jdE1qQWxNaklsTWtNbE1qSm9KVEl5SlROQkpUSXlhQ1V5TWlVM1JDVXlReVV5TW5SbGVIUWxNaklsTTBFbE1qSWxSVGdsUVVVbFFrVWxSVFVsUVRRbE9EY2xSVGdsT0RjbFFVRWxSVFVsUWpnbFFUWWxSVFVsUWpnbE9ETWxSVGdsUVRJbE9FSWxSVGtsT1RrbFFUUWxSVFVsUWpBbE9UZ2xSVFVsT1RrbFFUZ2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4wUWxNa01sTWpKd1dWcEtUblpyUzFOQk1UZzROREl5SlRJeUpUTkJKVGRDSlRJeWFXUWxNaklsTTBFbE1qSndXVnBLVG5aclMxTkJNVGc0TkRJeUpUSXlKVEpESlRJeWJtRnRaU1V5TWlVelFTVXlNbkpsWTNSaGJtZHNaU1V5TWlVeVF5VXlNblJwZEd4bEpUSXlKVE5CSlRJeUpVVTNKVGxHSlVFNUpVVTFKVUpFSlVFeUpUSXlKVEpESlRJeVkyRjBaV2R2Y25rbE1qSWxNMEVsTWpKaVlYTnBZeV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rNU9TMmRRUTBkWVIxVTRPVFE0TmpjbE1qSWxOMFFsTWtNbE4wSWxNakp1WVcxbEpUSXlKVE5CSlRJeUpVVTFKVGt3SlRoRUpVVTNKVUUzSlVJd0pUSXlKVEpESlRJeWRIbHdaU1V5TWlVelFTVXlNbk4wY21sdVp5VXlNaVV5UXlVeU1uWmhiSFZsSlRJeUpUTkJKVEl5SlRJeUpUSkRKVEl5WTJGMFpXZHZjbmtsTWpJbE0wRWxNakprWldaaGRXeDBKVEl5SlRKREpUSXlhV1FsTWpJbE0wRWxNako0YzA5UlRYQm5SbWhqTURrek16QTN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JeWMybDZaU1V5TWlVelFUSXdKVEpESlRJeVltOXNaQ1V5TWlVelFYUnlkV1VsTjBRbE1rTWxNakowWlhoMFFteHZZMnNsTWpJbE0wRWxOVUlsTjBJbE1qSndiM05wZEdsdmJpVXlNaVV6UVNVM1FpVXlNbmdsTWpJbE0wRXhNQ1V5UXlVeU1ua2xNaklsTTBFd0pUSkRKVEl5ZHlVeU1pVXpRU1V5TW5jdE1qQWxNaklsTWtNbE1qSm9KVEl5SlROQkpUSXlhQ1V5TWlVM1JDVXlReVV5TW5SbGVIUWxNaklsTTBFbE1qSkJReVZGT0NWQlJTVkNSU1ZGTlNWQk5DVTROeV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TNSQ1V5UXlVeU1rMUJjME5xYzJKdVdtNDVNRFkyT0RBbE1qSWxNMEVsTjBJbE1qSnBaQ1V5TWlVelFTVXlNazFCYzBOcWMySnVXbTQ1TURZMk9EQWxNaklsTWtNbE1qSnVZVzFsSlRJeUpUTkJKVEl5Y21WamRHRnVaMnhsSlRJeUpUSkRKVEl5ZEdsMGJHVWxNaklsTTBFbE1qSWxSVGNsT1VZbFFUa2xSVFVsUWtRbFFUSWxNaklsTWtNbE1qSmpZWFJsWjI5eWVTVXlNaVV6UVNVeU1tSmhjMmxq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El5YzJsNlpTVXlNaVV6UVRJd0pUSkRKVEl5WW05c1pDVXlNaVV6UVhSeWRXVWxOMFFsTWtNbE1qSjBaWGgwUW14dlkyc2xNaklsTTBFbE5VSWxOMElsTWpKd2IzTnBkR2x2YmlVeU1pVXpRU1UzUWlVeU1uZ2xNaklsTTBFeE1DVXlReVV5TW5rbE1qSWxNMEV3SlRKREpUSXlkeVV5TWlVelFTVXlNbmN0TWpBbE1qSWxNa01sTWpKb0pUSXlKVE5CSlRJeWFDVXlNaVUzUkNVeVF5VXlNblJsZUhRbE1qSWxNMEVsTWpJbFJUZ2xRVVVsUWtVbFJUVWxRVFFsT0RjbFJUZ2xPRGNsUVVFbFJUVWxRamdsUVRZbFJUVWxPVU1sUVRnbFJUY2xRa0VsUWtZbFJUY2xPRGNsT0RNbFJUY2xPRE1sUVRjbFJUZ2xRVE1sT0RVbFJUY2xRa1FsUVVV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JeWMybDZaU1V5TWlVelFUSXdKVEpESlRJeVltOXNaQ1V5TWlVelFYUnlkV1VsTjBRbE1rTWxNakowWlhoMFFteHZZMnNsTWpJbE0wRWxOVUlsTjBJbE1qSndiM05wZEdsdmJpVXlNaVV6UVNVM1FpVXlNbmdsTWpJbE0wRXhNQ1V5UXlVeU1ua2xNaklsTTBFd0pUSkRKVEl5ZHlVeU1pVXpRU1V5TW5jdE1qQWxNaklsTWtNbE1qSm9KVEl5SlROQkpUSXlhQ1V5TWlVM1JDVXlReVV5TW5SbGVIUWxNaklsTTBFbE1qSTJKVVUxSlVFMUpUazNKVVUwSlVJNEpUZ3dKVVUzSlVKQkpVRTNKVVUySlVJMEpVSkNKVVUySlRnd0pVRTNKVVUzSlRneUpVRkVKVVUxSlRrd0pVSTRKVVU1SlRrNUpUZzBKVVU0SlVFekpUZzFKVVUzSlVKRUpVRkZ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EpESlRJeVkySkxTbXBqZEU1RlpUWXdOemN4TlNVeU1pVXpRU1UzUWlVeU1tbGtKVEl5SlROQkpUSXlZMkpMU21wamRFNUZaVFl3TnpjeE5TVXlNaVV5UXlVeU1tNWhiV1VsTWpJbE0wRWxNakp5WldOMFlXNW5iR1VsTWpJbE1rTWxNakowYVhSc1pTVXlNaVV6UVNVeU1pVkZOeVU1UmlWQk9TVkZOU1ZDUkNWQk1pVXlNaVV5UXlVeU1tTmhkR1ZuYjNKNUpUSXlKVE5CSlRJeVltRnphV01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WpKemFYcGxKVEl5SlROQk1qQWxNa01sTWpKaWIyeGtKVEl5SlROQmRISjFaU1UzUkNVeVF5VXlNblJsZUhSQ2JHOWpheVV5TWlVelFTVTFRaVUzUWlVeU1uQnZjMmwwYVc5dUpUSXlKVE5CSlRkQ0pUSXllQ1V5TWlVelFURXdKVEpESlRJeWVTVXlNaVV6UVRBbE1rTWxNakozSlRJeUpUTkJKVEl5ZHkweU1DVXlNaVV5UXlVeU1tZ2xNaklsTTBFbE1qSm9KVEl5SlRkRUpUSkRKVEl5ZEdWNGRDVXlNaVV6UVNVeU1pVkZOaVZDUmlVNE1DVkZOU1U0TlNVNE9TVkZOU1U0T0NVNU1pVkZOeVU0T1NVNE55VkZPQ1ZCUlNWQ1JTVkZOU1ZCTkNVNE55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1SUWFrVnhjbWRYVkVJek1UWXpNelVsTWpJbE0wRWxOMElsTWpKcFpDVXlNaVV6UVNVeU1tUlFha1Z4Y21kWFZFSXpNVFl6TXpVbE1qSWxNa01sTWpKdVlXMWxKVEl5SlROQkpUSXljbVZqZEdGdVoyeGxKVEl5SlRKREpUSXlkR2wwYkdVbE1qSWxNMEVsTWpJbFJUY2xPVVlsUVRrbFJUVWxRa1FsUVRJbE1qSWxNa01sTWpKallYUmxaMjl5ZVNVeU1pVXpRU1V5TW1KaGMybGp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m9jVWxYU0VwU2FYRlJPVEUwTURFekpUSXlKVE5CSlRkQ0pUSXlhV1FsTWpJbE0wRWxNakpvY1VsWFNFcFNhWEZST1RFME1ERXpKVEl5SlRKREpUSXlibUZ0WlNVeU1pVXpRU1V5TW5KbFkzUmhibWRzWlNVeU1pVXlReVV5TW5ScGRHeGxKVEl5SlROQkpUSXlKVVUzSlRsR0pVRTVKVVUxSlVKRUpVRXl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sbG5XVWRtV1hGYVRFdzBOREUzTXpJbE1qSWxOMFFsTWtNbE4wSWxNakp1WVcxbEpUSXlKVE5CSlRJeUpVVTFKVGt3SlRoRUpVVTNKVUUzSlVJd0pUSXlKVEpESlRJeWRIbHdaU1V5TWlVelFTVXlNbk4wY21sdVp5VXlNaVV5UXlVeU1uWmhiSFZsSlRJeUpUTkJKVEl5SlRJeUpUSkRKVEl5WTJGMFpXZHZjbmtsTWpJbE0wRWxNakprWldaaGRXeDBKVEl5SlRKREpUSXlhV1FsTWpJbE0wRWxNakozUzJwbWVIbHFjbU5tTURjeE9EUXd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JeWMybDZaU1V5TWlVelFUSXdKVEpESlRJeVltOXNaQ1V5TWlVelFYUnlkV1VsTjBRbE1rTWxNakowWlhoMFFteHZZMnNsTWpJbE0wRWxOVUlsTjBJbE1qSndiM05wZEdsdmJpVXlNaVV6UVNVM1FpVXlNbmdsTWpJbE0wRXhNQ1V5UXlVeU1ua2xNaklsTTBFd0pUSkRKVEl5ZHlVeU1pVXpRU1V5TW5jdE1qQWxNaklsTWtNbE1qSm9KVEl5SlROQkpUSXlhQ1V5TWlVM1JDVXlReVV5TW5SbGVIUWxNaklsTTBFbE1qSWxSVFlsT1RjbFFUQWxSVGNsUWtJbE9EUWxSVGNsUWtJbE9EY2xSVGtsT0RBbFFqZ2xSVFlsT1RVbFFUT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"/>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159</Pages>
  <Words>7238</Words>
  <Characters>8479</Characters>
  <Lines>0</Lines>
  <Paragraphs>0</Paragraphs>
  <TotalTime>7</TotalTime>
  <ScaleCrop>false</ScaleCrop>
  <LinksUpToDate>false</LinksUpToDate>
  <CharactersWithSpaces>8778</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2026-06-02T01:38:00Z</dcterms:created>
  <dc:creator>Administrator</dc:creator>
  <cp:lastModifiedBy>王涛</cp:lastModifiedBy>
  <dcterms:modified xsi:type="dcterms:W3CDTF">2026-08-17T01:15:26Z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B16700DF8F2E4F848C863C924D714323_12</vt:lpwstr>
  </property>
  <property fmtid="{D5CDD505-2E9C-101B-9397-08002B2CF9AE}" pid="4" name="KSOTemplateDocerSaveRecord">
    <vt:lpwstr>eyJoZGlkIjoiMGE4MTIwZmY0ODA2NzRmMzYzOTg5MjI4NTEyYTgzNzgiLCJ1c2VySWQiOiIyNDAxMDgyNDcifQ==</vt:lpwstr>
  </property>
</Properties>
</file>